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081B" w14:textId="3967ABB4" w:rsidR="00012C46" w:rsidRDefault="00012C46" w:rsidP="00012C46">
      <w:r>
        <w:rPr>
          <w:rFonts w:hint="eastAsia"/>
          <w:noProof/>
        </w:rPr>
        <w:drawing>
          <wp:anchor distT="0" distB="0" distL="114300" distR="114300" simplePos="0" relativeHeight="251659264" behindDoc="0" locked="0" layoutInCell="1" allowOverlap="1" wp14:anchorId="76CF5115" wp14:editId="6B125584">
            <wp:simplePos x="0" y="0"/>
            <wp:positionH relativeFrom="column">
              <wp:posOffset>457200</wp:posOffset>
            </wp:positionH>
            <wp:positionV relativeFrom="paragraph">
              <wp:posOffset>-457200</wp:posOffset>
            </wp:positionV>
            <wp:extent cx="4273550" cy="6858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35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0C7A8" w14:textId="77777777" w:rsidR="00012C46" w:rsidRDefault="00012C46" w:rsidP="00D06108">
      <w:pPr>
        <w:pStyle w:val="a3"/>
        <w:snapToGrid w:val="0"/>
        <w:spacing w:before="100" w:beforeAutospacing="1" w:afterLines="100" w:after="360" w:line="460" w:lineRule="exact"/>
        <w:jc w:val="center"/>
        <w:rPr>
          <w:rFonts w:ascii="Arial" w:eastAsia="華康粗黑體(P)" w:hAnsi="Arial" w:cs="Arial"/>
          <w:w w:val="90"/>
          <w:sz w:val="44"/>
        </w:rPr>
      </w:pPr>
      <w:r>
        <w:rPr>
          <w:rFonts w:ascii="Arial" w:eastAsia="華康粗黑體(P)" w:hAnsi="Arial" w:cs="Arial" w:hint="eastAsia"/>
          <w:w w:val="90"/>
          <w:sz w:val="44"/>
        </w:rPr>
        <w:t>新</w:t>
      </w:r>
      <w:r>
        <w:rPr>
          <w:rFonts w:ascii="Arial" w:eastAsia="華康粗黑體(P)" w:hAnsi="Arial" w:cs="Arial" w:hint="eastAsia"/>
          <w:w w:val="90"/>
          <w:sz w:val="44"/>
        </w:rPr>
        <w:t xml:space="preserve">  </w:t>
      </w:r>
      <w:r>
        <w:rPr>
          <w:rFonts w:ascii="Arial" w:eastAsia="華康粗黑體(P)" w:hAnsi="Arial" w:cs="Arial" w:hint="eastAsia"/>
          <w:w w:val="90"/>
          <w:sz w:val="44"/>
        </w:rPr>
        <w:t>聞</w:t>
      </w:r>
      <w:r>
        <w:rPr>
          <w:rFonts w:ascii="Arial" w:eastAsia="華康粗黑體(P)" w:hAnsi="Arial" w:cs="Arial" w:hint="eastAsia"/>
          <w:w w:val="90"/>
          <w:sz w:val="44"/>
        </w:rPr>
        <w:t xml:space="preserve">  </w:t>
      </w:r>
      <w:r>
        <w:rPr>
          <w:rFonts w:ascii="Arial" w:eastAsia="華康粗黑體(P)" w:hAnsi="Arial" w:cs="Arial" w:hint="eastAsia"/>
          <w:w w:val="90"/>
          <w:sz w:val="44"/>
        </w:rPr>
        <w:t>稿</w:t>
      </w:r>
    </w:p>
    <w:tbl>
      <w:tblPr>
        <w:tblW w:w="8668" w:type="dxa"/>
        <w:tblCellMar>
          <w:left w:w="28" w:type="dxa"/>
          <w:right w:w="28" w:type="dxa"/>
        </w:tblCellMar>
        <w:tblLook w:val="0000" w:firstRow="0" w:lastRow="0" w:firstColumn="0" w:lastColumn="0" w:noHBand="0" w:noVBand="0"/>
      </w:tblPr>
      <w:tblGrid>
        <w:gridCol w:w="4168"/>
        <w:gridCol w:w="4500"/>
      </w:tblGrid>
      <w:tr w:rsidR="00012C46" w:rsidRPr="00BA474F" w14:paraId="2196AFB4" w14:textId="77777777" w:rsidTr="001A51AE">
        <w:tc>
          <w:tcPr>
            <w:tcW w:w="4168" w:type="dxa"/>
          </w:tcPr>
          <w:p w14:paraId="3A827AF5" w14:textId="77777777" w:rsidR="00012C46" w:rsidRPr="00BA474F" w:rsidRDefault="00012C46" w:rsidP="001A51AE">
            <w:pPr>
              <w:pStyle w:val="a3"/>
              <w:snapToGrid w:val="0"/>
              <w:spacing w:before="100" w:beforeAutospacing="1" w:line="400" w:lineRule="exact"/>
              <w:jc w:val="both"/>
              <w:rPr>
                <w:rFonts w:ascii="Arial" w:eastAsia="標楷體" w:hAnsi="Arial" w:cs="Arial"/>
              </w:rPr>
            </w:pPr>
          </w:p>
        </w:tc>
        <w:tc>
          <w:tcPr>
            <w:tcW w:w="4500" w:type="dxa"/>
          </w:tcPr>
          <w:p w14:paraId="3AB3DF9F" w14:textId="436E21D8"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發佈日期：</w:t>
            </w:r>
            <w:r w:rsidRPr="00BA474F">
              <w:rPr>
                <w:rFonts w:ascii="Arial" w:eastAsia="華康細圓體" w:hAnsi="Arial" w:cs="Arial"/>
              </w:rPr>
              <w:t>1</w:t>
            </w:r>
            <w:r w:rsidR="006562E8">
              <w:rPr>
                <w:rFonts w:ascii="Arial" w:eastAsia="華康細圓體" w:hAnsi="Arial" w:cs="Arial" w:hint="eastAsia"/>
              </w:rPr>
              <w:t>1</w:t>
            </w:r>
            <w:r w:rsidR="00BD268E">
              <w:rPr>
                <w:rFonts w:ascii="Arial" w:eastAsia="華康細圓體" w:hAnsi="Arial" w:cs="Arial"/>
              </w:rPr>
              <w:t>3</w:t>
            </w:r>
            <w:r w:rsidRPr="00BA474F">
              <w:rPr>
                <w:rFonts w:ascii="Arial" w:eastAsia="華康細圓體" w:hAnsi="Arial" w:cs="Arial"/>
              </w:rPr>
              <w:t>年</w:t>
            </w:r>
            <w:r w:rsidR="00FF1C94">
              <w:rPr>
                <w:rFonts w:ascii="Arial" w:eastAsia="華康細圓體" w:hAnsi="Arial" w:cs="Arial" w:hint="eastAsia"/>
              </w:rPr>
              <w:t>1</w:t>
            </w:r>
            <w:r w:rsidRPr="00BA474F">
              <w:rPr>
                <w:rFonts w:ascii="Arial" w:eastAsia="華康細圓體" w:hAnsi="Arial" w:cs="Arial"/>
              </w:rPr>
              <w:t xml:space="preserve"> </w:t>
            </w:r>
            <w:r w:rsidRPr="00BA474F">
              <w:rPr>
                <w:rFonts w:ascii="Arial" w:eastAsia="華康細圓體" w:hAnsi="Arial" w:cs="Arial"/>
              </w:rPr>
              <w:t>月</w:t>
            </w:r>
            <w:r w:rsidR="00BD268E">
              <w:rPr>
                <w:rFonts w:ascii="Arial" w:eastAsia="華康細圓體" w:hAnsi="Arial" w:cs="Arial" w:hint="eastAsia"/>
              </w:rPr>
              <w:t>2</w:t>
            </w:r>
            <w:r w:rsidR="00BD268E">
              <w:rPr>
                <w:rFonts w:ascii="Arial" w:eastAsia="華康細圓體" w:hAnsi="Arial" w:cs="Arial"/>
              </w:rPr>
              <w:t>9</w:t>
            </w:r>
            <w:r w:rsidRPr="00BA474F">
              <w:rPr>
                <w:rFonts w:ascii="Arial" w:eastAsia="華康細圓體" w:hAnsi="Arial" w:cs="Arial"/>
              </w:rPr>
              <w:t>日</w:t>
            </w:r>
          </w:p>
        </w:tc>
      </w:tr>
      <w:tr w:rsidR="00012C46" w:rsidRPr="00BA474F" w14:paraId="57713C2C" w14:textId="77777777" w:rsidTr="001A51AE">
        <w:tc>
          <w:tcPr>
            <w:tcW w:w="4168" w:type="dxa"/>
          </w:tcPr>
          <w:p w14:paraId="2CDF572C" w14:textId="77777777" w:rsidR="00012C46" w:rsidRPr="00BA474F" w:rsidRDefault="00012C46" w:rsidP="001A51AE">
            <w:pPr>
              <w:pStyle w:val="a3"/>
              <w:snapToGrid w:val="0"/>
              <w:spacing w:before="100" w:beforeAutospacing="1" w:line="400" w:lineRule="exact"/>
              <w:jc w:val="both"/>
              <w:rPr>
                <w:rFonts w:ascii="Arial" w:eastAsia="標楷體" w:hAnsi="Arial" w:cs="Arial"/>
              </w:rPr>
            </w:pPr>
          </w:p>
        </w:tc>
        <w:tc>
          <w:tcPr>
            <w:tcW w:w="4500" w:type="dxa"/>
          </w:tcPr>
          <w:p w14:paraId="0F1FF11A" w14:textId="77777777"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聯絡人：推廣組</w:t>
            </w:r>
            <w:r w:rsidRPr="00BA474F">
              <w:rPr>
                <w:rFonts w:ascii="Arial" w:eastAsia="華康細圓體" w:hAnsi="Arial" w:cs="Arial"/>
              </w:rPr>
              <w:t xml:space="preserve"> </w:t>
            </w:r>
            <w:r w:rsidRPr="00BA474F">
              <w:rPr>
                <w:rFonts w:ascii="Arial" w:eastAsia="華康細圓體" w:hAnsi="Arial" w:cs="Arial"/>
              </w:rPr>
              <w:t>電話</w:t>
            </w:r>
            <w:r w:rsidRPr="00BA474F">
              <w:rPr>
                <w:rFonts w:ascii="Arial" w:eastAsia="華康細圓體" w:hAnsi="Arial" w:cs="Arial"/>
              </w:rPr>
              <w:t>02-2581 7288</w:t>
            </w:r>
          </w:p>
        </w:tc>
      </w:tr>
      <w:tr w:rsidR="00012C46" w:rsidRPr="00BA474F" w14:paraId="1610656F" w14:textId="77777777" w:rsidTr="001A51AE">
        <w:tc>
          <w:tcPr>
            <w:tcW w:w="4168" w:type="dxa"/>
          </w:tcPr>
          <w:p w14:paraId="2E1E59FF" w14:textId="0FBF0878"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共</w:t>
            </w:r>
            <w:r w:rsidRPr="00BA474F">
              <w:rPr>
                <w:rFonts w:ascii="Arial" w:eastAsia="華康細圓體" w:hAnsi="Arial" w:cs="Arial"/>
                <w:u w:val="single"/>
              </w:rPr>
              <w:t xml:space="preserve"> </w:t>
            </w:r>
            <w:r w:rsidR="00BD268E">
              <w:rPr>
                <w:rFonts w:ascii="Arial" w:eastAsia="華康細圓體" w:hAnsi="Arial" w:cs="Arial"/>
                <w:u w:val="single"/>
              </w:rPr>
              <w:t>3</w:t>
            </w:r>
            <w:r w:rsidRPr="00BA474F">
              <w:rPr>
                <w:rFonts w:ascii="Arial" w:eastAsia="華康細圓體" w:hAnsi="Arial" w:cs="Arial"/>
                <w:u w:val="single"/>
              </w:rPr>
              <w:t xml:space="preserve"> </w:t>
            </w:r>
            <w:r w:rsidRPr="00BA474F">
              <w:rPr>
                <w:rFonts w:ascii="Arial" w:eastAsia="華康細圓體" w:hAnsi="Arial" w:cs="Arial"/>
              </w:rPr>
              <w:t>頁</w:t>
            </w:r>
          </w:p>
        </w:tc>
        <w:tc>
          <w:tcPr>
            <w:tcW w:w="4500" w:type="dxa"/>
          </w:tcPr>
          <w:p w14:paraId="5D6F68B2" w14:textId="77777777"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 xml:space="preserve">        </w:t>
            </w:r>
            <w:r w:rsidRPr="00BA474F">
              <w:rPr>
                <w:rFonts w:ascii="Arial" w:eastAsia="華康細圓體" w:hAnsi="Arial" w:cs="Arial"/>
              </w:rPr>
              <w:t>呂秀蘭</w:t>
            </w:r>
            <w:r w:rsidRPr="00BA474F">
              <w:rPr>
                <w:rFonts w:ascii="Arial" w:eastAsia="華康細圓體" w:hAnsi="Arial" w:cs="Arial"/>
              </w:rPr>
              <w:t xml:space="preserve"> </w:t>
            </w:r>
            <w:r w:rsidRPr="00BA474F">
              <w:rPr>
                <w:rFonts w:ascii="Arial" w:eastAsia="華康細圓體" w:hAnsi="Arial" w:cs="Arial"/>
              </w:rPr>
              <w:t xml:space="preserve">分機　</w:t>
            </w:r>
            <w:r w:rsidRPr="00BA474F">
              <w:rPr>
                <w:rFonts w:ascii="Arial" w:eastAsia="華康細圓體" w:hAnsi="Arial" w:cs="Arial"/>
              </w:rPr>
              <w:t>501</w:t>
            </w:r>
          </w:p>
        </w:tc>
      </w:tr>
    </w:tbl>
    <w:p w14:paraId="0E1014F7" w14:textId="77777777" w:rsidR="00012C46" w:rsidRDefault="00012C46" w:rsidP="00012C46">
      <w:pPr>
        <w:spacing w:line="440" w:lineRule="exact"/>
        <w:jc w:val="both"/>
        <w:rPr>
          <w:rFonts w:ascii="Arial" w:eastAsia="華康中黑體" w:hAnsi="Arial" w:cs="Arial"/>
          <w:sz w:val="28"/>
          <w:szCs w:val="28"/>
        </w:rPr>
      </w:pPr>
    </w:p>
    <w:p w14:paraId="5A9E9819" w14:textId="77777777" w:rsidR="007879CA" w:rsidRPr="004C4112" w:rsidRDefault="007879CA" w:rsidP="007879CA">
      <w:pPr>
        <w:spacing w:beforeLines="50" w:before="180" w:line="440" w:lineRule="exact"/>
        <w:jc w:val="center"/>
        <w:rPr>
          <w:rFonts w:ascii="微軟正黑體" w:eastAsia="微軟正黑體" w:hAnsi="微軟正黑體"/>
          <w:b/>
          <w:sz w:val="28"/>
          <w:szCs w:val="28"/>
        </w:rPr>
      </w:pPr>
      <w:r w:rsidRPr="004C4112">
        <w:rPr>
          <w:rFonts w:ascii="微軟正黑體" w:eastAsia="微軟正黑體" w:hAnsi="微軟正黑體" w:hint="eastAsia"/>
          <w:b/>
          <w:sz w:val="28"/>
          <w:szCs w:val="28"/>
        </w:rPr>
        <w:t>瞭解平準金的意義、使用原則與揭露規定</w:t>
      </w:r>
    </w:p>
    <w:p w14:paraId="383D6E69" w14:textId="705E5375" w:rsidR="007F795A" w:rsidRPr="004C4112" w:rsidRDefault="007879CA" w:rsidP="00147A7E">
      <w:pPr>
        <w:spacing w:beforeLines="50" w:before="180" w:line="440" w:lineRule="exact"/>
        <w:ind w:firstLineChars="236" w:firstLine="566"/>
        <w:jc w:val="both"/>
        <w:rPr>
          <w:rFonts w:ascii="微軟正黑體" w:eastAsia="微軟正黑體" w:hAnsi="微軟正黑體"/>
        </w:rPr>
      </w:pPr>
      <w:r w:rsidRPr="004C4112">
        <w:rPr>
          <w:rFonts w:ascii="微軟正黑體" w:eastAsia="微軟正黑體" w:hAnsi="微軟正黑體" w:hint="eastAsia"/>
        </w:rPr>
        <w:t>近年來配息型ETF在國內掀起投資風潮，相信很多投資人都看過有些ETF會在基金名稱後加上「本基金之配息來源可能為收益平準金」之文字，什麼是「收益平準金」呢？</w:t>
      </w:r>
      <w:r w:rsidR="007F795A" w:rsidRPr="004C4112">
        <w:rPr>
          <w:rFonts w:ascii="微軟正黑體" w:eastAsia="微軟正黑體" w:hAnsi="微軟正黑體" w:hint="eastAsia"/>
        </w:rPr>
        <w:t>為什麼有</w:t>
      </w:r>
      <w:r w:rsidR="004C4112">
        <w:rPr>
          <w:rFonts w:ascii="微軟正黑體" w:eastAsia="微軟正黑體" w:hAnsi="微軟正黑體" w:hint="eastAsia"/>
        </w:rPr>
        <w:t>些</w:t>
      </w:r>
      <w:r w:rsidR="007F795A" w:rsidRPr="004C4112">
        <w:rPr>
          <w:rFonts w:ascii="微軟正黑體" w:eastAsia="微軟正黑體" w:hAnsi="微軟正黑體" w:hint="eastAsia"/>
        </w:rPr>
        <w:t>基金要把收益平準金拿來配息呢？收益平準金會不會影響基金的資產操作或績效呢？在投資配息型基金之前，民眾有必要了解清楚。</w:t>
      </w:r>
    </w:p>
    <w:p w14:paraId="18650085" w14:textId="77777777" w:rsidR="00147A7E" w:rsidRPr="004C4112" w:rsidRDefault="00147A7E" w:rsidP="007879CA">
      <w:pPr>
        <w:spacing w:beforeLines="50" w:before="180" w:line="440" w:lineRule="exact"/>
        <w:jc w:val="both"/>
        <w:rPr>
          <w:rFonts w:ascii="微軟正黑體" w:eastAsia="微軟正黑體" w:hAnsi="微軟正黑體"/>
          <w:b/>
          <w:bCs/>
        </w:rPr>
      </w:pPr>
      <w:r w:rsidRPr="004C4112">
        <w:rPr>
          <w:rFonts w:ascii="微軟正黑體" w:eastAsia="微軟正黑體" w:hAnsi="微軟正黑體" w:hint="eastAsia"/>
          <w:b/>
          <w:bCs/>
        </w:rPr>
        <w:t>「收益平準金」是基金的會計科目之一</w:t>
      </w:r>
    </w:p>
    <w:p w14:paraId="1F536F0C" w14:textId="716FD7F8" w:rsidR="00147A7E" w:rsidRPr="004C4112" w:rsidRDefault="00147A7E" w:rsidP="00147A7E">
      <w:pPr>
        <w:spacing w:beforeLines="50" w:before="180" w:line="440" w:lineRule="exact"/>
        <w:ind w:firstLineChars="236" w:firstLine="566"/>
        <w:jc w:val="both"/>
        <w:rPr>
          <w:rFonts w:ascii="微軟正黑體" w:eastAsia="微軟正黑體" w:hAnsi="微軟正黑體"/>
        </w:rPr>
      </w:pPr>
      <w:r w:rsidRPr="004C4112">
        <w:rPr>
          <w:rFonts w:ascii="微軟正黑體" w:eastAsia="微軟正黑體" w:hAnsi="微軟正黑體" w:hint="eastAsia"/>
        </w:rPr>
        <w:t>當民眾申購基金時，須依公告的每股淨值申購基金，當申購款匯入基金帳戶時，</w:t>
      </w:r>
      <w:r w:rsidR="00CF50B5" w:rsidRPr="004C4112">
        <w:rPr>
          <w:rFonts w:ascii="微軟正黑體" w:eastAsia="微軟正黑體" w:hAnsi="微軟正黑體" w:hint="eastAsia"/>
        </w:rPr>
        <w:t>若該基金設有收益平準金機制，</w:t>
      </w:r>
      <w:r w:rsidRPr="004C4112">
        <w:rPr>
          <w:rFonts w:ascii="微軟正黑體" w:eastAsia="微軟正黑體" w:hAnsi="微軟正黑體" w:hint="eastAsia"/>
        </w:rPr>
        <w:t>基金會計人員就會將每股淨值中屬於</w:t>
      </w:r>
      <w:r w:rsidRPr="004C4112">
        <w:rPr>
          <w:rFonts w:ascii="新細明體" w:hAnsi="新細明體" w:hint="eastAsia"/>
        </w:rPr>
        <w:t>「</w:t>
      </w:r>
      <w:r w:rsidRPr="004C4112">
        <w:rPr>
          <w:rFonts w:ascii="微軟正黑體" w:eastAsia="微軟正黑體" w:hAnsi="微軟正黑體" w:hint="eastAsia"/>
        </w:rPr>
        <w:t>息</w:t>
      </w:r>
      <w:r w:rsidRPr="004C4112">
        <w:rPr>
          <w:rFonts w:ascii="新細明體" w:hAnsi="新細明體" w:hint="eastAsia"/>
        </w:rPr>
        <w:t>」</w:t>
      </w:r>
      <w:r w:rsidRPr="004C4112">
        <w:rPr>
          <w:rFonts w:ascii="微軟正黑體" w:eastAsia="微軟正黑體" w:hAnsi="微軟正黑體" w:hint="eastAsia"/>
        </w:rPr>
        <w:t>性質的部分記入收益平準金科目，倘投資人後續依公告的每股淨值贖回，該科目也會沖回。</w:t>
      </w:r>
    </w:p>
    <w:p w14:paraId="464A1B4C" w14:textId="582404D5" w:rsidR="007879CA" w:rsidRPr="004C4112" w:rsidRDefault="00147A7E" w:rsidP="007879CA">
      <w:pPr>
        <w:spacing w:beforeLines="50" w:before="180" w:line="440" w:lineRule="exact"/>
        <w:jc w:val="both"/>
        <w:rPr>
          <w:rFonts w:ascii="微軟正黑體" w:eastAsia="微軟正黑體" w:hAnsi="微軟正黑體"/>
          <w:b/>
          <w:bCs/>
        </w:rPr>
      </w:pPr>
      <w:r w:rsidRPr="004C4112">
        <w:rPr>
          <w:rFonts w:ascii="微軟正黑體" w:eastAsia="微軟正黑體" w:hAnsi="微軟正黑體" w:hint="eastAsia"/>
          <w:b/>
          <w:bCs/>
        </w:rPr>
        <w:t>把「收益平準金」拿來配息是為了穩定基金的配息率</w:t>
      </w:r>
    </w:p>
    <w:p w14:paraId="53E35917" w14:textId="15CAA731" w:rsidR="007879CA" w:rsidRPr="004C4112" w:rsidRDefault="00147A7E" w:rsidP="00363D6B">
      <w:pPr>
        <w:spacing w:beforeLines="50" w:before="180" w:line="440" w:lineRule="exact"/>
        <w:ind w:firstLineChars="236" w:firstLine="566"/>
        <w:jc w:val="both"/>
        <w:rPr>
          <w:rFonts w:ascii="微軟正黑體" w:eastAsia="微軟正黑體" w:hAnsi="微軟正黑體"/>
        </w:rPr>
      </w:pPr>
      <w:r w:rsidRPr="004C4112">
        <w:rPr>
          <w:rFonts w:ascii="微軟正黑體" w:eastAsia="微軟正黑體" w:hAnsi="微軟正黑體" w:hint="eastAsia"/>
        </w:rPr>
        <w:t>近年來有些ETF在宣告配息後，常有投資人大量購入該基金，導致每單位配息金額下降，造成原有配息率被稀釋的情況，影響原有投資人的現金管理規劃</w:t>
      </w:r>
      <w:r w:rsidR="001E7465" w:rsidRPr="004C4112">
        <w:rPr>
          <w:rFonts w:ascii="微軟正黑體" w:eastAsia="微軟正黑體" w:hAnsi="微軟正黑體" w:hint="eastAsia"/>
        </w:rPr>
        <w:t>。</w:t>
      </w:r>
      <w:r w:rsidRPr="004C4112">
        <w:rPr>
          <w:rFonts w:ascii="微軟正黑體" w:eastAsia="微軟正黑體" w:hAnsi="微軟正黑體" w:hint="eastAsia"/>
        </w:rPr>
        <w:t>為了公平對待投資人</w:t>
      </w:r>
      <w:r w:rsidR="001E7465" w:rsidRPr="004C4112">
        <w:rPr>
          <w:rFonts w:ascii="微軟正黑體" w:eastAsia="微軟正黑體" w:hAnsi="微軟正黑體" w:hint="eastAsia"/>
        </w:rPr>
        <w:t>及</w:t>
      </w:r>
      <w:r w:rsidRPr="004C4112">
        <w:rPr>
          <w:rFonts w:ascii="微軟正黑體" w:eastAsia="微軟正黑體" w:hAnsi="微軟正黑體" w:hint="eastAsia"/>
        </w:rPr>
        <w:t>穩定配息率，部分ETF就</w:t>
      </w:r>
      <w:r w:rsidR="001E7465" w:rsidRPr="004C4112">
        <w:rPr>
          <w:rFonts w:ascii="微軟正黑體" w:eastAsia="微軟正黑體" w:hAnsi="微軟正黑體" w:hint="eastAsia"/>
        </w:rPr>
        <w:t>透過收益平準金機制，將部分收益平準金加入該期的配息中，讓基金配息金額不會因配息前夕的大量申購而被稀釋。此外，</w:t>
      </w:r>
      <w:r w:rsidR="007879CA" w:rsidRPr="004C4112">
        <w:rPr>
          <w:rFonts w:ascii="微軟正黑體" w:eastAsia="微軟正黑體" w:hAnsi="微軟正黑體" w:hint="eastAsia"/>
        </w:rPr>
        <w:t>將收益平準金納入可分配範圍，經理公司之配息政策較不易受短期申贖干擾，可避免追求穩定現金流的投資人，</w:t>
      </w:r>
      <w:r w:rsidR="001E7465" w:rsidRPr="004C4112">
        <w:rPr>
          <w:rFonts w:ascii="微軟正黑體" w:eastAsia="微軟正黑體" w:hAnsi="微軟正黑體" w:hint="eastAsia"/>
        </w:rPr>
        <w:t>因</w:t>
      </w:r>
      <w:r w:rsidR="007879CA" w:rsidRPr="004C4112">
        <w:rPr>
          <w:rFonts w:ascii="微軟正黑體" w:eastAsia="微軟正黑體" w:hAnsi="微軟正黑體" w:hint="eastAsia"/>
        </w:rPr>
        <w:t>新投資人</w:t>
      </w:r>
      <w:r w:rsidR="001E7465" w:rsidRPr="004C4112">
        <w:rPr>
          <w:rFonts w:ascii="微軟正黑體" w:eastAsia="微軟正黑體" w:hAnsi="微軟正黑體" w:hint="eastAsia"/>
        </w:rPr>
        <w:t>的加入</w:t>
      </w:r>
      <w:r w:rsidR="007879CA" w:rsidRPr="004C4112">
        <w:rPr>
          <w:rFonts w:ascii="微軟正黑體" w:eastAsia="微軟正黑體" w:hAnsi="微軟正黑體" w:hint="eastAsia"/>
        </w:rPr>
        <w:t>，造成配息金額及配息率不穩定，可合理公平對待追求穩定配息之長期投資人。</w:t>
      </w:r>
      <w:r w:rsidR="00363D6B" w:rsidRPr="004C4112">
        <w:rPr>
          <w:rFonts w:ascii="微軟正黑體" w:eastAsia="微軟正黑體" w:hAnsi="微軟正黑體" w:hint="eastAsia"/>
        </w:rPr>
        <w:t>為利民眾了解，</w:t>
      </w:r>
      <w:r w:rsidR="00512693" w:rsidRPr="004C4112">
        <w:rPr>
          <w:rFonts w:ascii="微軟正黑體" w:eastAsia="微軟正黑體" w:hAnsi="微軟正黑體" w:hint="eastAsia"/>
        </w:rPr>
        <w:t>舉例說明</w:t>
      </w:r>
      <w:r w:rsidR="00363D6B" w:rsidRPr="004C4112">
        <w:rPr>
          <w:rFonts w:ascii="微軟正黑體" w:eastAsia="微軟正黑體" w:hAnsi="微軟正黑體" w:hint="eastAsia"/>
        </w:rPr>
        <w:t>如</w:t>
      </w:r>
      <w:r w:rsidR="00512693" w:rsidRPr="004C4112">
        <w:rPr>
          <w:rFonts w:ascii="微軟正黑體" w:eastAsia="微軟正黑體" w:hAnsi="微軟正黑體" w:hint="eastAsia"/>
        </w:rPr>
        <w:t>文末</w:t>
      </w:r>
      <w:r w:rsidR="00363D6B" w:rsidRPr="004C4112">
        <w:rPr>
          <w:rFonts w:ascii="微軟正黑體" w:eastAsia="微軟正黑體" w:hAnsi="微軟正黑體" w:hint="eastAsia"/>
          <w:b/>
          <w:bCs/>
          <w:u w:val="single"/>
        </w:rPr>
        <w:t>實例說明</w:t>
      </w:r>
      <w:r w:rsidR="00363D6B" w:rsidRPr="004C4112">
        <w:rPr>
          <w:rFonts w:ascii="微軟正黑體" w:eastAsia="微軟正黑體" w:hAnsi="微軟正黑體" w:hint="eastAsia"/>
        </w:rPr>
        <w:t>。</w:t>
      </w:r>
    </w:p>
    <w:p w14:paraId="6177EA4B" w14:textId="77777777" w:rsidR="007879CA" w:rsidRPr="004C4112" w:rsidRDefault="007879CA" w:rsidP="007879CA">
      <w:pPr>
        <w:spacing w:beforeLines="50" w:before="180" w:line="440" w:lineRule="exact"/>
        <w:jc w:val="both"/>
        <w:rPr>
          <w:rFonts w:ascii="微軟正黑體" w:eastAsia="微軟正黑體" w:hAnsi="微軟正黑體"/>
          <w:b/>
          <w:bCs/>
        </w:rPr>
      </w:pPr>
      <w:r w:rsidRPr="004C4112">
        <w:rPr>
          <w:rFonts w:ascii="微軟正黑體" w:eastAsia="微軟正黑體" w:hAnsi="微軟正黑體" w:hint="eastAsia"/>
          <w:b/>
          <w:bCs/>
        </w:rPr>
        <w:t>收益平準金機制不影響ETF資產配置與績效表現</w:t>
      </w:r>
    </w:p>
    <w:p w14:paraId="50A0A6B3" w14:textId="4E8FD541" w:rsidR="007426A2" w:rsidRPr="004C4112" w:rsidRDefault="001D421F" w:rsidP="007426A2">
      <w:pPr>
        <w:spacing w:beforeLines="50" w:before="180" w:line="440" w:lineRule="exact"/>
        <w:ind w:firstLineChars="200" w:firstLine="480"/>
        <w:jc w:val="both"/>
        <w:rPr>
          <w:rFonts w:ascii="微軟正黑體" w:eastAsia="微軟正黑體" w:hAnsi="微軟正黑體"/>
        </w:rPr>
      </w:pPr>
      <w:r w:rsidRPr="004C4112">
        <w:rPr>
          <w:rFonts w:ascii="微軟正黑體" w:eastAsia="微軟正黑體" w:hAnsi="微軟正黑體" w:hint="eastAsia"/>
        </w:rPr>
        <w:t>有些人擔心收益平準金機制會不會影響ETF投資組合的資產配置與績效表現？</w:t>
      </w:r>
      <w:r w:rsidR="007879CA" w:rsidRPr="004C4112">
        <w:rPr>
          <w:rFonts w:ascii="微軟正黑體" w:eastAsia="微軟正黑體" w:hAnsi="微軟正黑體" w:hint="eastAsia"/>
        </w:rPr>
        <w:lastRenderedPageBreak/>
        <w:t>事實上，</w:t>
      </w:r>
      <w:r w:rsidR="00363D6B" w:rsidRPr="004C4112">
        <w:rPr>
          <w:rFonts w:ascii="微軟正黑體" w:eastAsia="微軟正黑體" w:hAnsi="微軟正黑體" w:hint="eastAsia"/>
        </w:rPr>
        <w:t>因為</w:t>
      </w:r>
      <w:r w:rsidR="007879CA" w:rsidRPr="004C4112">
        <w:rPr>
          <w:rFonts w:ascii="微軟正黑體" w:eastAsia="微軟正黑體" w:hAnsi="微軟正黑體" w:hint="eastAsia"/>
        </w:rPr>
        <w:t>「收益平準金」是會計帳務分類的科目，對ETF帳列現金餘額並不會造成影響，因此不會使ETF可投資現金減少，也不會造成持股（債）比例降低，並無</w:t>
      </w:r>
      <w:r w:rsidR="00C05C3C" w:rsidRPr="004C4112">
        <w:rPr>
          <w:rFonts w:ascii="微軟正黑體" w:eastAsia="微軟正黑體" w:hAnsi="微軟正黑體" w:hint="eastAsia"/>
        </w:rPr>
        <w:t>影響ETF資產配置與績效表現的疑慮</w:t>
      </w:r>
      <w:r w:rsidR="007426A2" w:rsidRPr="004C4112">
        <w:rPr>
          <w:rFonts w:ascii="微軟正黑體" w:eastAsia="微軟正黑體" w:hAnsi="微軟正黑體" w:hint="eastAsia"/>
        </w:rPr>
        <w:t>；</w:t>
      </w:r>
      <w:r w:rsidR="00784D96" w:rsidRPr="004C4112">
        <w:rPr>
          <w:rFonts w:ascii="微軟正黑體" w:eastAsia="微軟正黑體" w:hAnsi="微軟正黑體" w:hint="eastAsia"/>
        </w:rPr>
        <w:t>且</w:t>
      </w:r>
      <w:r w:rsidR="007426A2" w:rsidRPr="004C4112">
        <w:rPr>
          <w:rFonts w:ascii="微軟正黑體" w:eastAsia="微軟正黑體" w:hAnsi="微軟正黑體" w:hint="eastAsia"/>
        </w:rPr>
        <w:t>投資績效的衡量主要來自配息及價差，ETF分配收益平準金會反映在配息裡，因此投資績效不會受到影響。</w:t>
      </w:r>
    </w:p>
    <w:p w14:paraId="2F142546" w14:textId="5EB681F9" w:rsidR="007879CA" w:rsidRPr="004C4112" w:rsidRDefault="007879CA" w:rsidP="007879CA">
      <w:pPr>
        <w:spacing w:beforeLines="50" w:before="180" w:line="440" w:lineRule="exact"/>
        <w:ind w:firstLineChars="200" w:firstLine="480"/>
        <w:jc w:val="both"/>
        <w:rPr>
          <w:rFonts w:ascii="微軟正黑體" w:eastAsia="微軟正黑體" w:hAnsi="微軟正黑體"/>
        </w:rPr>
      </w:pPr>
      <w:r w:rsidRPr="004C4112">
        <w:rPr>
          <w:rFonts w:ascii="微軟正黑體" w:eastAsia="微軟正黑體" w:hAnsi="微軟正黑體" w:hint="eastAsia"/>
        </w:rPr>
        <w:t>另外，只有透過初級市場交易，即直接向ETF發行投信公司申贖ETF時，才會影響收益平準金餘額增減，投資人在次級市場（即透過證券商下單）買賣ETF並不會影響收益平準金餘額，也不會影響配息來自收益平準金的比例。</w:t>
      </w:r>
    </w:p>
    <w:p w14:paraId="32E6ACC5" w14:textId="1C3E4CC0" w:rsidR="007879CA" w:rsidRPr="004C4112" w:rsidRDefault="007879CA" w:rsidP="007879CA">
      <w:pPr>
        <w:spacing w:beforeLines="50" w:before="180" w:line="440" w:lineRule="exact"/>
        <w:jc w:val="both"/>
        <w:rPr>
          <w:rFonts w:ascii="微軟正黑體" w:eastAsia="微軟正黑體" w:hAnsi="微軟正黑體"/>
          <w:b/>
          <w:bCs/>
        </w:rPr>
      </w:pPr>
      <w:r w:rsidRPr="004C4112">
        <w:rPr>
          <w:rFonts w:ascii="微軟正黑體" w:eastAsia="微軟正黑體" w:hAnsi="微軟正黑體" w:hint="eastAsia"/>
          <w:b/>
          <w:bCs/>
        </w:rPr>
        <w:t>使用收益平準金原則及揭露規定</w:t>
      </w:r>
    </w:p>
    <w:p w14:paraId="567EE033" w14:textId="23BA2AF9" w:rsidR="007879CA" w:rsidRPr="004C4112" w:rsidRDefault="007879CA" w:rsidP="007879CA">
      <w:pPr>
        <w:spacing w:beforeLines="50" w:before="180" w:line="440" w:lineRule="exact"/>
        <w:ind w:firstLineChars="200" w:firstLine="480"/>
        <w:jc w:val="both"/>
        <w:rPr>
          <w:rFonts w:ascii="微軟正黑體" w:eastAsia="微軟正黑體" w:hAnsi="微軟正黑體"/>
        </w:rPr>
      </w:pPr>
      <w:r w:rsidRPr="004C4112">
        <w:rPr>
          <w:rFonts w:ascii="微軟正黑體" w:eastAsia="微軟正黑體" w:hAnsi="微軟正黑體" w:hint="eastAsia"/>
        </w:rPr>
        <w:t>也有人質疑，投信可利用收益平準金機制，提高基金的配息率，事實上，收益平準金機制並不是為了「提升」配息率，而是為了「維持」配息率。</w:t>
      </w:r>
      <w:r w:rsidR="003A5409" w:rsidRPr="004C4112">
        <w:rPr>
          <w:rFonts w:ascii="微軟正黑體" w:eastAsia="微軟正黑體" w:hAnsi="微軟正黑體" w:hint="eastAsia"/>
        </w:rPr>
        <w:t>為確保收益平準金之正常使用</w:t>
      </w:r>
      <w:r w:rsidRPr="004C4112">
        <w:rPr>
          <w:rFonts w:ascii="微軟正黑體" w:eastAsia="微軟正黑體" w:hAnsi="微軟正黑體" w:hint="eastAsia"/>
        </w:rPr>
        <w:t>，金管會2024年1月11日公布規定，投信決定ETF配息率須依下列原則進行：</w:t>
      </w:r>
    </w:p>
    <w:p w14:paraId="5C6BEE2D" w14:textId="11774C3B" w:rsidR="007879CA" w:rsidRPr="004C4112" w:rsidRDefault="007879CA" w:rsidP="007879CA">
      <w:pPr>
        <w:spacing w:beforeLines="50" w:before="180" w:line="440" w:lineRule="exact"/>
        <w:ind w:left="425" w:hangingChars="177" w:hanging="425"/>
        <w:jc w:val="both"/>
        <w:rPr>
          <w:rFonts w:ascii="微軟正黑體" w:eastAsia="微軟正黑體" w:hAnsi="微軟正黑體"/>
        </w:rPr>
      </w:pPr>
      <w:r w:rsidRPr="004C4112">
        <w:rPr>
          <w:rFonts w:ascii="微軟正黑體" w:eastAsia="微軟正黑體" w:hAnsi="微軟正黑體" w:hint="eastAsia"/>
        </w:rPr>
        <w:t>一、ETF實際配息率原則不應超過參考配息率（即ETF追蹤指數的配息率），並應說明差異原因及留存紀錄。</w:t>
      </w:r>
    </w:p>
    <w:p w14:paraId="339D1289" w14:textId="28B42DCE" w:rsidR="007879CA" w:rsidRPr="004C4112" w:rsidRDefault="007879CA" w:rsidP="007879CA">
      <w:pPr>
        <w:spacing w:beforeLines="50" w:before="180" w:line="440" w:lineRule="exact"/>
        <w:ind w:left="425" w:hangingChars="177" w:hanging="425"/>
        <w:jc w:val="both"/>
        <w:rPr>
          <w:rFonts w:ascii="微軟正黑體" w:eastAsia="微軟正黑體" w:hAnsi="微軟正黑體"/>
        </w:rPr>
      </w:pPr>
      <w:r w:rsidRPr="004C4112">
        <w:rPr>
          <w:rFonts w:ascii="微軟正黑體" w:eastAsia="微軟正黑體" w:hAnsi="微軟正黑體" w:hint="eastAsia"/>
        </w:rPr>
        <w:t>二、投信業者應訂有收益平準金之啟動標準，例如應同時符合配息率低於參考配息率，以及一段期間內淨申購增加達一定百分比以上而有稀釋配息率之可能性時才能啓用。</w:t>
      </w:r>
    </w:p>
    <w:p w14:paraId="2BDCD19C" w14:textId="234DFE6C" w:rsidR="007879CA" w:rsidRPr="004C4112" w:rsidRDefault="007879CA" w:rsidP="007879CA">
      <w:pPr>
        <w:spacing w:beforeLines="50" w:before="180" w:line="440" w:lineRule="exact"/>
        <w:ind w:left="425" w:hangingChars="177" w:hanging="425"/>
        <w:jc w:val="both"/>
        <w:rPr>
          <w:rFonts w:ascii="微軟正黑體" w:eastAsia="微軟正黑體" w:hAnsi="微軟正黑體"/>
        </w:rPr>
      </w:pPr>
      <w:r w:rsidRPr="004C4112">
        <w:rPr>
          <w:rFonts w:ascii="微軟正黑體" w:eastAsia="微軟正黑體" w:hAnsi="微軟正黑體" w:hint="eastAsia"/>
        </w:rPr>
        <w:t>三、使用收益平準金之占比，不應高於「收益分配權最後交易日帳列之收益平準金」/「收益分配權最後交易日帳列之所有可分配收益」之比例。</w:t>
      </w:r>
    </w:p>
    <w:p w14:paraId="51621E38" w14:textId="60CCFD15" w:rsidR="007879CA" w:rsidRPr="004C4112" w:rsidRDefault="007879CA" w:rsidP="007879CA">
      <w:pPr>
        <w:spacing w:beforeLines="50" w:before="180" w:line="440" w:lineRule="exact"/>
        <w:ind w:left="425" w:hangingChars="177" w:hanging="425"/>
        <w:jc w:val="both"/>
        <w:rPr>
          <w:rFonts w:ascii="微軟正黑體" w:eastAsia="微軟正黑體" w:hAnsi="微軟正黑體"/>
        </w:rPr>
      </w:pPr>
      <w:r w:rsidRPr="004C4112">
        <w:rPr>
          <w:rFonts w:ascii="微軟正黑體" w:eastAsia="微軟正黑體" w:hAnsi="微軟正黑體" w:hint="eastAsia"/>
        </w:rPr>
        <w:t>四、ETF應訂有收益分配優先順序，原則應優先分配股利、債息及資本利得等科目，達收益平準金啟動標準時，方得使用收益平準金。</w:t>
      </w:r>
    </w:p>
    <w:p w14:paraId="3C2E2E4C" w14:textId="7EF4FA67" w:rsidR="007879CA" w:rsidRPr="004C4112" w:rsidRDefault="007879CA" w:rsidP="00BD268E">
      <w:pPr>
        <w:spacing w:beforeLines="50" w:before="180" w:line="440" w:lineRule="exact"/>
        <w:ind w:firstLineChars="200" w:firstLine="480"/>
        <w:jc w:val="both"/>
        <w:rPr>
          <w:rFonts w:ascii="微軟正黑體" w:eastAsia="微軟正黑體" w:hAnsi="微軟正黑體"/>
        </w:rPr>
      </w:pPr>
      <w:r w:rsidRPr="004C4112">
        <w:rPr>
          <w:rFonts w:ascii="微軟正黑體" w:eastAsia="微軟正黑體" w:hAnsi="微軟正黑體" w:hint="eastAsia"/>
        </w:rPr>
        <w:t>除上述原則外，投信公司</w:t>
      </w:r>
      <w:r w:rsidR="00CF50B5" w:rsidRPr="004C4112">
        <w:rPr>
          <w:rFonts w:ascii="微軟正黑體" w:eastAsia="微軟正黑體" w:hAnsi="微軟正黑體" w:hint="eastAsia"/>
        </w:rPr>
        <w:t>依規定</w:t>
      </w:r>
      <w:r w:rsidRPr="004C4112">
        <w:rPr>
          <w:rFonts w:ascii="微軟正黑體" w:eastAsia="微軟正黑體" w:hAnsi="微軟正黑體" w:hint="eastAsia"/>
        </w:rPr>
        <w:t>須在公開資訊觀測站揭露ETF收益分配組成，包含配息來自股息、資本利得、或收益平準金的占比，以提升相關資訊透明度，讓投資人可以充分瞭解相關資訊後再做出適當的投資選擇</w:t>
      </w:r>
      <w:r w:rsidR="00061829" w:rsidRPr="004C4112">
        <w:rPr>
          <w:rFonts w:ascii="微軟正黑體" w:eastAsia="微軟正黑體" w:hAnsi="微軟正黑體" w:hint="eastAsia"/>
        </w:rPr>
        <w:t>；另外，投信公司官網的「ETF專區」內，也將新增「收益平準金專區」，羅列相關收益平準金的資訊，傳達給投資人正確的收益平準金觀念。</w:t>
      </w:r>
    </w:p>
    <w:p w14:paraId="1CDC3350" w14:textId="5FB4FD23" w:rsidR="00376AFE" w:rsidRPr="004C4112" w:rsidRDefault="007879CA" w:rsidP="00BD268E">
      <w:pPr>
        <w:spacing w:beforeLines="50" w:before="180" w:line="440" w:lineRule="exact"/>
        <w:ind w:firstLineChars="200" w:firstLine="480"/>
        <w:jc w:val="both"/>
        <w:rPr>
          <w:rFonts w:ascii="微軟正黑體" w:eastAsia="微軟正黑體" w:hAnsi="微軟正黑體"/>
        </w:rPr>
      </w:pPr>
      <w:r w:rsidRPr="004C4112">
        <w:rPr>
          <w:rFonts w:ascii="微軟正黑體" w:eastAsia="微軟正黑體" w:hAnsi="微軟正黑體" w:hint="eastAsia"/>
        </w:rPr>
        <w:t>最後要提醒投資人，選</w:t>
      </w:r>
      <w:r w:rsidR="00103D83" w:rsidRPr="004C4112">
        <w:rPr>
          <w:rFonts w:ascii="微軟正黑體" w:eastAsia="微軟正黑體" w:hAnsi="微軟正黑體" w:hint="eastAsia"/>
        </w:rPr>
        <w:t>擇</w:t>
      </w:r>
      <w:r w:rsidRPr="004C4112">
        <w:rPr>
          <w:rFonts w:ascii="微軟正黑體" w:eastAsia="微軟正黑體" w:hAnsi="微軟正黑體" w:hint="eastAsia"/>
        </w:rPr>
        <w:t>配息型</w:t>
      </w:r>
      <w:r w:rsidR="00103D83" w:rsidRPr="004C4112">
        <w:rPr>
          <w:rFonts w:ascii="微軟正黑體" w:eastAsia="微軟正黑體" w:hAnsi="微軟正黑體" w:hint="eastAsia"/>
        </w:rPr>
        <w:t>商品</w:t>
      </w:r>
      <w:r w:rsidRPr="004C4112">
        <w:rPr>
          <w:rFonts w:ascii="微軟正黑體" w:eastAsia="微軟正黑體" w:hAnsi="微軟正黑體" w:hint="eastAsia"/>
        </w:rPr>
        <w:t>時，不應該只看配息高低，更須評估的是</w:t>
      </w:r>
      <w:r w:rsidR="00103D83" w:rsidRPr="004C4112">
        <w:rPr>
          <w:rFonts w:ascii="微軟正黑體" w:eastAsia="微軟正黑體" w:hAnsi="微軟正黑體" w:hint="eastAsia"/>
        </w:rPr>
        <w:t>基金</w:t>
      </w:r>
      <w:r w:rsidRPr="004C4112">
        <w:rPr>
          <w:rFonts w:ascii="微軟正黑體" w:eastAsia="微軟正黑體" w:hAnsi="微軟正黑體" w:hint="eastAsia"/>
        </w:rPr>
        <w:t>成分股未來發展潛能及獲利性，畢竟除了配息之外，投資資產的增長才是投資</w:t>
      </w:r>
      <w:r w:rsidRPr="004C4112">
        <w:rPr>
          <w:rFonts w:ascii="微軟正黑體" w:eastAsia="微軟正黑體" w:hAnsi="微軟正黑體" w:hint="eastAsia"/>
        </w:rPr>
        <w:lastRenderedPageBreak/>
        <w:t>獲利的關鍵，也是投資人更應關切考量的重點。</w:t>
      </w:r>
    </w:p>
    <w:p w14:paraId="425B958D" w14:textId="77777777" w:rsidR="003A5409" w:rsidRPr="004C4112" w:rsidRDefault="003A5409" w:rsidP="00BD268E">
      <w:pPr>
        <w:spacing w:beforeLines="50" w:before="180" w:line="440" w:lineRule="exact"/>
        <w:ind w:firstLineChars="200" w:firstLine="480"/>
        <w:jc w:val="both"/>
        <w:rPr>
          <w:rFonts w:ascii="微軟正黑體" w:eastAsia="微軟正黑體" w:hAnsi="微軟正黑體"/>
        </w:rPr>
      </w:pPr>
    </w:p>
    <w:p w14:paraId="244001BE" w14:textId="0DB2A42D" w:rsidR="00FF1C94" w:rsidRPr="004C4112" w:rsidRDefault="00363D6B" w:rsidP="00363D6B">
      <w:pPr>
        <w:spacing w:line="440" w:lineRule="exact"/>
        <w:rPr>
          <w:rFonts w:ascii="微軟正黑體" w:eastAsia="微軟正黑體" w:hAnsi="微軟正黑體"/>
          <w:b/>
          <w:bCs/>
        </w:rPr>
      </w:pPr>
      <w:r w:rsidRPr="004C4112">
        <w:rPr>
          <w:rFonts w:ascii="微軟正黑體" w:eastAsia="微軟正黑體" w:hAnsi="微軟正黑體" w:hint="eastAsia"/>
          <w:b/>
          <w:bCs/>
        </w:rPr>
        <w:t>＜實例說明&gt;</w:t>
      </w:r>
    </w:p>
    <w:p w14:paraId="40913BF4" w14:textId="1FF3E6A6" w:rsidR="00363D6B" w:rsidRPr="004C4112" w:rsidRDefault="00363D6B" w:rsidP="00363D6B">
      <w:pPr>
        <w:spacing w:beforeLines="50" w:before="180" w:line="440" w:lineRule="exact"/>
        <w:ind w:firstLineChars="200" w:firstLine="480"/>
        <w:jc w:val="both"/>
        <w:rPr>
          <w:rFonts w:ascii="微軟正黑體" w:eastAsia="微軟正黑體" w:hAnsi="微軟正黑體"/>
        </w:rPr>
      </w:pPr>
      <w:r w:rsidRPr="004C4112">
        <w:rPr>
          <w:rFonts w:ascii="微軟正黑體" w:eastAsia="微軟正黑體" w:hAnsi="微軟正黑體" w:hint="eastAsia"/>
        </w:rPr>
        <w:t>某ETF於當年8月底前規模</w:t>
      </w:r>
      <w:r w:rsidR="00CF50B5" w:rsidRPr="004C4112">
        <w:rPr>
          <w:rFonts w:ascii="微軟正黑體" w:eastAsia="微軟正黑體" w:hAnsi="微軟正黑體" w:hint="eastAsia"/>
        </w:rPr>
        <w:t>為</w:t>
      </w:r>
      <w:r w:rsidRPr="004C4112">
        <w:rPr>
          <w:rFonts w:ascii="微軟正黑體" w:eastAsia="微軟正黑體" w:hAnsi="微軟正黑體" w:hint="eastAsia"/>
        </w:rPr>
        <w:t>100億元左右，期間領到的股利所得為5億，預計9月配息時可配發的配息率為5%(=5億/100億)。然而，9月除息前突有大筆申購資金，ETF規模擴大至500億</w:t>
      </w:r>
      <w:r w:rsidR="00CF50B5" w:rsidRPr="004C4112">
        <w:rPr>
          <w:rFonts w:ascii="微軟正黑體" w:eastAsia="微軟正黑體" w:hAnsi="微軟正黑體" w:hint="eastAsia"/>
        </w:rPr>
        <w:t>元</w:t>
      </w:r>
      <w:r w:rsidRPr="004C4112">
        <w:rPr>
          <w:rFonts w:ascii="微軟正黑體" w:eastAsia="微軟正黑體" w:hAnsi="微軟正黑體" w:hint="eastAsia"/>
        </w:rPr>
        <w:t>，但帳上仍只有5億的股利所得，因此ETF可配息率將從5%稀釋到1%(=5億/500億)。</w:t>
      </w:r>
    </w:p>
    <w:p w14:paraId="30DC5FCE" w14:textId="6DB344CE" w:rsidR="00363D6B" w:rsidRPr="004C4112" w:rsidRDefault="00363D6B" w:rsidP="00CF50B5">
      <w:pPr>
        <w:spacing w:beforeLines="50" w:before="180" w:line="440" w:lineRule="exact"/>
        <w:ind w:firstLineChars="200" w:firstLine="480"/>
        <w:jc w:val="both"/>
        <w:rPr>
          <w:rFonts w:ascii="微軟正黑體" w:eastAsia="微軟正黑體" w:hAnsi="微軟正黑體"/>
        </w:rPr>
      </w:pPr>
      <w:r w:rsidRPr="004C4112">
        <w:rPr>
          <w:rFonts w:ascii="微軟正黑體" w:eastAsia="微軟正黑體" w:hAnsi="微軟正黑體"/>
          <w:noProof/>
        </w:rPr>
        <w:drawing>
          <wp:anchor distT="0" distB="0" distL="114300" distR="114300" simplePos="0" relativeHeight="251664384" behindDoc="0" locked="0" layoutInCell="1" allowOverlap="1" wp14:anchorId="11542C18" wp14:editId="742379DA">
            <wp:simplePos x="0" y="0"/>
            <wp:positionH relativeFrom="margin">
              <wp:align>center</wp:align>
            </wp:positionH>
            <wp:positionV relativeFrom="paragraph">
              <wp:posOffset>1797812</wp:posOffset>
            </wp:positionV>
            <wp:extent cx="5274310" cy="1903730"/>
            <wp:effectExtent l="19050" t="19050" r="21590" b="20320"/>
            <wp:wrapTopAndBottom/>
            <wp:docPr id="1" name="圖片 4"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descr="一張含有 文字, 螢幕擷取畫面, 字型, 數字 的圖片&#10;&#10;自動產生的描述"/>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19037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4C4112">
        <w:rPr>
          <w:rFonts w:ascii="微軟正黑體" w:eastAsia="微軟正黑體" w:hAnsi="微軟正黑體" w:hint="eastAsia"/>
        </w:rPr>
        <w:t>而在納入收益平準金機制下，當ETF因淨申購規模增加到500億</w:t>
      </w:r>
      <w:r w:rsidR="00CF50B5" w:rsidRPr="004C4112">
        <w:rPr>
          <w:rFonts w:ascii="微軟正黑體" w:eastAsia="微軟正黑體" w:hAnsi="微軟正黑體" w:hint="eastAsia"/>
        </w:rPr>
        <w:t>元</w:t>
      </w:r>
      <w:r w:rsidRPr="004C4112">
        <w:rPr>
          <w:rFonts w:ascii="微軟正黑體" w:eastAsia="微軟正黑體" w:hAnsi="微軟正黑體" w:hint="eastAsia"/>
        </w:rPr>
        <w:t>時，為維持原配息率，配息金額要增加為25億元，其中20%來自股息所得、80%則來自收益平準金科目。因此投資人看到的配息成分表，收益平準金的占比較高。</w:t>
      </w:r>
      <w:r w:rsidR="00CF50B5" w:rsidRPr="004C4112">
        <w:rPr>
          <w:rFonts w:ascii="微軟正黑體" w:eastAsia="微軟正黑體" w:hAnsi="微軟正黑體" w:hint="eastAsia"/>
        </w:rPr>
        <w:t>但則可發揮維持</w:t>
      </w:r>
      <w:r w:rsidRPr="004C4112">
        <w:rPr>
          <w:rFonts w:ascii="微軟正黑體" w:eastAsia="微軟正黑體" w:hAnsi="微軟正黑體" w:hint="eastAsia"/>
        </w:rPr>
        <w:t>配息率</w:t>
      </w:r>
      <w:r w:rsidR="00CF50B5" w:rsidRPr="004C4112">
        <w:rPr>
          <w:rFonts w:ascii="微軟正黑體" w:eastAsia="微軟正黑體" w:hAnsi="微軟正黑體" w:hint="eastAsia"/>
        </w:rPr>
        <w:t>的效果</w:t>
      </w:r>
      <w:r w:rsidRPr="004C4112">
        <w:rPr>
          <w:rFonts w:ascii="微軟正黑體" w:eastAsia="微軟正黑體" w:hAnsi="微軟正黑體" w:hint="eastAsia"/>
        </w:rPr>
        <w:t>，避免因為規模增加而稀釋配息</w:t>
      </w:r>
      <w:r w:rsidR="00CF50B5" w:rsidRPr="004C4112">
        <w:rPr>
          <w:rFonts w:ascii="微軟正黑體" w:eastAsia="微軟正黑體" w:hAnsi="微軟正黑體" w:hint="eastAsia"/>
        </w:rPr>
        <w:t>。</w:t>
      </w:r>
    </w:p>
    <w:p w14:paraId="74A5D249" w14:textId="77777777" w:rsidR="00363D6B" w:rsidRPr="004C4112" w:rsidRDefault="00363D6B" w:rsidP="00363D6B">
      <w:pPr>
        <w:spacing w:beforeLines="50" w:before="180" w:line="440" w:lineRule="exact"/>
        <w:jc w:val="both"/>
        <w:rPr>
          <w:rFonts w:ascii="微軟正黑體" w:eastAsia="微軟正黑體" w:hAnsi="微軟正黑體"/>
          <w:b/>
          <w:bCs/>
        </w:rPr>
      </w:pPr>
    </w:p>
    <w:p w14:paraId="18813F85" w14:textId="77777777" w:rsidR="00363D6B" w:rsidRPr="004C4112" w:rsidRDefault="00363D6B" w:rsidP="00363D6B">
      <w:pPr>
        <w:spacing w:beforeLines="50" w:before="180" w:line="440" w:lineRule="exact"/>
        <w:jc w:val="both"/>
        <w:rPr>
          <w:rFonts w:ascii="微軟正黑體" w:eastAsia="微軟正黑體" w:hAnsi="微軟正黑體"/>
          <w:b/>
          <w:bCs/>
        </w:rPr>
      </w:pPr>
    </w:p>
    <w:p w14:paraId="316E94AE" w14:textId="478F2BDA" w:rsidR="00363D6B" w:rsidRPr="004C4112" w:rsidRDefault="00363D6B" w:rsidP="00363D6B">
      <w:pPr>
        <w:spacing w:beforeLines="50" w:before="180" w:line="440" w:lineRule="exact"/>
        <w:jc w:val="both"/>
        <w:rPr>
          <w:rFonts w:ascii="微軟正黑體" w:eastAsia="微軟正黑體" w:hAnsi="微軟正黑體"/>
          <w:b/>
          <w:bCs/>
        </w:rPr>
      </w:pPr>
    </w:p>
    <w:p w14:paraId="652FB779" w14:textId="77777777" w:rsidR="00363D6B" w:rsidRPr="004C4112" w:rsidRDefault="00363D6B" w:rsidP="00363D6B">
      <w:pPr>
        <w:spacing w:line="440" w:lineRule="exact"/>
        <w:rPr>
          <w:rFonts w:ascii="微軟正黑體" w:eastAsia="微軟正黑體" w:hAnsi="微軟正黑體"/>
        </w:rPr>
      </w:pPr>
    </w:p>
    <w:p w14:paraId="463A2B05" w14:textId="77777777" w:rsidR="00363D6B" w:rsidRPr="004C4112" w:rsidRDefault="00363D6B" w:rsidP="00363D6B">
      <w:pPr>
        <w:spacing w:line="440" w:lineRule="exact"/>
        <w:rPr>
          <w:rFonts w:ascii="微軟正黑體" w:eastAsia="微軟正黑體" w:hAnsi="微軟正黑體"/>
        </w:rPr>
      </w:pPr>
    </w:p>
    <w:p w14:paraId="47A9ED06" w14:textId="07ECD8A6" w:rsidR="005C52B7" w:rsidRPr="004C4112" w:rsidRDefault="005C52B7" w:rsidP="005C52B7">
      <w:pPr>
        <w:spacing w:line="440" w:lineRule="exact"/>
        <w:jc w:val="center"/>
        <w:rPr>
          <w:rFonts w:ascii="微軟正黑體" w:eastAsia="微軟正黑體" w:hAnsi="微軟正黑體"/>
        </w:rPr>
      </w:pPr>
      <w:r w:rsidRPr="004C4112">
        <w:rPr>
          <w:rFonts w:ascii="微軟正黑體" w:eastAsia="微軟正黑體" w:hAnsi="微軟正黑體" w:hint="eastAsia"/>
        </w:rPr>
        <w:t>###</w:t>
      </w:r>
    </w:p>
    <w:sectPr w:rsidR="005C52B7" w:rsidRPr="004C4112" w:rsidSect="00CA674D">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8665" w14:textId="77777777" w:rsidR="00CA674D" w:rsidRDefault="00CA674D" w:rsidP="00031789">
      <w:r>
        <w:separator/>
      </w:r>
    </w:p>
  </w:endnote>
  <w:endnote w:type="continuationSeparator" w:id="0">
    <w:p w14:paraId="2A2AC34E" w14:textId="77777777" w:rsidR="00CA674D" w:rsidRDefault="00CA674D" w:rsidP="0003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粗黑體(P)">
    <w:altName w:val="微軟正黑體"/>
    <w:charset w:val="88"/>
    <w:family w:val="swiss"/>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w:charset w:val="88"/>
    <w:family w:val="modern"/>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707786"/>
      <w:docPartObj>
        <w:docPartGallery w:val="Page Numbers (Bottom of Page)"/>
        <w:docPartUnique/>
      </w:docPartObj>
    </w:sdtPr>
    <w:sdtEndPr/>
    <w:sdtContent>
      <w:p w14:paraId="79A591EF" w14:textId="29C479BE" w:rsidR="001E7465" w:rsidRDefault="001E7465">
        <w:pPr>
          <w:pStyle w:val="a9"/>
          <w:jc w:val="center"/>
        </w:pPr>
        <w:r>
          <w:fldChar w:fldCharType="begin"/>
        </w:r>
        <w:r>
          <w:instrText>PAGE   \* MERGEFORMAT</w:instrText>
        </w:r>
        <w:r>
          <w:fldChar w:fldCharType="separate"/>
        </w:r>
        <w:r>
          <w:rPr>
            <w:lang w:val="zh-TW"/>
          </w:rPr>
          <w:t>2</w:t>
        </w:r>
        <w:r>
          <w:fldChar w:fldCharType="end"/>
        </w:r>
      </w:p>
    </w:sdtContent>
  </w:sdt>
  <w:p w14:paraId="7778C9F0" w14:textId="77777777" w:rsidR="001E7465" w:rsidRDefault="001E74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6A00" w14:textId="77777777" w:rsidR="00CA674D" w:rsidRDefault="00CA674D" w:rsidP="00031789">
      <w:r>
        <w:separator/>
      </w:r>
    </w:p>
  </w:footnote>
  <w:footnote w:type="continuationSeparator" w:id="0">
    <w:p w14:paraId="3C6D69A6" w14:textId="77777777" w:rsidR="00CA674D" w:rsidRDefault="00CA674D" w:rsidP="00031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D8"/>
    <w:rsid w:val="00012C46"/>
    <w:rsid w:val="00031789"/>
    <w:rsid w:val="00061829"/>
    <w:rsid w:val="000632E8"/>
    <w:rsid w:val="00063365"/>
    <w:rsid w:val="000A46E6"/>
    <w:rsid w:val="00103D83"/>
    <w:rsid w:val="00145E1A"/>
    <w:rsid w:val="00147A7E"/>
    <w:rsid w:val="00167AC2"/>
    <w:rsid w:val="001C7395"/>
    <w:rsid w:val="001D421F"/>
    <w:rsid w:val="001E1A74"/>
    <w:rsid w:val="001E3CAA"/>
    <w:rsid w:val="001E7465"/>
    <w:rsid w:val="001F3E77"/>
    <w:rsid w:val="002113A5"/>
    <w:rsid w:val="00213B1D"/>
    <w:rsid w:val="002324B7"/>
    <w:rsid w:val="00290CC7"/>
    <w:rsid w:val="00300DB8"/>
    <w:rsid w:val="00337490"/>
    <w:rsid w:val="00363D6B"/>
    <w:rsid w:val="003667C6"/>
    <w:rsid w:val="00376AFE"/>
    <w:rsid w:val="0039636F"/>
    <w:rsid w:val="003A5409"/>
    <w:rsid w:val="003C650E"/>
    <w:rsid w:val="00412E77"/>
    <w:rsid w:val="004635FF"/>
    <w:rsid w:val="00487258"/>
    <w:rsid w:val="004C4112"/>
    <w:rsid w:val="00512693"/>
    <w:rsid w:val="00582BF7"/>
    <w:rsid w:val="005C52B7"/>
    <w:rsid w:val="005D2A64"/>
    <w:rsid w:val="0061648A"/>
    <w:rsid w:val="00625E60"/>
    <w:rsid w:val="006333BE"/>
    <w:rsid w:val="00646211"/>
    <w:rsid w:val="00652C3E"/>
    <w:rsid w:val="006562E8"/>
    <w:rsid w:val="006D740F"/>
    <w:rsid w:val="00710308"/>
    <w:rsid w:val="00713B67"/>
    <w:rsid w:val="007426A2"/>
    <w:rsid w:val="00746E7F"/>
    <w:rsid w:val="00784D96"/>
    <w:rsid w:val="007879CA"/>
    <w:rsid w:val="007F795A"/>
    <w:rsid w:val="00845258"/>
    <w:rsid w:val="00870AA3"/>
    <w:rsid w:val="008A0F68"/>
    <w:rsid w:val="00955033"/>
    <w:rsid w:val="009E1AD8"/>
    <w:rsid w:val="00A10801"/>
    <w:rsid w:val="00A77289"/>
    <w:rsid w:val="00B3506C"/>
    <w:rsid w:val="00B651B4"/>
    <w:rsid w:val="00BD268E"/>
    <w:rsid w:val="00C05C3C"/>
    <w:rsid w:val="00C375F6"/>
    <w:rsid w:val="00C5124B"/>
    <w:rsid w:val="00C61A63"/>
    <w:rsid w:val="00CA674D"/>
    <w:rsid w:val="00CC12E7"/>
    <w:rsid w:val="00CE317C"/>
    <w:rsid w:val="00CF50B5"/>
    <w:rsid w:val="00D06108"/>
    <w:rsid w:val="00D358FC"/>
    <w:rsid w:val="00D371F6"/>
    <w:rsid w:val="00D50D0A"/>
    <w:rsid w:val="00D61CC5"/>
    <w:rsid w:val="00D7174E"/>
    <w:rsid w:val="00D834F0"/>
    <w:rsid w:val="00D864C6"/>
    <w:rsid w:val="00E25975"/>
    <w:rsid w:val="00E62FCA"/>
    <w:rsid w:val="00E863B7"/>
    <w:rsid w:val="00EB0C28"/>
    <w:rsid w:val="00EB7204"/>
    <w:rsid w:val="00F12245"/>
    <w:rsid w:val="00F4176B"/>
    <w:rsid w:val="00FF1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C124F"/>
  <w15:chartTrackingRefBased/>
  <w15:docId w15:val="{477FA0F6-E075-49BC-90AB-A6A8B6A8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C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2C46"/>
    <w:rPr>
      <w:rFonts w:ascii="細明體" w:eastAsia="細明體" w:hAnsi="Courier New"/>
      <w:szCs w:val="20"/>
    </w:rPr>
  </w:style>
  <w:style w:type="character" w:customStyle="1" w:styleId="a4">
    <w:name w:val="純文字 字元"/>
    <w:basedOn w:val="a0"/>
    <w:link w:val="a3"/>
    <w:rsid w:val="00012C46"/>
    <w:rPr>
      <w:rFonts w:ascii="細明體" w:eastAsia="細明體" w:hAnsi="Courier New" w:cs="Times New Roman"/>
      <w:szCs w:val="20"/>
    </w:rPr>
  </w:style>
  <w:style w:type="paragraph" w:styleId="a5">
    <w:name w:val="List Paragraph"/>
    <w:basedOn w:val="a"/>
    <w:uiPriority w:val="99"/>
    <w:qFormat/>
    <w:rsid w:val="00012C46"/>
    <w:pPr>
      <w:ind w:leftChars="200" w:left="480"/>
    </w:pPr>
    <w:rPr>
      <w:rFonts w:ascii="Calibri" w:hAnsi="Calibri"/>
      <w:szCs w:val="22"/>
    </w:rPr>
  </w:style>
  <w:style w:type="paragraph" w:customStyle="1" w:styleId="Default">
    <w:name w:val="Default"/>
    <w:rsid w:val="00412E77"/>
    <w:pPr>
      <w:widowControl w:val="0"/>
      <w:autoSpaceDE w:val="0"/>
      <w:autoSpaceDN w:val="0"/>
      <w:adjustRightInd w:val="0"/>
    </w:pPr>
    <w:rPr>
      <w:rFonts w:ascii="新細明體" w:eastAsia="新細明體" w:cs="新細明體"/>
      <w:color w:val="000000"/>
      <w:kern w:val="0"/>
      <w:szCs w:val="24"/>
    </w:rPr>
  </w:style>
  <w:style w:type="paragraph" w:styleId="HTML">
    <w:name w:val="HTML Preformatted"/>
    <w:basedOn w:val="a"/>
    <w:link w:val="HTML0"/>
    <w:uiPriority w:val="99"/>
    <w:semiHidden/>
    <w:unhideWhenUsed/>
    <w:rsid w:val="001E3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E3CAA"/>
    <w:rPr>
      <w:rFonts w:ascii="細明體" w:eastAsia="細明體" w:hAnsi="細明體" w:cs="細明體"/>
      <w:kern w:val="0"/>
      <w:szCs w:val="24"/>
    </w:rPr>
  </w:style>
  <w:style w:type="character" w:styleId="a6">
    <w:name w:val="Emphasis"/>
    <w:basedOn w:val="a0"/>
    <w:uiPriority w:val="20"/>
    <w:qFormat/>
    <w:rsid w:val="001E3CAA"/>
    <w:rPr>
      <w:i/>
      <w:iCs/>
    </w:rPr>
  </w:style>
  <w:style w:type="paragraph" w:styleId="a7">
    <w:name w:val="header"/>
    <w:basedOn w:val="a"/>
    <w:link w:val="a8"/>
    <w:uiPriority w:val="99"/>
    <w:unhideWhenUsed/>
    <w:rsid w:val="00031789"/>
    <w:pPr>
      <w:tabs>
        <w:tab w:val="center" w:pos="4153"/>
        <w:tab w:val="right" w:pos="8306"/>
      </w:tabs>
      <w:snapToGrid w:val="0"/>
    </w:pPr>
    <w:rPr>
      <w:sz w:val="20"/>
      <w:szCs w:val="20"/>
    </w:rPr>
  </w:style>
  <w:style w:type="character" w:customStyle="1" w:styleId="a8">
    <w:name w:val="頁首 字元"/>
    <w:basedOn w:val="a0"/>
    <w:link w:val="a7"/>
    <w:uiPriority w:val="99"/>
    <w:rsid w:val="00031789"/>
    <w:rPr>
      <w:rFonts w:ascii="Times New Roman" w:eastAsia="新細明體" w:hAnsi="Times New Roman" w:cs="Times New Roman"/>
      <w:sz w:val="20"/>
      <w:szCs w:val="20"/>
    </w:rPr>
  </w:style>
  <w:style w:type="paragraph" w:styleId="a9">
    <w:name w:val="footer"/>
    <w:basedOn w:val="a"/>
    <w:link w:val="aa"/>
    <w:uiPriority w:val="99"/>
    <w:unhideWhenUsed/>
    <w:rsid w:val="00031789"/>
    <w:pPr>
      <w:tabs>
        <w:tab w:val="center" w:pos="4153"/>
        <w:tab w:val="right" w:pos="8306"/>
      </w:tabs>
      <w:snapToGrid w:val="0"/>
    </w:pPr>
    <w:rPr>
      <w:sz w:val="20"/>
      <w:szCs w:val="20"/>
    </w:rPr>
  </w:style>
  <w:style w:type="character" w:customStyle="1" w:styleId="aa">
    <w:name w:val="頁尾 字元"/>
    <w:basedOn w:val="a0"/>
    <w:link w:val="a9"/>
    <w:uiPriority w:val="99"/>
    <w:rsid w:val="000317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陳湘文</dc:creator>
  <cp:keywords/>
  <dc:description/>
  <cp:lastModifiedBy>投信投顧公會 呂秀蘭</cp:lastModifiedBy>
  <cp:revision>3</cp:revision>
  <cp:lastPrinted>2023-11-28T07:19:00Z</cp:lastPrinted>
  <dcterms:created xsi:type="dcterms:W3CDTF">2024-01-29T08:39:00Z</dcterms:created>
  <dcterms:modified xsi:type="dcterms:W3CDTF">2024-01-29T08:44:00Z</dcterms:modified>
</cp:coreProperties>
</file>