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081B" w14:textId="62674E30" w:rsidR="00012C46" w:rsidRDefault="00012C46" w:rsidP="00012C4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>
        <w:rPr>
          <w:rFonts w:ascii="Arial" w:eastAsia="華康粗黑體(P)" w:hAnsi="Arial" w:cs="Arial" w:hint="eastAsia"/>
          <w:w w:val="90"/>
          <w:sz w:val="44"/>
        </w:rPr>
        <w:t>新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聞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012C46" w:rsidRPr="00BA474F" w14:paraId="2196AFB4" w14:textId="77777777" w:rsidTr="001A51AE">
        <w:tc>
          <w:tcPr>
            <w:tcW w:w="4168" w:type="dxa"/>
          </w:tcPr>
          <w:p w14:paraId="3A827AF5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25DBC525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發佈日期：</w:t>
            </w:r>
            <w:r w:rsidRPr="00BA474F">
              <w:rPr>
                <w:rFonts w:ascii="Arial" w:eastAsia="華康細圓體" w:hAnsi="Arial" w:cs="Arial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1</w:t>
            </w:r>
            <w:r w:rsidR="00FE726D">
              <w:rPr>
                <w:rFonts w:ascii="Arial" w:eastAsia="華康細圓體" w:hAnsi="Arial" w:cs="Arial" w:hint="eastAsia"/>
              </w:rPr>
              <w:t>3</w:t>
            </w:r>
            <w:r w:rsidRPr="00BA474F">
              <w:rPr>
                <w:rFonts w:ascii="Arial" w:eastAsia="華康細圓體" w:hAnsi="Arial" w:cs="Arial"/>
              </w:rPr>
              <w:t>年</w:t>
            </w:r>
            <w:r w:rsidR="00FE726D">
              <w:rPr>
                <w:rFonts w:ascii="Arial" w:eastAsia="華康細圓體" w:hAnsi="Arial" w:cs="Arial" w:hint="eastAsia"/>
              </w:rPr>
              <w:t>7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月</w:t>
            </w:r>
            <w:r w:rsidR="00CD0158">
              <w:rPr>
                <w:rFonts w:ascii="Arial" w:eastAsia="華康細圓體" w:hAnsi="Arial" w:cs="Arial" w:hint="eastAsia"/>
              </w:rPr>
              <w:t>4</w:t>
            </w:r>
            <w:r w:rsidRPr="00BA474F">
              <w:rPr>
                <w:rFonts w:ascii="Arial" w:eastAsia="華康細圓體" w:hAnsi="Arial" w:cs="Arial"/>
              </w:rPr>
              <w:t>日</w:t>
            </w:r>
          </w:p>
        </w:tc>
      </w:tr>
      <w:tr w:rsidR="00012C46" w:rsidRPr="00BA474F" w14:paraId="57713C2C" w14:textId="77777777" w:rsidTr="001A51AE">
        <w:tc>
          <w:tcPr>
            <w:tcW w:w="4168" w:type="dxa"/>
          </w:tcPr>
          <w:p w14:paraId="2CDF572C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聯絡人：推廣組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電話</w:t>
            </w:r>
            <w:r w:rsidRPr="00BA474F">
              <w:rPr>
                <w:rFonts w:ascii="Arial" w:eastAsia="華康細圓體" w:hAnsi="Arial" w:cs="Arial"/>
              </w:rPr>
              <w:t>02-2581 7288</w:t>
            </w:r>
          </w:p>
        </w:tc>
      </w:tr>
      <w:tr w:rsidR="00012C46" w:rsidRPr="00BA474F" w14:paraId="1610656F" w14:textId="77777777" w:rsidTr="001A51AE">
        <w:tc>
          <w:tcPr>
            <w:tcW w:w="4168" w:type="dxa"/>
          </w:tcPr>
          <w:p w14:paraId="2E1E59FF" w14:textId="20D33694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共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="00565D50">
              <w:rPr>
                <w:rFonts w:ascii="Arial" w:eastAsia="華康細圓體" w:hAnsi="Arial" w:cs="Arial"/>
                <w:u w:val="single"/>
              </w:rPr>
              <w:t>3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頁</w:t>
            </w:r>
          </w:p>
        </w:tc>
        <w:tc>
          <w:tcPr>
            <w:tcW w:w="4500" w:type="dxa"/>
          </w:tcPr>
          <w:p w14:paraId="5D6F68B2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 xml:space="preserve">        </w:t>
            </w:r>
            <w:r w:rsidRPr="00BA474F">
              <w:rPr>
                <w:rFonts w:ascii="Arial" w:eastAsia="華康細圓體" w:hAnsi="Arial" w:cs="Arial"/>
              </w:rPr>
              <w:t>呂秀蘭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 xml:space="preserve">分機　</w:t>
            </w:r>
            <w:r w:rsidRPr="00BA474F">
              <w:rPr>
                <w:rFonts w:ascii="Arial" w:eastAsia="華康細圓體" w:hAnsi="Arial" w:cs="Arial"/>
              </w:rPr>
              <w:t>501</w:t>
            </w:r>
          </w:p>
        </w:tc>
      </w:tr>
    </w:tbl>
    <w:p w14:paraId="0E1014F7" w14:textId="77777777" w:rsidR="00012C46" w:rsidRDefault="00012C46" w:rsidP="00012C46">
      <w:pPr>
        <w:spacing w:line="440" w:lineRule="exact"/>
        <w:jc w:val="both"/>
        <w:rPr>
          <w:rFonts w:ascii="Arial" w:eastAsia="華康中黑體" w:hAnsi="Arial" w:cs="Arial"/>
          <w:sz w:val="28"/>
          <w:szCs w:val="28"/>
        </w:rPr>
      </w:pPr>
    </w:p>
    <w:p w14:paraId="699286AA" w14:textId="62B9526B" w:rsidR="001C4740" w:rsidRPr="003121A0" w:rsidRDefault="005C52B7" w:rsidP="005C52B7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投信投顧公會</w:t>
      </w:r>
      <w:r w:rsidR="00FE726D">
        <w:rPr>
          <w:rFonts w:ascii="微軟正黑體" w:eastAsia="微軟正黑體" w:hAnsi="微軟正黑體" w:hint="eastAsia"/>
          <w:b/>
          <w:sz w:val="28"/>
          <w:szCs w:val="28"/>
        </w:rPr>
        <w:t>邀請16家投信公司董總、投資長開講</w:t>
      </w:r>
    </w:p>
    <w:p w14:paraId="44A75CAB" w14:textId="300791D9" w:rsidR="00FE726D" w:rsidRPr="00FE726D" w:rsidRDefault="00FE726D" w:rsidP="00993408">
      <w:pPr>
        <w:pStyle w:val="Default"/>
        <w:spacing w:line="0" w:lineRule="atLeast"/>
        <w:jc w:val="center"/>
        <w:rPr>
          <w:rFonts w:ascii="微軟正黑體" w:eastAsia="微軟正黑體" w:hAnsi="微軟正黑體"/>
          <w:b/>
          <w:color w:val="auto"/>
          <w:sz w:val="28"/>
          <w:szCs w:val="28"/>
        </w:rPr>
      </w:pPr>
      <w:r w:rsidRPr="00FE726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1</w:t>
      </w:r>
      <w:r w:rsidRPr="00FE726D">
        <w:rPr>
          <w:rFonts w:ascii="微軟正黑體" w:eastAsia="微軟正黑體" w:hAnsi="微軟正黑體"/>
          <w:b/>
          <w:color w:val="auto"/>
          <w:sz w:val="28"/>
          <w:szCs w:val="28"/>
        </w:rPr>
        <w:t>6</w:t>
      </w:r>
      <w:r w:rsidR="007A184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支</w:t>
      </w:r>
      <w:r w:rsidRPr="00FE726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線上</w:t>
      </w:r>
      <w:r w:rsidR="007A184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學習影片</w:t>
      </w:r>
      <w:r w:rsidRPr="00FE726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，打破E</w:t>
      </w:r>
      <w:r w:rsidRPr="00FE726D">
        <w:rPr>
          <w:rFonts w:ascii="微軟正黑體" w:eastAsia="微軟正黑體" w:hAnsi="微軟正黑體"/>
          <w:b/>
          <w:color w:val="auto"/>
          <w:sz w:val="28"/>
          <w:szCs w:val="28"/>
        </w:rPr>
        <w:t>TF</w:t>
      </w:r>
      <w:r w:rsidRPr="00FE726D">
        <w:rPr>
          <w:rFonts w:ascii="微軟正黑體" w:eastAsia="微軟正黑體" w:hAnsi="微軟正黑體" w:hint="eastAsia"/>
          <w:b/>
          <w:color w:val="auto"/>
          <w:sz w:val="28"/>
          <w:szCs w:val="28"/>
        </w:rPr>
        <w:t>投資迷思</w:t>
      </w:r>
    </w:p>
    <w:p w14:paraId="1A00FFB4" w14:textId="639AED9A" w:rsidR="00012C46" w:rsidRPr="00FE726D" w:rsidRDefault="00012C46" w:rsidP="005C52B7">
      <w:pPr>
        <w:spacing w:afterLines="50" w:after="180" w:line="44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14:paraId="0D385939" w14:textId="6B07B8D2" w:rsidR="008673CD" w:rsidRPr="008673CD" w:rsidRDefault="008673CD" w:rsidP="008673CD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8673CD">
        <w:rPr>
          <w:rFonts w:ascii="微軟正黑體" w:eastAsia="微軟正黑體" w:hAnsi="微軟正黑體" w:hint="eastAsia"/>
        </w:rPr>
        <w:t>鑒於ETF已成為國人重要理財工具之一，為增進投資人對ETF商品知識與投資方式之認識，</w:t>
      </w:r>
      <w:r w:rsidRPr="008673CD">
        <w:rPr>
          <w:rFonts w:ascii="微軟正黑體" w:eastAsia="微軟正黑體" w:hAnsi="微軟正黑體" w:hint="eastAsia"/>
          <w:color w:val="000000" w:themeColor="text1"/>
        </w:rPr>
        <w:t>以提升投資人</w:t>
      </w:r>
      <w:r w:rsidRPr="008673CD">
        <w:rPr>
          <w:rFonts w:ascii="微軟正黑體" w:eastAsia="微軟正黑體" w:hAnsi="微軟正黑體" w:hint="eastAsia"/>
        </w:rPr>
        <w:t>對於投資ETF的正確觀念及強化風險意識，投信投顧公會特別聯合E</w:t>
      </w:r>
      <w:r w:rsidRPr="008673CD">
        <w:rPr>
          <w:rFonts w:ascii="微軟正黑體" w:eastAsia="微軟正黑體" w:hAnsi="微軟正黑體"/>
        </w:rPr>
        <w:t>TF</w:t>
      </w:r>
      <w:r w:rsidRPr="008673CD">
        <w:rPr>
          <w:rFonts w:ascii="微軟正黑體" w:eastAsia="微軟正黑體" w:hAnsi="微軟正黑體" w:hint="eastAsia"/>
        </w:rPr>
        <w:t>發行的投信公司，並委請《Smart智富》月刊團隊執行，共同拍攝</w:t>
      </w:r>
      <w:r w:rsidR="00993408">
        <w:rPr>
          <w:rFonts w:ascii="微軟正黑體" w:eastAsia="微軟正黑體" w:hAnsi="微軟正黑體" w:hint="eastAsia"/>
        </w:rPr>
        <w:t>16支ETF</w:t>
      </w:r>
      <w:proofErr w:type="gramStart"/>
      <w:r w:rsidR="00943CEA">
        <w:rPr>
          <w:rFonts w:ascii="微軟正黑體" w:eastAsia="微軟正黑體" w:hAnsi="微軟正黑體" w:hint="eastAsia"/>
        </w:rPr>
        <w:t>系列</w:t>
      </w:r>
      <w:r w:rsidR="007A184D">
        <w:rPr>
          <w:rFonts w:ascii="微軟正黑體" w:eastAsia="微軟正黑體" w:hAnsi="微軟正黑體" w:hint="eastAsia"/>
        </w:rPr>
        <w:t>線上學習</w:t>
      </w:r>
      <w:proofErr w:type="gramEnd"/>
      <w:r w:rsidRPr="008673CD">
        <w:rPr>
          <w:rFonts w:ascii="微軟正黑體" w:eastAsia="微軟正黑體" w:hAnsi="微軟正黑體" w:hint="eastAsia"/>
        </w:rPr>
        <w:t>影片，</w:t>
      </w:r>
      <w:r w:rsidR="00993408">
        <w:rPr>
          <w:rFonts w:ascii="微軟正黑體" w:eastAsia="微軟正黑體" w:hAnsi="微軟正黑體" w:hint="eastAsia"/>
        </w:rPr>
        <w:t>期能</w:t>
      </w:r>
      <w:r w:rsidRPr="008673CD">
        <w:rPr>
          <w:rFonts w:ascii="微軟正黑體" w:eastAsia="微軟正黑體" w:hAnsi="微軟正黑體" w:hint="eastAsia"/>
        </w:rPr>
        <w:t>促進ETF市場健全發展及保障投資人權益。</w:t>
      </w:r>
    </w:p>
    <w:p w14:paraId="1C10D90B" w14:textId="1D136656" w:rsidR="003C650E" w:rsidRPr="008673CD" w:rsidRDefault="003C650E" w:rsidP="008673CD">
      <w:pPr>
        <w:pStyle w:val="a5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</w:p>
    <w:p w14:paraId="197F003B" w14:textId="7DD50302" w:rsidR="008673CD" w:rsidRPr="008673CD" w:rsidRDefault="008673CD" w:rsidP="008673CD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auto"/>
        </w:rPr>
      </w:pPr>
      <w:r w:rsidRPr="008673CD">
        <w:rPr>
          <w:rFonts w:ascii="微軟正黑體" w:eastAsia="微軟正黑體" w:hAnsi="微軟正黑體" w:hint="eastAsia"/>
          <w:color w:val="auto"/>
        </w:rPr>
        <w:t>投信投顧公會邀請到1</w:t>
      </w:r>
      <w:r w:rsidRPr="008673CD">
        <w:rPr>
          <w:rFonts w:ascii="微軟正黑體" w:eastAsia="微軟正黑體" w:hAnsi="微軟正黑體"/>
          <w:color w:val="auto"/>
        </w:rPr>
        <w:t>6</w:t>
      </w:r>
      <w:r w:rsidRPr="008673CD">
        <w:rPr>
          <w:rFonts w:ascii="微軟正黑體" w:eastAsia="微軟正黑體" w:hAnsi="微軟正黑體" w:hint="eastAsia"/>
          <w:color w:val="auto"/>
        </w:rPr>
        <w:t>間投信公司的董事長、總經理或投資長，親自上線拍攝影片與投資人交流，包含元大投信、中信投信、台新投信、永豐投信、兆豐投信、統一投信、第一金投信、野村投信、國泰投信、街口投信、富邦投信、</w:t>
      </w:r>
      <w:proofErr w:type="gramStart"/>
      <w:r w:rsidRPr="008673CD">
        <w:rPr>
          <w:rFonts w:ascii="微軟正黑體" w:eastAsia="微軟正黑體" w:hAnsi="微軟正黑體" w:hint="eastAsia"/>
          <w:color w:val="auto"/>
        </w:rPr>
        <w:t>凱</w:t>
      </w:r>
      <w:proofErr w:type="gramEnd"/>
      <w:r w:rsidRPr="008673CD">
        <w:rPr>
          <w:rFonts w:ascii="微軟正黑體" w:eastAsia="微軟正黑體" w:hAnsi="微軟正黑體" w:hint="eastAsia"/>
          <w:color w:val="auto"/>
        </w:rPr>
        <w:t>基投信、復華投信、富蘭克林華美投信、新光投信</w:t>
      </w:r>
      <w:r w:rsidR="00993408">
        <w:rPr>
          <w:rFonts w:ascii="微軟正黑體" w:eastAsia="微軟正黑體" w:hAnsi="微軟正黑體" w:hint="eastAsia"/>
          <w:color w:val="auto"/>
        </w:rPr>
        <w:t>及</w:t>
      </w:r>
      <w:r w:rsidRPr="008673CD">
        <w:rPr>
          <w:rFonts w:ascii="微軟正黑體" w:eastAsia="微軟正黑體" w:hAnsi="微軟正黑體" w:hint="eastAsia"/>
          <w:color w:val="auto"/>
        </w:rPr>
        <w:t>群益投信（按筆畫順序）。</w:t>
      </w:r>
    </w:p>
    <w:p w14:paraId="383885DA" w14:textId="77777777" w:rsidR="008673CD" w:rsidRPr="008673CD" w:rsidRDefault="008673CD" w:rsidP="008673CD">
      <w:pPr>
        <w:pStyle w:val="Default"/>
        <w:spacing w:line="400" w:lineRule="exact"/>
        <w:rPr>
          <w:rFonts w:ascii="微軟正黑體" w:eastAsia="微軟正黑體" w:hAnsi="微軟正黑體"/>
          <w:color w:val="auto"/>
        </w:rPr>
      </w:pPr>
    </w:p>
    <w:p w14:paraId="6B73C00A" w14:textId="1D182678" w:rsidR="008673CD" w:rsidRPr="008673CD" w:rsidRDefault="008673CD" w:rsidP="008673CD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auto"/>
        </w:rPr>
      </w:pPr>
      <w:r w:rsidRPr="008673CD">
        <w:rPr>
          <w:rFonts w:ascii="微軟正黑體" w:eastAsia="微軟正黑體" w:hAnsi="微軟正黑體" w:hint="eastAsia"/>
          <w:color w:val="auto"/>
        </w:rPr>
        <w:t>台灣的ETF市場規模，截至</w:t>
      </w:r>
      <w:r w:rsidRPr="00897FC6">
        <w:rPr>
          <w:rFonts w:ascii="微軟正黑體" w:eastAsia="微軟正黑體" w:hAnsi="微軟正黑體" w:hint="eastAsia"/>
          <w:color w:val="auto"/>
        </w:rPr>
        <w:t>2024年</w:t>
      </w:r>
      <w:r w:rsidR="00897FC6" w:rsidRPr="00897FC6">
        <w:rPr>
          <w:rFonts w:ascii="微軟正黑體" w:eastAsia="微軟正黑體" w:hAnsi="微軟正黑體"/>
          <w:color w:val="auto"/>
        </w:rPr>
        <w:t>5</w:t>
      </w:r>
      <w:r w:rsidRPr="00897FC6">
        <w:rPr>
          <w:rFonts w:ascii="微軟正黑體" w:eastAsia="微軟正黑體" w:hAnsi="微軟正黑體" w:hint="eastAsia"/>
          <w:color w:val="auto"/>
        </w:rPr>
        <w:t>月底</w:t>
      </w:r>
      <w:r w:rsidR="00897FC6" w:rsidRPr="00897FC6">
        <w:rPr>
          <w:rFonts w:ascii="微軟正黑體" w:eastAsia="微軟正黑體" w:hAnsi="微軟正黑體" w:hint="eastAsia"/>
          <w:color w:val="auto"/>
        </w:rPr>
        <w:t>突破5兆元</w:t>
      </w:r>
      <w:r w:rsidR="00897FC6" w:rsidRPr="00897FC6">
        <w:rPr>
          <w:rFonts w:ascii="微軟正黑體" w:eastAsia="微軟正黑體" w:hAnsi="微軟正黑體" w:hint="eastAsia"/>
          <w:color w:val="auto"/>
        </w:rPr>
        <w:t>，</w:t>
      </w:r>
      <w:r w:rsidRPr="00897FC6">
        <w:rPr>
          <w:rFonts w:ascii="微軟正黑體" w:eastAsia="微軟正黑體" w:hAnsi="微軟正黑體" w:hint="eastAsia"/>
          <w:color w:val="auto"/>
        </w:rPr>
        <w:t>達</w:t>
      </w:r>
      <w:r w:rsidR="00897FC6" w:rsidRPr="00897FC6">
        <w:rPr>
          <w:rFonts w:ascii="微軟正黑體" w:eastAsia="微軟正黑體" w:hAnsi="微軟正黑體" w:hint="eastAsia"/>
          <w:color w:val="auto"/>
        </w:rPr>
        <w:t>5.0</w:t>
      </w:r>
      <w:r w:rsidRPr="00897FC6">
        <w:rPr>
          <w:rFonts w:ascii="微軟正黑體" w:eastAsia="微軟正黑體" w:hAnsi="微軟正黑體" w:hint="eastAsia"/>
          <w:color w:val="auto"/>
        </w:rPr>
        <w:t>4兆</w:t>
      </w:r>
      <w:bookmarkStart w:id="0" w:name="_Hlk170977987"/>
      <w:r w:rsidRPr="00897FC6">
        <w:rPr>
          <w:rFonts w:ascii="微軟正黑體" w:eastAsia="微軟正黑體" w:hAnsi="微軟正黑體" w:hint="eastAsia"/>
          <w:color w:val="auto"/>
        </w:rPr>
        <w:t>，</w:t>
      </w:r>
      <w:bookmarkEnd w:id="0"/>
      <w:r w:rsidRPr="00897FC6">
        <w:rPr>
          <w:rFonts w:ascii="微軟正黑體" w:eastAsia="微軟正黑體" w:hAnsi="微軟正黑體" w:hint="eastAsia"/>
          <w:color w:val="auto"/>
        </w:rPr>
        <w:t>受益人數突破1千</w:t>
      </w:r>
      <w:r w:rsidR="00897FC6" w:rsidRPr="00897FC6">
        <w:rPr>
          <w:rFonts w:ascii="微軟正黑體" w:eastAsia="微軟正黑體" w:hAnsi="微軟正黑體" w:hint="eastAsia"/>
          <w:color w:val="auto"/>
        </w:rPr>
        <w:t>1</w:t>
      </w:r>
      <w:proofErr w:type="gramStart"/>
      <w:r w:rsidR="00897FC6" w:rsidRPr="00897FC6">
        <w:rPr>
          <w:rFonts w:ascii="微軟正黑體" w:eastAsia="微軟正黑體" w:hAnsi="微軟正黑體" w:hint="eastAsia"/>
          <w:color w:val="auto"/>
        </w:rPr>
        <w:t>百</w:t>
      </w:r>
      <w:r w:rsidRPr="00897FC6">
        <w:rPr>
          <w:rFonts w:ascii="微軟正黑體" w:eastAsia="微軟正黑體" w:hAnsi="微軟正黑體" w:hint="eastAsia"/>
          <w:color w:val="auto"/>
        </w:rPr>
        <w:t>萬</w:t>
      </w:r>
      <w:proofErr w:type="gramEnd"/>
      <w:r w:rsidRPr="00897FC6">
        <w:rPr>
          <w:rFonts w:ascii="微軟正黑體" w:eastAsia="微軟正黑體" w:hAnsi="微軟正黑體" w:hint="eastAsia"/>
          <w:color w:val="auto"/>
        </w:rPr>
        <w:t>人，逼近全台的證券開戶數1,2</w:t>
      </w:r>
      <w:r w:rsidR="00897FC6" w:rsidRPr="00897FC6">
        <w:rPr>
          <w:rFonts w:ascii="微軟正黑體" w:eastAsia="微軟正黑體" w:hAnsi="微軟正黑體" w:hint="eastAsia"/>
          <w:color w:val="auto"/>
        </w:rPr>
        <w:t>83</w:t>
      </w:r>
      <w:r w:rsidRPr="00897FC6">
        <w:rPr>
          <w:rFonts w:ascii="微軟正黑體" w:eastAsia="微軟正黑體" w:hAnsi="微軟正黑體" w:hint="eastAsia"/>
          <w:color w:val="auto"/>
        </w:rPr>
        <w:t>萬戶</w:t>
      </w:r>
      <w:r w:rsidRPr="008673CD">
        <w:rPr>
          <w:rFonts w:ascii="微軟正黑體" w:eastAsia="微軟正黑體" w:hAnsi="微軟正黑體" w:hint="eastAsia"/>
          <w:color w:val="auto"/>
        </w:rPr>
        <w:t>，且持續創新高，代表台灣的投資人對於E</w:t>
      </w:r>
      <w:r w:rsidRPr="008673CD">
        <w:rPr>
          <w:rFonts w:ascii="微軟正黑體" w:eastAsia="微軟正黑體" w:hAnsi="微軟正黑體"/>
          <w:color w:val="auto"/>
        </w:rPr>
        <w:t>TF</w:t>
      </w:r>
      <w:r w:rsidRPr="008673CD">
        <w:rPr>
          <w:rFonts w:ascii="微軟正黑體" w:eastAsia="微軟正黑體" w:hAnsi="微軟正黑體" w:hint="eastAsia"/>
          <w:color w:val="auto"/>
        </w:rPr>
        <w:t>的接受度相當高，但隨著ETF發行檔數愈來愈多，投資人更必須好好做足功課，才能挑</w:t>
      </w:r>
      <w:r w:rsidR="00993408">
        <w:rPr>
          <w:rFonts w:ascii="微軟正黑體" w:eastAsia="微軟正黑體" w:hAnsi="微軟正黑體" w:hint="eastAsia"/>
          <w:color w:val="auto"/>
        </w:rPr>
        <w:t>到適合自己</w:t>
      </w:r>
      <w:r w:rsidRPr="008673CD">
        <w:rPr>
          <w:rFonts w:ascii="微軟正黑體" w:eastAsia="微軟正黑體" w:hAnsi="微軟正黑體" w:hint="eastAsia"/>
          <w:color w:val="auto"/>
        </w:rPr>
        <w:t>的</w:t>
      </w:r>
      <w:r w:rsidR="00993408">
        <w:rPr>
          <w:rFonts w:ascii="微軟正黑體" w:eastAsia="微軟正黑體" w:hAnsi="微軟正黑體" w:hint="eastAsia"/>
          <w:color w:val="auto"/>
        </w:rPr>
        <w:t>投資</w:t>
      </w:r>
      <w:r w:rsidRPr="008673CD">
        <w:rPr>
          <w:rFonts w:ascii="微軟正黑體" w:eastAsia="微軟正黑體" w:hAnsi="微軟正黑體" w:hint="eastAsia"/>
          <w:color w:val="auto"/>
        </w:rPr>
        <w:t>標的。</w:t>
      </w:r>
    </w:p>
    <w:p w14:paraId="529B3EDC" w14:textId="77777777" w:rsidR="008673CD" w:rsidRPr="008673CD" w:rsidRDefault="008673CD" w:rsidP="008673CD">
      <w:pPr>
        <w:pStyle w:val="Default"/>
        <w:spacing w:line="400" w:lineRule="exact"/>
        <w:rPr>
          <w:rFonts w:ascii="微軟正黑體" w:eastAsia="微軟正黑體" w:hAnsi="微軟正黑體"/>
          <w:color w:val="auto"/>
        </w:rPr>
      </w:pPr>
    </w:p>
    <w:p w14:paraId="020BCB32" w14:textId="52F8E96A" w:rsidR="008673CD" w:rsidRPr="00A969B3" w:rsidRDefault="008673CD" w:rsidP="008673CD">
      <w:pPr>
        <w:pStyle w:val="a5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  <w:r w:rsidRPr="008673CD">
        <w:rPr>
          <w:rFonts w:ascii="微軟正黑體" w:eastAsia="微軟正黑體" w:hAnsi="微軟正黑體" w:hint="eastAsia"/>
        </w:rPr>
        <w:t>尤其E</w:t>
      </w:r>
      <w:r w:rsidRPr="008673CD">
        <w:rPr>
          <w:rFonts w:ascii="微軟正黑體" w:eastAsia="微軟正黑體" w:hAnsi="微軟正黑體"/>
        </w:rPr>
        <w:t>TF</w:t>
      </w:r>
      <w:r w:rsidRPr="008673CD">
        <w:rPr>
          <w:rFonts w:ascii="微軟正黑體" w:eastAsia="微軟正黑體" w:hAnsi="微軟正黑體" w:hint="eastAsia"/>
        </w:rPr>
        <w:t>的投資範疇多元，包含股票、債券、商品</w:t>
      </w:r>
      <w:r w:rsidR="0081376A">
        <w:rPr>
          <w:rFonts w:ascii="微軟正黑體" w:eastAsia="微軟正黑體" w:hAnsi="微軟正黑體" w:hint="eastAsia"/>
        </w:rPr>
        <w:t>及外匯</w:t>
      </w:r>
      <w:r w:rsidRPr="008673CD">
        <w:rPr>
          <w:rFonts w:ascii="微軟正黑體" w:eastAsia="微軟正黑體" w:hAnsi="微軟正黑體" w:hint="eastAsia"/>
        </w:rPr>
        <w:t>期貨等，在報酬反映上，又可以分成原型、2倍槓桿型、</w:t>
      </w:r>
      <w:proofErr w:type="gramStart"/>
      <w:r w:rsidRPr="008673CD">
        <w:rPr>
          <w:rFonts w:ascii="微軟正黑體" w:eastAsia="微軟正黑體" w:hAnsi="微軟正黑體" w:hint="eastAsia"/>
        </w:rPr>
        <w:t>反向型</w:t>
      </w:r>
      <w:proofErr w:type="gramEnd"/>
      <w:r w:rsidRPr="008673CD">
        <w:rPr>
          <w:rFonts w:ascii="微軟正黑體" w:eastAsia="微軟正黑體" w:hAnsi="微軟正黑體" w:hint="eastAsia"/>
        </w:rPr>
        <w:t>，因此，為了讓投資人從基礎到實務都能重新進一步認識E</w:t>
      </w:r>
      <w:r w:rsidRPr="008673CD">
        <w:rPr>
          <w:rFonts w:ascii="微軟正黑體" w:eastAsia="微軟正黑體" w:hAnsi="微軟正黑體"/>
        </w:rPr>
        <w:t>TF</w:t>
      </w:r>
      <w:r w:rsidRPr="008673CD">
        <w:rPr>
          <w:rFonts w:ascii="微軟正黑體" w:eastAsia="微軟正黑體" w:hAnsi="微軟正黑體" w:hint="eastAsia"/>
        </w:rPr>
        <w:t>，</w:t>
      </w:r>
      <w:r w:rsidRPr="00A969B3">
        <w:rPr>
          <w:rFonts w:ascii="微軟正黑體" w:eastAsia="微軟正黑體" w:hAnsi="微軟正黑體" w:hint="eastAsia"/>
          <w:szCs w:val="24"/>
        </w:rPr>
        <w:t>投信投顧公會</w:t>
      </w:r>
      <w:proofErr w:type="gramStart"/>
      <w:r w:rsidRPr="00A969B3">
        <w:rPr>
          <w:rFonts w:ascii="微軟正黑體" w:eastAsia="微軟正黑體" w:hAnsi="微軟正黑體" w:hint="eastAsia"/>
          <w:szCs w:val="24"/>
        </w:rPr>
        <w:t>規</w:t>
      </w:r>
      <w:proofErr w:type="gramEnd"/>
      <w:r w:rsidRPr="00A969B3">
        <w:rPr>
          <w:rFonts w:ascii="微軟正黑體" w:eastAsia="微軟正黑體" w:hAnsi="微軟正黑體" w:hint="eastAsia"/>
          <w:szCs w:val="24"/>
        </w:rPr>
        <w:t>畫了</w:t>
      </w:r>
      <w:r w:rsidRPr="00A969B3">
        <w:rPr>
          <w:rFonts w:ascii="微軟正黑體" w:eastAsia="微軟正黑體" w:hAnsi="微軟正黑體"/>
          <w:szCs w:val="24"/>
        </w:rPr>
        <w:t>3</w:t>
      </w:r>
      <w:r w:rsidRPr="00A969B3">
        <w:rPr>
          <w:rFonts w:ascii="微軟正黑體" w:eastAsia="微軟正黑體" w:hAnsi="微軟正黑體" w:hint="eastAsia"/>
          <w:szCs w:val="24"/>
        </w:rPr>
        <w:t>大</w:t>
      </w:r>
      <w:r w:rsidR="00993408" w:rsidRPr="00A969B3">
        <w:rPr>
          <w:rFonts w:ascii="微軟正黑體" w:eastAsia="微軟正黑體" w:hAnsi="微軟正黑體" w:hint="eastAsia"/>
          <w:szCs w:val="24"/>
        </w:rPr>
        <w:t>學習主題</w:t>
      </w:r>
      <w:r w:rsidRPr="00A969B3">
        <w:rPr>
          <w:rFonts w:ascii="微軟正黑體" w:eastAsia="微軟正黑體" w:hAnsi="微軟正黑體" w:hint="eastAsia"/>
          <w:szCs w:val="24"/>
        </w:rPr>
        <w:t>、共1</w:t>
      </w:r>
      <w:r w:rsidRPr="00A969B3">
        <w:rPr>
          <w:rFonts w:ascii="微軟正黑體" w:eastAsia="微軟正黑體" w:hAnsi="微軟正黑體"/>
          <w:szCs w:val="24"/>
        </w:rPr>
        <w:t>6</w:t>
      </w:r>
      <w:r w:rsidRPr="00A969B3">
        <w:rPr>
          <w:rFonts w:ascii="微軟正黑體" w:eastAsia="微軟正黑體" w:hAnsi="微軟正黑體" w:hint="eastAsia"/>
          <w:szCs w:val="24"/>
        </w:rPr>
        <w:t>支</w:t>
      </w:r>
      <w:r w:rsidR="007A184D">
        <w:rPr>
          <w:rFonts w:ascii="微軟正黑體" w:eastAsia="微軟正黑體" w:hAnsi="微軟正黑體" w:hint="eastAsia"/>
        </w:rPr>
        <w:t>線上學習</w:t>
      </w:r>
      <w:r w:rsidRPr="00A969B3">
        <w:rPr>
          <w:rFonts w:ascii="微軟正黑體" w:eastAsia="微軟正黑體" w:hAnsi="微軟正黑體" w:hint="eastAsia"/>
          <w:szCs w:val="24"/>
        </w:rPr>
        <w:t>影片，包含基礎入門篇、產品認識篇以及觀念澄清篇</w:t>
      </w:r>
      <w:r w:rsidR="00993408" w:rsidRPr="00A969B3">
        <w:rPr>
          <w:rFonts w:ascii="微軟正黑體" w:eastAsia="微軟正黑體" w:hAnsi="微軟正黑體" w:hint="eastAsia"/>
          <w:szCs w:val="24"/>
        </w:rPr>
        <w:t>，</w:t>
      </w:r>
      <w:r w:rsidR="00A969B3" w:rsidRPr="00A969B3">
        <w:rPr>
          <w:rFonts w:ascii="微軟正黑體" w:eastAsia="微軟正黑體" w:hAnsi="微軟正黑體" w:hint="eastAsia"/>
          <w:szCs w:val="24"/>
        </w:rPr>
        <w:t>影片已於六月下旬開始陸續上架，將於八月中全數上架完畢。</w:t>
      </w:r>
    </w:p>
    <w:p w14:paraId="58353B7F" w14:textId="77777777" w:rsidR="008673CD" w:rsidRDefault="008673CD" w:rsidP="008673CD">
      <w:pPr>
        <w:pStyle w:val="a5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</w:p>
    <w:p w14:paraId="398A3AA6" w14:textId="7A5E6B42" w:rsidR="00A969B3" w:rsidRPr="00A969B3" w:rsidRDefault="00A969B3" w:rsidP="00A969B3">
      <w:pPr>
        <w:pStyle w:val="Default"/>
        <w:spacing w:line="400" w:lineRule="exact"/>
        <w:ind w:firstLineChars="236" w:firstLine="566"/>
        <w:jc w:val="both"/>
        <w:rPr>
          <w:rFonts w:ascii="微軟正黑體" w:eastAsia="微軟正黑體" w:hAnsi="微軟正黑體"/>
          <w:color w:val="auto"/>
        </w:rPr>
      </w:pPr>
      <w:r w:rsidRPr="00A969B3">
        <w:rPr>
          <w:rFonts w:ascii="微軟正黑體" w:eastAsia="微軟正黑體" w:hAnsi="微軟正黑體" w:hint="eastAsia"/>
          <w:color w:val="auto"/>
        </w:rPr>
        <w:lastRenderedPageBreak/>
        <w:t>在基礎入門篇中，投資人可以複習何謂E</w:t>
      </w:r>
      <w:r w:rsidRPr="00A969B3">
        <w:rPr>
          <w:rFonts w:ascii="微軟正黑體" w:eastAsia="微軟正黑體" w:hAnsi="微軟正黑體"/>
          <w:color w:val="auto"/>
        </w:rPr>
        <w:t>TF</w:t>
      </w:r>
      <w:r w:rsidRPr="00A969B3">
        <w:rPr>
          <w:rFonts w:ascii="微軟正黑體" w:eastAsia="微軟正黑體" w:hAnsi="微軟正黑體" w:hint="eastAsia"/>
          <w:color w:val="auto"/>
        </w:rPr>
        <w:t>、跟基金的差異、交易的注意事項、ETF相關資訊可至哪裡查詢等；在產品認識篇中，可以認識E</w:t>
      </w:r>
      <w:r w:rsidRPr="00A969B3">
        <w:rPr>
          <w:rFonts w:ascii="微軟正黑體" w:eastAsia="微軟正黑體" w:hAnsi="微軟正黑體"/>
          <w:color w:val="auto"/>
        </w:rPr>
        <w:t>TF</w:t>
      </w:r>
      <w:r w:rsidRPr="00A969B3">
        <w:rPr>
          <w:rFonts w:ascii="微軟正黑體" w:eastAsia="微軟正黑體" w:hAnsi="微軟正黑體" w:hint="eastAsia"/>
          <w:color w:val="auto"/>
        </w:rPr>
        <w:t>的基本類型、配息與</w:t>
      </w:r>
      <w:proofErr w:type="gramStart"/>
      <w:r w:rsidRPr="00A969B3">
        <w:rPr>
          <w:rFonts w:ascii="微軟正黑體" w:eastAsia="微軟正黑體" w:hAnsi="微軟正黑體" w:hint="eastAsia"/>
          <w:color w:val="auto"/>
        </w:rPr>
        <w:t>不</w:t>
      </w:r>
      <w:proofErr w:type="gramEnd"/>
      <w:r w:rsidRPr="00A969B3">
        <w:rPr>
          <w:rFonts w:ascii="微軟正黑體" w:eastAsia="微軟正黑體" w:hAnsi="微軟正黑體" w:hint="eastAsia"/>
          <w:color w:val="auto"/>
        </w:rPr>
        <w:t>配息、S</w:t>
      </w:r>
      <w:r w:rsidRPr="00A969B3">
        <w:rPr>
          <w:rFonts w:ascii="微軟正黑體" w:eastAsia="微軟正黑體" w:hAnsi="微軟正黑體"/>
          <w:color w:val="auto"/>
        </w:rPr>
        <w:t>mart beta</w:t>
      </w:r>
      <w:r w:rsidRPr="00A969B3">
        <w:rPr>
          <w:rFonts w:ascii="微軟正黑體" w:eastAsia="微軟正黑體" w:hAnsi="微軟正黑體" w:hint="eastAsia"/>
          <w:color w:val="auto"/>
        </w:rPr>
        <w:t>、</w:t>
      </w:r>
      <w:proofErr w:type="gramStart"/>
      <w:r w:rsidRPr="00A969B3">
        <w:rPr>
          <w:rFonts w:ascii="微軟正黑體" w:eastAsia="微軟正黑體" w:hAnsi="微軟正黑體" w:hint="eastAsia"/>
          <w:color w:val="auto"/>
        </w:rPr>
        <w:t>槓</w:t>
      </w:r>
      <w:proofErr w:type="gramEnd"/>
      <w:r w:rsidRPr="00A969B3">
        <w:rPr>
          <w:rFonts w:ascii="微軟正黑體" w:eastAsia="微軟正黑體" w:hAnsi="微軟正黑體" w:hint="eastAsia"/>
          <w:color w:val="auto"/>
        </w:rPr>
        <w:t>反、等權重機制等各類型ETF的特色與風險，藉此找到適合自己風險屬性的E</w:t>
      </w:r>
      <w:r w:rsidRPr="00A969B3">
        <w:rPr>
          <w:rFonts w:ascii="微軟正黑體" w:eastAsia="微軟正黑體" w:hAnsi="微軟正黑體"/>
          <w:color w:val="auto"/>
        </w:rPr>
        <w:t>TF</w:t>
      </w:r>
      <w:r w:rsidRPr="00A969B3">
        <w:rPr>
          <w:rFonts w:ascii="微軟正黑體" w:eastAsia="微軟正黑體" w:hAnsi="微軟正黑體" w:hint="eastAsia"/>
          <w:color w:val="auto"/>
        </w:rPr>
        <w:t>。</w:t>
      </w:r>
    </w:p>
    <w:p w14:paraId="06F8D643" w14:textId="77777777" w:rsidR="00A969B3" w:rsidRPr="00A969B3" w:rsidRDefault="00A969B3" w:rsidP="00A969B3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134087A8" w14:textId="6A48BA79" w:rsidR="00A969B3" w:rsidRPr="00F375CE" w:rsidRDefault="00A969B3" w:rsidP="00F375CE">
      <w:pPr>
        <w:pStyle w:val="Default"/>
        <w:spacing w:line="400" w:lineRule="exact"/>
        <w:ind w:firstLineChars="236" w:firstLine="566"/>
        <w:jc w:val="both"/>
        <w:rPr>
          <w:rFonts w:ascii="微軟正黑體" w:eastAsia="微軟正黑體" w:hAnsi="微軟正黑體"/>
          <w:color w:val="auto"/>
        </w:rPr>
      </w:pPr>
      <w:r w:rsidRPr="00F375CE">
        <w:rPr>
          <w:rFonts w:ascii="微軟正黑體" w:eastAsia="微軟正黑體" w:hAnsi="微軟正黑體" w:hint="eastAsia"/>
          <w:color w:val="auto"/>
        </w:rPr>
        <w:t>最後在觀念澄清篇中，可以進階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學習折溢價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的觀念、追蹤差距、收益平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準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金、以及打破各種投資的迷思，譬如</w:t>
      </w:r>
      <w:r w:rsidRPr="00F375CE">
        <w:rPr>
          <w:rFonts w:ascii="微軟正黑體" w:eastAsia="微軟正黑體" w:hAnsi="微軟正黑體" w:hint="eastAsia"/>
        </w:rPr>
        <w:t>「E</w:t>
      </w:r>
      <w:r w:rsidRPr="00F375CE">
        <w:rPr>
          <w:rFonts w:ascii="微軟正黑體" w:eastAsia="微軟正黑體" w:hAnsi="微軟正黑體"/>
        </w:rPr>
        <w:t>TF</w:t>
      </w:r>
      <w:r w:rsidR="000E3E2A" w:rsidRPr="00F375CE">
        <w:rPr>
          <w:rFonts w:ascii="微軟正黑體" w:eastAsia="微軟正黑體" w:hAnsi="微軟正黑體" w:hint="eastAsia"/>
        </w:rPr>
        <w:t>發行價格愈便宜愈好？</w:t>
      </w:r>
      <w:r w:rsidRPr="00F375CE">
        <w:rPr>
          <w:rFonts w:ascii="微軟正黑體" w:eastAsia="微軟正黑體" w:hAnsi="微軟正黑體" w:hint="eastAsia"/>
        </w:rPr>
        <w:t>」、「</w:t>
      </w:r>
      <w:r w:rsidR="000E3E2A">
        <w:rPr>
          <w:rFonts w:ascii="微軟正黑體" w:eastAsia="微軟正黑體" w:hAnsi="微軟正黑體" w:hint="eastAsia"/>
        </w:rPr>
        <w:t>ETF的配息</w:t>
      </w:r>
      <w:r w:rsidR="000E3E2A" w:rsidRPr="00F375CE">
        <w:rPr>
          <w:rFonts w:ascii="微軟正黑體" w:eastAsia="微軟正黑體" w:hAnsi="微軟正黑體" w:hint="eastAsia"/>
        </w:rPr>
        <w:t>愈</w:t>
      </w:r>
      <w:r w:rsidR="000E3E2A">
        <w:rPr>
          <w:rFonts w:ascii="微軟正黑體" w:eastAsia="微軟正黑體" w:hAnsi="微軟正黑體" w:hint="eastAsia"/>
        </w:rPr>
        <w:t>高、頻率</w:t>
      </w:r>
      <w:r w:rsidR="000E3E2A" w:rsidRPr="00F375CE">
        <w:rPr>
          <w:rFonts w:ascii="微軟正黑體" w:eastAsia="微軟正黑體" w:hAnsi="微軟正黑體" w:hint="eastAsia"/>
        </w:rPr>
        <w:t>愈</w:t>
      </w:r>
      <w:r w:rsidR="000E3E2A">
        <w:rPr>
          <w:rFonts w:ascii="微軟正黑體" w:eastAsia="微軟正黑體" w:hAnsi="微軟正黑體" w:hint="eastAsia"/>
        </w:rPr>
        <w:t>多</w:t>
      </w:r>
      <w:r w:rsidR="000E3E2A" w:rsidRPr="00F375CE">
        <w:rPr>
          <w:rFonts w:ascii="微軟正黑體" w:eastAsia="微軟正黑體" w:hAnsi="微軟正黑體" w:hint="eastAsia"/>
        </w:rPr>
        <w:t>愈</w:t>
      </w:r>
      <w:r w:rsidR="000E3E2A">
        <w:rPr>
          <w:rFonts w:ascii="微軟正黑體" w:eastAsia="微軟正黑體" w:hAnsi="微軟正黑體" w:hint="eastAsia"/>
        </w:rPr>
        <w:t>好</w:t>
      </w:r>
      <w:r w:rsidR="000E3E2A" w:rsidRPr="00F375CE">
        <w:rPr>
          <w:rFonts w:ascii="微軟正黑體" w:eastAsia="微軟正黑體" w:hAnsi="微軟正黑體" w:hint="eastAsia"/>
        </w:rPr>
        <w:t>？</w:t>
      </w:r>
      <w:r w:rsidRPr="00F375CE">
        <w:rPr>
          <w:rFonts w:ascii="微軟正黑體" w:eastAsia="微軟正黑體" w:hAnsi="微軟正黑體" w:hint="eastAsia"/>
        </w:rPr>
        <w:t>」、</w:t>
      </w:r>
      <w:r w:rsidRPr="00F375CE">
        <w:rPr>
          <w:rFonts w:ascii="微軟正黑體" w:eastAsia="微軟正黑體" w:hAnsi="微軟正黑體" w:hint="eastAsia"/>
          <w:color w:val="auto"/>
        </w:rPr>
        <w:t>「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買月配息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ETF等於月月有錢流入？」等，藉此讓投資人一掃錯誤的投資觀念，使ETF可以真正成為投資人累積財富的好幫手。</w:t>
      </w:r>
    </w:p>
    <w:p w14:paraId="79ACB81F" w14:textId="77777777" w:rsidR="00F13F69" w:rsidRPr="00F375CE" w:rsidRDefault="00F13F69" w:rsidP="00F375CE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7B15B438" w14:textId="2FCDCF94" w:rsidR="00F13F69" w:rsidRPr="00F375CE" w:rsidRDefault="00F13F69" w:rsidP="00F375CE">
      <w:pPr>
        <w:pStyle w:val="Default"/>
        <w:spacing w:line="400" w:lineRule="exact"/>
        <w:ind w:firstLineChars="236" w:firstLine="566"/>
        <w:jc w:val="both"/>
        <w:rPr>
          <w:rFonts w:ascii="微軟正黑體" w:eastAsia="微軟正黑體" w:hAnsi="微軟正黑體"/>
          <w:color w:val="auto"/>
        </w:rPr>
      </w:pPr>
      <w:r w:rsidRPr="00F375CE">
        <w:rPr>
          <w:rFonts w:ascii="微軟正黑體" w:eastAsia="微軟正黑體" w:hAnsi="微軟正黑體" w:hint="eastAsia"/>
          <w:color w:val="auto"/>
        </w:rPr>
        <w:t>以最先上線的</w:t>
      </w:r>
      <w:r w:rsidRPr="00F375CE">
        <w:rPr>
          <w:rFonts w:ascii="微軟正黑體" w:eastAsia="微軟正黑體" w:hAnsi="微軟正黑體"/>
          <w:color w:val="auto"/>
        </w:rPr>
        <w:t>基礎入門</w:t>
      </w:r>
      <w:r w:rsidRPr="00F375CE">
        <w:rPr>
          <w:rFonts w:ascii="微軟正黑體" w:eastAsia="微軟正黑體" w:hAnsi="微軟正黑體" w:hint="eastAsia"/>
          <w:color w:val="auto"/>
        </w:rPr>
        <w:t>篇來看，</w:t>
      </w:r>
      <w:r w:rsidRPr="00F375CE">
        <w:rPr>
          <w:rFonts w:ascii="微軟正黑體" w:eastAsia="微軟正黑體" w:hAnsi="微軟正黑體"/>
          <w:color w:val="auto"/>
        </w:rPr>
        <w:t>野村投信總經理白曼德與策略暨行銷處主管黃宏治</w:t>
      </w:r>
      <w:r w:rsidRPr="00F375CE">
        <w:rPr>
          <w:rFonts w:ascii="微軟正黑體" w:eastAsia="微軟正黑體" w:hAnsi="微軟正黑體" w:hint="eastAsia"/>
          <w:color w:val="auto"/>
        </w:rPr>
        <w:t>以對談的方式，</w:t>
      </w:r>
      <w:r w:rsidR="000E3E2A">
        <w:rPr>
          <w:rFonts w:ascii="微軟正黑體" w:eastAsia="微軟正黑體" w:hAnsi="微軟正黑體" w:hint="eastAsia"/>
          <w:color w:val="auto"/>
        </w:rPr>
        <w:t>分</w:t>
      </w:r>
      <w:r w:rsidR="0070075D" w:rsidRPr="00F375CE">
        <w:rPr>
          <w:rFonts w:ascii="微軟正黑體" w:eastAsia="微軟正黑體" w:hAnsi="微軟正黑體" w:hint="eastAsia"/>
          <w:color w:val="auto"/>
        </w:rPr>
        <w:t>享</w:t>
      </w:r>
      <w:r w:rsidRPr="00F375CE">
        <w:rPr>
          <w:rFonts w:ascii="微軟正黑體" w:eastAsia="微軟正黑體" w:hAnsi="微軟正黑體" w:hint="eastAsia"/>
          <w:color w:val="auto"/>
        </w:rPr>
        <w:t>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在國外發展已經很成熟、跟基金的差別以及最大的優點是持股每日公開、透明。</w:t>
      </w:r>
    </w:p>
    <w:p w14:paraId="0AAFB764" w14:textId="77777777" w:rsidR="00F13F69" w:rsidRPr="00F375CE" w:rsidRDefault="00F13F69" w:rsidP="00F375CE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121B324D" w14:textId="57F184E1" w:rsidR="00F13F69" w:rsidRPr="00F375CE" w:rsidRDefault="00F13F69" w:rsidP="00F375CE">
      <w:pPr>
        <w:pStyle w:val="Default"/>
        <w:spacing w:line="400" w:lineRule="exact"/>
        <w:ind w:firstLineChars="236" w:firstLine="566"/>
        <w:jc w:val="both"/>
        <w:rPr>
          <w:rFonts w:ascii="微軟正黑體" w:eastAsia="微軟正黑體" w:hAnsi="微軟正黑體"/>
          <w:color w:val="auto"/>
        </w:rPr>
      </w:pPr>
      <w:r w:rsidRPr="00F375CE">
        <w:rPr>
          <w:rFonts w:ascii="微軟正黑體" w:eastAsia="微軟正黑體" w:hAnsi="微軟正黑體" w:hint="eastAsia"/>
          <w:color w:val="auto"/>
        </w:rPr>
        <w:t>「買基金像是把資金交給專家投資，</w:t>
      </w:r>
      <w:r w:rsidRPr="00F375CE">
        <w:rPr>
          <w:rFonts w:ascii="微軟正黑體" w:eastAsia="微軟正黑體" w:hAnsi="微軟正黑體"/>
          <w:color w:val="auto"/>
        </w:rPr>
        <w:t>ETF</w:t>
      </w:r>
      <w:r w:rsidRPr="00F375CE">
        <w:rPr>
          <w:rFonts w:ascii="微軟正黑體" w:eastAsia="微軟正黑體" w:hAnsi="微軟正黑體" w:hint="eastAsia"/>
          <w:color w:val="auto"/>
        </w:rPr>
        <w:t>則是將資金拿去買組合好的投資標的。」</w:t>
      </w:r>
      <w:r w:rsidRPr="00F375CE">
        <w:rPr>
          <w:rFonts w:ascii="微軟正黑體" w:eastAsia="微軟正黑體" w:hAnsi="微軟正黑體"/>
          <w:color w:val="auto"/>
        </w:rPr>
        <w:t>新光投信總經理陳文雄</w:t>
      </w:r>
      <w:r w:rsidRPr="00F375CE">
        <w:rPr>
          <w:rFonts w:ascii="微軟正黑體" w:eastAsia="微軟正黑體" w:hAnsi="微軟正黑體" w:hint="eastAsia"/>
          <w:color w:val="auto"/>
        </w:rPr>
        <w:t>則在影片中一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語點出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了E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跟基金的核心差異，他建議投資人，如果要投資ETF，有三個步驟：先找出有興趣的題材；接著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規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畫買進及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停利停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損策略；最後是按紀律投資，不必進進出出，避免增加交易成本。</w:t>
      </w:r>
    </w:p>
    <w:p w14:paraId="38656593" w14:textId="77777777" w:rsidR="00F13F69" w:rsidRPr="00F375CE" w:rsidRDefault="00F13F69" w:rsidP="00F375CE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24F69BAF" w14:textId="77777777" w:rsidR="00F13F69" w:rsidRPr="00F375CE" w:rsidRDefault="00F13F69" w:rsidP="00F375CE">
      <w:pPr>
        <w:pStyle w:val="Default"/>
        <w:spacing w:line="400" w:lineRule="exact"/>
        <w:ind w:firstLineChars="295" w:firstLine="708"/>
        <w:jc w:val="both"/>
        <w:rPr>
          <w:rFonts w:ascii="微軟正黑體" w:eastAsia="微軟正黑體" w:hAnsi="微軟正黑體"/>
          <w:color w:val="auto"/>
        </w:rPr>
      </w:pPr>
      <w:r w:rsidRPr="00F375CE">
        <w:rPr>
          <w:rFonts w:ascii="微軟正黑體" w:eastAsia="微軟正黑體" w:hAnsi="微軟正黑體" w:hint="eastAsia"/>
          <w:color w:val="auto"/>
        </w:rPr>
        <w:t>而</w:t>
      </w:r>
      <w:r w:rsidRPr="00F375CE">
        <w:rPr>
          <w:rFonts w:ascii="微軟正黑體" w:eastAsia="微軟正黑體" w:hAnsi="微軟正黑體"/>
          <w:color w:val="auto"/>
        </w:rPr>
        <w:t>台新投信投資長趙志中</w:t>
      </w:r>
      <w:r w:rsidRPr="00F375CE">
        <w:rPr>
          <w:rFonts w:ascii="微軟正黑體" w:eastAsia="微軟正黑體" w:hAnsi="微軟正黑體" w:hint="eastAsia"/>
          <w:color w:val="auto"/>
        </w:rPr>
        <w:t>表示，投資人可以在E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募集期時參加募集、或是等掛牌後在集中市場交易，但什麼時候進場沒有絕對好壞，因為那只影響了短期的績效，投資人要重視的是長期趨勢。</w:t>
      </w:r>
    </w:p>
    <w:p w14:paraId="23BF55E7" w14:textId="77777777" w:rsidR="00F13F69" w:rsidRPr="00F375CE" w:rsidRDefault="00F13F69" w:rsidP="00F375CE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7E4F43C6" w14:textId="77777777" w:rsidR="00F13F69" w:rsidRPr="00F375CE" w:rsidRDefault="00F13F69" w:rsidP="007A184D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auto"/>
        </w:rPr>
      </w:pPr>
      <w:r w:rsidRPr="00F375CE">
        <w:rPr>
          <w:rFonts w:ascii="微軟正黑體" w:eastAsia="微軟正黑體" w:hAnsi="微軟正黑體" w:hint="eastAsia"/>
          <w:color w:val="auto"/>
        </w:rPr>
        <w:t>富蘭克林華美投信總經理王亞立則提醒投資人，想要進一步了解ETF的資訊，可以在E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發行公司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的官網下載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公開說明書，以了解E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的投資地區、幣別、配息</w:t>
      </w:r>
      <w:proofErr w:type="gramStart"/>
      <w:r w:rsidRPr="00F375CE">
        <w:rPr>
          <w:rFonts w:ascii="微軟正黑體" w:eastAsia="微軟正黑體" w:hAnsi="微軟正黑體" w:hint="eastAsia"/>
          <w:color w:val="auto"/>
        </w:rPr>
        <w:t>規</w:t>
      </w:r>
      <w:proofErr w:type="gramEnd"/>
      <w:r w:rsidRPr="00F375CE">
        <w:rPr>
          <w:rFonts w:ascii="微軟正黑體" w:eastAsia="微軟正黑體" w:hAnsi="微軟正黑體" w:hint="eastAsia"/>
          <w:color w:val="auto"/>
        </w:rPr>
        <w:t>畫等。相關的資訊，也可以在台灣證券交易所、公開資訊觀測站、或是投信投顧公會的E</w:t>
      </w:r>
      <w:r w:rsidRPr="00F375CE">
        <w:rPr>
          <w:rFonts w:ascii="微軟正黑體" w:eastAsia="微軟正黑體" w:hAnsi="微軟正黑體"/>
          <w:color w:val="auto"/>
        </w:rPr>
        <w:t>TF</w:t>
      </w:r>
      <w:r w:rsidRPr="00F375CE">
        <w:rPr>
          <w:rFonts w:ascii="微軟正黑體" w:eastAsia="微軟正黑體" w:hAnsi="微軟正黑體" w:hint="eastAsia"/>
          <w:color w:val="auto"/>
        </w:rPr>
        <w:t>專區查詢。</w:t>
      </w:r>
    </w:p>
    <w:p w14:paraId="41E8005C" w14:textId="77777777" w:rsidR="00F13F69" w:rsidRPr="00F375CE" w:rsidRDefault="00F13F69" w:rsidP="00F375CE">
      <w:pPr>
        <w:pStyle w:val="Default"/>
        <w:spacing w:line="400" w:lineRule="exact"/>
        <w:jc w:val="both"/>
        <w:rPr>
          <w:rFonts w:ascii="微軟正黑體" w:eastAsia="微軟正黑體" w:hAnsi="微軟正黑體"/>
          <w:color w:val="auto"/>
        </w:rPr>
      </w:pPr>
    </w:p>
    <w:p w14:paraId="2178FCE2" w14:textId="62D489E8" w:rsidR="00A969B3" w:rsidRPr="00F375CE" w:rsidRDefault="00F13F69" w:rsidP="00F375CE">
      <w:pPr>
        <w:pStyle w:val="a5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  <w:r w:rsidRPr="00F375CE">
        <w:rPr>
          <w:rFonts w:ascii="微軟正黑體" w:eastAsia="微軟正黑體" w:hAnsi="微軟正黑體" w:hint="eastAsia"/>
        </w:rPr>
        <w:t>想要循序漸進、有系統地好好學習E</w:t>
      </w:r>
      <w:r w:rsidRPr="00F375CE">
        <w:rPr>
          <w:rFonts w:ascii="微軟正黑體" w:eastAsia="微軟正黑體" w:hAnsi="微軟正黑體"/>
        </w:rPr>
        <w:t>TF</w:t>
      </w:r>
      <w:r w:rsidRPr="00F375CE">
        <w:rPr>
          <w:rFonts w:ascii="微軟正黑體" w:eastAsia="微軟正黑體" w:hAnsi="微軟正黑體" w:hint="eastAsia"/>
        </w:rPr>
        <w:t>投資知識的民眾，可以直接至投信投顧</w:t>
      </w:r>
      <w:proofErr w:type="gramStart"/>
      <w:r w:rsidRPr="00F375CE">
        <w:rPr>
          <w:rFonts w:ascii="微軟正黑體" w:eastAsia="微軟正黑體" w:hAnsi="微軟正黑體" w:hint="eastAsia"/>
        </w:rPr>
        <w:t>公會官網的</w:t>
      </w:r>
      <w:proofErr w:type="gramEnd"/>
      <w:r w:rsidRPr="00F375CE">
        <w:rPr>
          <w:rFonts w:ascii="微軟正黑體" w:eastAsia="微軟正黑體" w:hAnsi="微軟正黑體" w:hint="eastAsia"/>
        </w:rPr>
        <w:t>「E</w:t>
      </w:r>
      <w:r w:rsidRPr="00F375CE">
        <w:rPr>
          <w:rFonts w:ascii="微軟正黑體" w:eastAsia="微軟正黑體" w:hAnsi="微軟正黑體"/>
        </w:rPr>
        <w:t>TF</w:t>
      </w:r>
      <w:r w:rsidRPr="00F375CE">
        <w:rPr>
          <w:rFonts w:ascii="微軟正黑體" w:eastAsia="微軟正黑體" w:hAnsi="微軟正黑體" w:hint="eastAsia"/>
        </w:rPr>
        <w:t>專區」</w:t>
      </w:r>
      <w:r w:rsidR="00F375CE" w:rsidRPr="00F375CE">
        <w:rPr>
          <w:rFonts w:ascii="微軟正黑體" w:eastAsia="微軟正黑體" w:hAnsi="微軟正黑體" w:hint="eastAsia"/>
        </w:rPr>
        <w:t>點閱系列</w:t>
      </w:r>
      <w:r w:rsidR="0070075D">
        <w:rPr>
          <w:rFonts w:ascii="微軟正黑體" w:eastAsia="微軟正黑體" w:hAnsi="微軟正黑體" w:hint="eastAsia"/>
        </w:rPr>
        <w:t>學習</w:t>
      </w:r>
      <w:r w:rsidR="00F375CE" w:rsidRPr="00F375CE">
        <w:rPr>
          <w:rFonts w:ascii="微軟正黑體" w:eastAsia="微軟正黑體" w:hAnsi="微軟正黑體" w:hint="eastAsia"/>
        </w:rPr>
        <w:t>影片</w:t>
      </w:r>
      <w:r w:rsidRPr="00F375CE">
        <w:rPr>
          <w:rFonts w:ascii="微軟正黑體" w:eastAsia="微軟正黑體" w:hAnsi="微軟正黑體" w:hint="eastAsia"/>
        </w:rPr>
        <w:t>。</w:t>
      </w:r>
    </w:p>
    <w:p w14:paraId="0D42A5BA" w14:textId="18C77941" w:rsidR="0081376A" w:rsidRDefault="0081376A" w:rsidP="00F375CE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</w:p>
    <w:p w14:paraId="416AABB0" w14:textId="77777777" w:rsidR="00621BAE" w:rsidRDefault="00621BAE" w:rsidP="00F375CE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</w:p>
    <w:p w14:paraId="7DBA1222" w14:textId="77777777" w:rsidR="00621BAE" w:rsidRDefault="00621BAE" w:rsidP="00F375CE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</w:p>
    <w:p w14:paraId="23A43EF9" w14:textId="77777777" w:rsidR="00621BAE" w:rsidRDefault="00621BAE" w:rsidP="00F375CE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</w:p>
    <w:p w14:paraId="6D599003" w14:textId="77777777" w:rsidR="00621BAE" w:rsidRDefault="00621BAE" w:rsidP="00F375CE">
      <w:pPr>
        <w:pStyle w:val="Default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</w:p>
    <w:p w14:paraId="1B8646E2" w14:textId="45BAAE30" w:rsidR="00621BAE" w:rsidRPr="004C4112" w:rsidRDefault="00621BAE" w:rsidP="00621BAE">
      <w:pPr>
        <w:spacing w:line="440" w:lineRule="exact"/>
        <w:rPr>
          <w:rFonts w:ascii="微軟正黑體" w:eastAsia="微軟正黑體" w:hAnsi="微軟正黑體"/>
          <w:b/>
          <w:bCs/>
        </w:rPr>
      </w:pPr>
      <w:r w:rsidRPr="004C4112">
        <w:rPr>
          <w:rFonts w:ascii="微軟正黑體" w:eastAsia="微軟正黑體" w:hAnsi="微軟正黑體" w:hint="eastAsia"/>
          <w:b/>
          <w:bCs/>
        </w:rPr>
        <w:t>＜</w:t>
      </w:r>
      <w:r w:rsidRPr="00621BAE">
        <w:rPr>
          <w:rFonts w:ascii="微軟正黑體" w:eastAsia="微軟正黑體" w:hAnsi="微軟正黑體" w:hint="eastAsia"/>
          <w:b/>
          <w:bCs/>
        </w:rPr>
        <w:t>ETF</w:t>
      </w:r>
      <w:proofErr w:type="gramStart"/>
      <w:r w:rsidR="00943CEA">
        <w:rPr>
          <w:rFonts w:ascii="微軟正黑體" w:eastAsia="微軟正黑體" w:hAnsi="微軟正黑體" w:hint="eastAsia"/>
          <w:b/>
          <w:bCs/>
        </w:rPr>
        <w:t>系列</w:t>
      </w:r>
      <w:r w:rsidRPr="00621BAE">
        <w:rPr>
          <w:rFonts w:ascii="微軟正黑體" w:eastAsia="微軟正黑體" w:hAnsi="微軟正黑體" w:hint="eastAsia"/>
          <w:b/>
          <w:bCs/>
        </w:rPr>
        <w:t>線上學習</w:t>
      </w:r>
      <w:proofErr w:type="gramEnd"/>
      <w:r w:rsidRPr="00621BAE">
        <w:rPr>
          <w:rFonts w:ascii="微軟正黑體" w:eastAsia="微軟正黑體" w:hAnsi="微軟正黑體" w:hint="eastAsia"/>
          <w:b/>
          <w:bCs/>
        </w:rPr>
        <w:t>影片入口</w:t>
      </w:r>
      <w:r w:rsidRPr="004C4112">
        <w:rPr>
          <w:rFonts w:ascii="微軟正黑體" w:eastAsia="微軟正黑體" w:hAnsi="微軟正黑體" w:hint="eastAsia"/>
          <w:b/>
          <w:bCs/>
        </w:rPr>
        <w:t>說明&gt;</w:t>
      </w:r>
    </w:p>
    <w:p w14:paraId="2613B2C2" w14:textId="77777777" w:rsidR="00A969B3" w:rsidRDefault="00A969B3" w:rsidP="00A969B3">
      <w:pPr>
        <w:pStyle w:val="Default"/>
        <w:spacing w:afterLines="50" w:after="180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noProof/>
          <w:color w:val="auto"/>
        </w:rPr>
        <w:drawing>
          <wp:inline distT="0" distB="0" distL="0" distR="0" wp14:anchorId="73C1F76A" wp14:editId="733DA3ED">
            <wp:extent cx="3385996" cy="1751293"/>
            <wp:effectExtent l="0" t="0" r="508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公會新聞稿一 圖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88" cy="175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915E" w14:textId="084D456F" w:rsidR="00A969B3" w:rsidRDefault="00A969B3" w:rsidP="00A969B3">
      <w:pPr>
        <w:pStyle w:val="Default"/>
        <w:spacing w:afterLines="50" w:after="180"/>
        <w:rPr>
          <w:rFonts w:asciiTheme="minorEastAsia" w:eastAsiaTheme="minorEastAsia" w:hAnsiTheme="minorEastAsia"/>
          <w:color w:val="auto"/>
          <w:sz w:val="20"/>
          <w:szCs w:val="20"/>
          <w:shd w:val="pct15" w:color="auto" w:fill="FFFFFF"/>
        </w:rPr>
      </w:pP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圖說：投信投顧公會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網站首頁特別設置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1</w:t>
      </w:r>
      <w:r w:rsidRPr="00B763A7">
        <w:rPr>
          <w:rFonts w:asciiTheme="minorEastAsia" w:eastAsiaTheme="minorEastAsia" w:hAnsiTheme="minorEastAsia"/>
          <w:color w:val="auto"/>
          <w:sz w:val="20"/>
          <w:szCs w:val="20"/>
          <w:shd w:val="pct15" w:color="auto" w:fill="FFFFFF"/>
        </w:rPr>
        <w:t>6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支ETF</w:t>
      </w:r>
      <w:proofErr w:type="gramStart"/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線上</w:t>
      </w:r>
      <w:r w:rsidR="00E07D36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學習</w:t>
      </w:r>
      <w:proofErr w:type="gramEnd"/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影片觀看入口（圖右上有手指圖案處），並設置了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基礎入門篇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4支影片的觀看入口（圖中有手指圖案處）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。</w:t>
      </w:r>
    </w:p>
    <w:p w14:paraId="6F7EBBA1" w14:textId="77777777" w:rsidR="00A969B3" w:rsidRDefault="00A969B3" w:rsidP="00A969B3">
      <w:pPr>
        <w:pStyle w:val="Default"/>
        <w:spacing w:afterLines="50" w:after="180"/>
        <w:rPr>
          <w:rFonts w:asciiTheme="minorEastAsia" w:eastAsiaTheme="minorEastAsia" w:hAnsiTheme="minorEastAsia"/>
          <w:b/>
          <w:color w:val="auto"/>
        </w:rPr>
      </w:pPr>
    </w:p>
    <w:p w14:paraId="6BF112AF" w14:textId="77777777" w:rsidR="00A969B3" w:rsidRDefault="00A969B3" w:rsidP="00A969B3">
      <w:pPr>
        <w:pStyle w:val="Default"/>
        <w:spacing w:afterLines="50" w:after="180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/>
          <w:b/>
          <w:noProof/>
          <w:color w:val="auto"/>
        </w:rPr>
        <w:drawing>
          <wp:inline distT="0" distB="0" distL="0" distR="0" wp14:anchorId="1EC6B635" wp14:editId="4848D383">
            <wp:extent cx="4276569" cy="221191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公會新聞稿一 圖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560" cy="22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C5E1" w14:textId="3EB39F2C" w:rsidR="00A969B3" w:rsidRDefault="00A969B3" w:rsidP="00A969B3">
      <w:pPr>
        <w:pStyle w:val="Default"/>
        <w:spacing w:afterLines="50" w:after="180"/>
        <w:rPr>
          <w:rFonts w:asciiTheme="minorEastAsia" w:eastAsiaTheme="minorEastAsia" w:hAnsiTheme="minorEastAsia"/>
          <w:b/>
          <w:color w:val="auto"/>
        </w:rPr>
      </w:pP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圖說：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點擊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投信投顧公會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網站首頁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1</w:t>
      </w:r>
      <w:r w:rsidRPr="00B763A7">
        <w:rPr>
          <w:rFonts w:asciiTheme="minorEastAsia" w:eastAsiaTheme="minorEastAsia" w:hAnsiTheme="minorEastAsia"/>
          <w:color w:val="auto"/>
          <w:sz w:val="20"/>
          <w:szCs w:val="20"/>
          <w:shd w:val="pct15" w:color="auto" w:fill="FFFFFF"/>
        </w:rPr>
        <w:t>6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支</w:t>
      </w:r>
      <w:r w:rsidR="00E07D36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ETF</w:t>
      </w:r>
      <w:proofErr w:type="gramStart"/>
      <w:r w:rsidR="00E07D36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線上學習</w:t>
      </w:r>
      <w:proofErr w:type="gramEnd"/>
      <w:r w:rsidR="00E07D36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影片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觀看入口，</w:t>
      </w:r>
      <w:r w:rsidR="00F375CE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進入「ETF專區」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將可一次綜</w:t>
      </w:r>
      <w:proofErr w:type="gramStart"/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覽</w:t>
      </w:r>
      <w:proofErr w:type="gramEnd"/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基礎入門篇、產品認識篇以及觀念</w:t>
      </w:r>
      <w:proofErr w:type="gramStart"/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釐清篇</w:t>
      </w:r>
      <w:proofErr w:type="gramEnd"/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等</w:t>
      </w:r>
      <w:r w:rsidRPr="00B763A7">
        <w:rPr>
          <w:rFonts w:asciiTheme="minorEastAsia" w:eastAsiaTheme="minorEastAsia" w:hAnsiTheme="minorEastAsia"/>
          <w:color w:val="auto"/>
          <w:sz w:val="20"/>
          <w:szCs w:val="20"/>
          <w:shd w:val="pct15" w:color="auto" w:fill="FFFFFF"/>
        </w:rPr>
        <w:t>3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大學習主題</w:t>
      </w:r>
      <w:r w:rsidRPr="00B763A7">
        <w:rPr>
          <w:rFonts w:asciiTheme="minorEastAsia" w:eastAsiaTheme="minorEastAsia" w:hAnsiTheme="minorEastAsia" w:hint="eastAsia"/>
          <w:color w:val="auto"/>
          <w:sz w:val="20"/>
          <w:szCs w:val="20"/>
          <w:shd w:val="pct15" w:color="auto" w:fill="FFFFFF"/>
        </w:rPr>
        <w:t>。</w:t>
      </w:r>
    </w:p>
    <w:p w14:paraId="26556DED" w14:textId="77777777" w:rsidR="00A969B3" w:rsidRPr="00E07D36" w:rsidRDefault="00A969B3" w:rsidP="008673CD">
      <w:pPr>
        <w:pStyle w:val="a5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</w:p>
    <w:p w14:paraId="47A9ED06" w14:textId="23271976" w:rsidR="005C52B7" w:rsidRPr="002113A5" w:rsidRDefault="005C52B7" w:rsidP="005C52B7">
      <w:pPr>
        <w:spacing w:line="440" w:lineRule="exact"/>
        <w:jc w:val="center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###</w:t>
      </w:r>
    </w:p>
    <w:sectPr w:rsidR="005C52B7" w:rsidRPr="002113A5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54DE" w14:textId="77777777" w:rsidR="00031789" w:rsidRDefault="00031789" w:rsidP="00031789">
      <w:r>
        <w:separator/>
      </w:r>
    </w:p>
  </w:endnote>
  <w:endnote w:type="continuationSeparator" w:id="0">
    <w:p w14:paraId="0A356052" w14:textId="77777777" w:rsidR="00031789" w:rsidRDefault="00031789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6451" w14:textId="77777777" w:rsidR="00031789" w:rsidRDefault="00031789" w:rsidP="00031789">
      <w:r>
        <w:separator/>
      </w:r>
    </w:p>
  </w:footnote>
  <w:footnote w:type="continuationSeparator" w:id="0">
    <w:p w14:paraId="098AE8F4" w14:textId="77777777" w:rsidR="00031789" w:rsidRDefault="00031789" w:rsidP="000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12C46"/>
    <w:rsid w:val="00031789"/>
    <w:rsid w:val="000469CB"/>
    <w:rsid w:val="000632E8"/>
    <w:rsid w:val="00063365"/>
    <w:rsid w:val="000C5314"/>
    <w:rsid w:val="000E3E2A"/>
    <w:rsid w:val="0010301A"/>
    <w:rsid w:val="001250CB"/>
    <w:rsid w:val="00145E1A"/>
    <w:rsid w:val="001C4740"/>
    <w:rsid w:val="001C4910"/>
    <w:rsid w:val="001E1A74"/>
    <w:rsid w:val="001E3CAA"/>
    <w:rsid w:val="002113A5"/>
    <w:rsid w:val="002324B7"/>
    <w:rsid w:val="00290CC7"/>
    <w:rsid w:val="00300DB8"/>
    <w:rsid w:val="003121A0"/>
    <w:rsid w:val="00313E71"/>
    <w:rsid w:val="00354525"/>
    <w:rsid w:val="003667C6"/>
    <w:rsid w:val="003A1870"/>
    <w:rsid w:val="003A4103"/>
    <w:rsid w:val="003C650E"/>
    <w:rsid w:val="00412E77"/>
    <w:rsid w:val="004635FF"/>
    <w:rsid w:val="00487258"/>
    <w:rsid w:val="00491182"/>
    <w:rsid w:val="00565D50"/>
    <w:rsid w:val="00573E8B"/>
    <w:rsid w:val="005C52B7"/>
    <w:rsid w:val="005D2A64"/>
    <w:rsid w:val="005F646D"/>
    <w:rsid w:val="005F733E"/>
    <w:rsid w:val="00600401"/>
    <w:rsid w:val="0061648A"/>
    <w:rsid w:val="00620E27"/>
    <w:rsid w:val="00621BAE"/>
    <w:rsid w:val="006333BE"/>
    <w:rsid w:val="00646211"/>
    <w:rsid w:val="00652C3E"/>
    <w:rsid w:val="006562E8"/>
    <w:rsid w:val="006650E2"/>
    <w:rsid w:val="006D740F"/>
    <w:rsid w:val="0070075D"/>
    <w:rsid w:val="00710308"/>
    <w:rsid w:val="00713B67"/>
    <w:rsid w:val="00731219"/>
    <w:rsid w:val="00746E7F"/>
    <w:rsid w:val="007A184D"/>
    <w:rsid w:val="007B5655"/>
    <w:rsid w:val="007C33B2"/>
    <w:rsid w:val="00810C24"/>
    <w:rsid w:val="0081376A"/>
    <w:rsid w:val="00814E80"/>
    <w:rsid w:val="00845258"/>
    <w:rsid w:val="00853894"/>
    <w:rsid w:val="008673CD"/>
    <w:rsid w:val="00870AA3"/>
    <w:rsid w:val="00897FC6"/>
    <w:rsid w:val="00943CEA"/>
    <w:rsid w:val="009919B1"/>
    <w:rsid w:val="00993408"/>
    <w:rsid w:val="009C0B99"/>
    <w:rsid w:val="009E1AD8"/>
    <w:rsid w:val="00A10801"/>
    <w:rsid w:val="00A77289"/>
    <w:rsid w:val="00A969B3"/>
    <w:rsid w:val="00AB5884"/>
    <w:rsid w:val="00AC2056"/>
    <w:rsid w:val="00C375F6"/>
    <w:rsid w:val="00C5124B"/>
    <w:rsid w:val="00C60437"/>
    <w:rsid w:val="00C61A63"/>
    <w:rsid w:val="00CD0158"/>
    <w:rsid w:val="00CE317C"/>
    <w:rsid w:val="00D06108"/>
    <w:rsid w:val="00D371F6"/>
    <w:rsid w:val="00D50D0A"/>
    <w:rsid w:val="00D61CC5"/>
    <w:rsid w:val="00D834F0"/>
    <w:rsid w:val="00D864C6"/>
    <w:rsid w:val="00DA5D9B"/>
    <w:rsid w:val="00E07D36"/>
    <w:rsid w:val="00E25975"/>
    <w:rsid w:val="00E75C94"/>
    <w:rsid w:val="00E863B7"/>
    <w:rsid w:val="00EB7204"/>
    <w:rsid w:val="00F12245"/>
    <w:rsid w:val="00F13F69"/>
    <w:rsid w:val="00F2261B"/>
    <w:rsid w:val="00F375CE"/>
    <w:rsid w:val="00F4176B"/>
    <w:rsid w:val="00FE726D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3C124F"/>
  <w15:chartTrackingRefBased/>
  <w15:docId w15:val="{477FA0F6-E075-49BC-90AB-A6A8B6A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673CD"/>
    <w:rPr>
      <w:sz w:val="18"/>
      <w:szCs w:val="18"/>
    </w:rPr>
  </w:style>
  <w:style w:type="character" w:styleId="ac">
    <w:name w:val="Hyperlink"/>
    <w:basedOn w:val="a0"/>
    <w:uiPriority w:val="99"/>
    <w:unhideWhenUsed/>
    <w:rsid w:val="00813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投信投顧公會 吳承芳</cp:lastModifiedBy>
  <cp:revision>6</cp:revision>
  <cp:lastPrinted>2023-10-11T02:12:00Z</cp:lastPrinted>
  <dcterms:created xsi:type="dcterms:W3CDTF">2024-07-03T08:44:00Z</dcterms:created>
  <dcterms:modified xsi:type="dcterms:W3CDTF">2024-07-04T01:35:00Z</dcterms:modified>
</cp:coreProperties>
</file>