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F3E2" w14:textId="4C0BBFAD" w:rsidR="00770184" w:rsidRPr="00931098" w:rsidRDefault="000F7F64" w:rsidP="000D1E6F">
      <w:pPr>
        <w:snapToGrid w:val="0"/>
        <w:spacing w:line="48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b/>
          <w:bCs/>
          <w:sz w:val="36"/>
          <w:szCs w:val="36"/>
          <w:shd w:val="clear" w:color="auto" w:fill="FFFFFF"/>
        </w:rPr>
        <w:t>台股基金績效受投資風格影響</w:t>
      </w:r>
    </w:p>
    <w:p w14:paraId="4D763AB6" w14:textId="71E928EA" w:rsidR="000D1E6F" w:rsidRPr="00931098" w:rsidRDefault="00E84451" w:rsidP="00E8445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 w:hint="eastAsia"/>
          <w:szCs w:val="24"/>
        </w:rPr>
        <w:t>葉銀華</w:t>
      </w:r>
      <w:r w:rsidRPr="0093109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31098">
        <w:rPr>
          <w:rFonts w:ascii="Times New Roman" w:eastAsia="標楷體" w:hAnsi="Times New Roman" w:cs="Times New Roman" w:hint="eastAsia"/>
          <w:szCs w:val="24"/>
        </w:rPr>
        <w:t>陽明交通大學資管與財金系教授</w:t>
      </w:r>
    </w:p>
    <w:p w14:paraId="601EAD72" w14:textId="1FF306F2" w:rsidR="00E84451" w:rsidRPr="00931098" w:rsidRDefault="00E84451" w:rsidP="00E8445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 w:hint="eastAsia"/>
          <w:szCs w:val="24"/>
        </w:rPr>
        <w:t>邱顯比</w:t>
      </w:r>
      <w:r w:rsidRPr="00931098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931098">
        <w:rPr>
          <w:rFonts w:ascii="Times New Roman" w:eastAsia="標楷體" w:hAnsi="Times New Roman" w:cs="Times New Roman" w:hint="eastAsia"/>
          <w:szCs w:val="24"/>
        </w:rPr>
        <w:t>台灣大學財務金融學系</w:t>
      </w:r>
      <w:r w:rsidRPr="00931098">
        <w:rPr>
          <w:rFonts w:ascii="Times New Roman" w:eastAsia="標楷體" w:hAnsi="Times New Roman" w:cs="Times New Roman" w:hint="eastAsia"/>
          <w:szCs w:val="24"/>
        </w:rPr>
        <w:t>(</w:t>
      </w:r>
      <w:r w:rsidRPr="00931098">
        <w:rPr>
          <w:rFonts w:ascii="Times New Roman" w:eastAsia="標楷體" w:hAnsi="Times New Roman" w:cs="Times New Roman" w:hint="eastAsia"/>
          <w:szCs w:val="24"/>
        </w:rPr>
        <w:t>所</w:t>
      </w:r>
      <w:r w:rsidRPr="00931098">
        <w:rPr>
          <w:rFonts w:ascii="Times New Roman" w:eastAsia="標楷體" w:hAnsi="Times New Roman" w:cs="Times New Roman" w:hint="eastAsia"/>
          <w:szCs w:val="24"/>
        </w:rPr>
        <w:t>)</w:t>
      </w:r>
      <w:r w:rsidR="00DC20D2">
        <w:rPr>
          <w:rFonts w:ascii="Times New Roman" w:eastAsia="標楷體" w:hAnsi="Times New Roman" w:cs="Times New Roman" w:hint="eastAsia"/>
          <w:szCs w:val="24"/>
        </w:rPr>
        <w:t>名</w:t>
      </w:r>
      <w:r w:rsidRPr="00931098">
        <w:rPr>
          <w:rFonts w:ascii="Times New Roman" w:eastAsia="標楷體" w:hAnsi="Times New Roman" w:cs="Times New Roman" w:hint="eastAsia"/>
          <w:szCs w:val="24"/>
        </w:rPr>
        <w:t>譽教授</w:t>
      </w:r>
    </w:p>
    <w:p w14:paraId="170B799E" w14:textId="77777777" w:rsidR="00E84451" w:rsidRPr="00931098" w:rsidRDefault="00E84451" w:rsidP="00E84451">
      <w:pPr>
        <w:snapToGrid w:val="0"/>
        <w:spacing w:line="480" w:lineRule="auto"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p w14:paraId="4C0A09C6" w14:textId="77777777" w:rsidR="00E84451" w:rsidRPr="00931098" w:rsidRDefault="00E84451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33E7C6D2" w14:textId="0313DFE2" w:rsidR="000F7F64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/>
          <w:szCs w:val="24"/>
        </w:rPr>
        <w:t>2026</w:t>
      </w:r>
      <w:r w:rsidRPr="00931098">
        <w:rPr>
          <w:rFonts w:ascii="Times New Roman" w:eastAsia="標楷體" w:hAnsi="Times New Roman" w:cs="Times New Roman"/>
          <w:szCs w:val="24"/>
        </w:rPr>
        <w:t>年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月，全球主要股市普遍走揚，半導體與相關科技產業仍成為主要推動力量。從整體表現來看，</w:t>
      </w:r>
      <w:r w:rsidRPr="00931098">
        <w:rPr>
          <w:rFonts w:ascii="Times New Roman" w:eastAsia="標楷體" w:hAnsi="Times New Roman" w:cs="Times New Roman"/>
          <w:szCs w:val="24"/>
        </w:rPr>
        <w:t>MSCI</w:t>
      </w:r>
      <w:r w:rsidRPr="00931098">
        <w:rPr>
          <w:rFonts w:ascii="Times New Roman" w:eastAsia="標楷體" w:hAnsi="Times New Roman" w:cs="Times New Roman"/>
          <w:szCs w:val="24"/>
        </w:rPr>
        <w:t>全球指數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月上漲</w:t>
      </w:r>
      <w:r w:rsidR="001D09F1" w:rsidRPr="00931098">
        <w:rPr>
          <w:rFonts w:ascii="Times New Roman" w:eastAsia="標楷體" w:hAnsi="Times New Roman" w:cs="Times New Roman" w:hint="eastAsia"/>
          <w:szCs w:val="24"/>
        </w:rPr>
        <w:t>2.26%</w:t>
      </w:r>
      <w:r w:rsidRPr="00931098">
        <w:rPr>
          <w:rFonts w:ascii="Times New Roman" w:eastAsia="標楷體" w:hAnsi="Times New Roman" w:cs="Times New Roman"/>
          <w:szCs w:val="24"/>
        </w:rPr>
        <w:t>，歐洲市場表現相對亮眼，</w:t>
      </w:r>
      <w:r w:rsidRPr="00931098">
        <w:rPr>
          <w:rFonts w:ascii="Times New Roman" w:eastAsia="標楷體" w:hAnsi="Times New Roman" w:cs="Times New Roman"/>
          <w:szCs w:val="24"/>
        </w:rPr>
        <w:t>MSCI</w:t>
      </w:r>
      <w:r w:rsidRPr="00931098">
        <w:rPr>
          <w:rFonts w:ascii="Times New Roman" w:eastAsia="標楷體" w:hAnsi="Times New Roman" w:cs="Times New Roman"/>
          <w:szCs w:val="24"/>
        </w:rPr>
        <w:t>歐洲指數上漲</w:t>
      </w:r>
      <w:r w:rsidR="001D09F1" w:rsidRPr="00931098">
        <w:rPr>
          <w:rFonts w:ascii="Times New Roman" w:eastAsia="標楷體" w:hAnsi="Times New Roman" w:cs="Times New Roman" w:hint="eastAsia"/>
          <w:szCs w:val="24"/>
        </w:rPr>
        <w:t>4.46%</w:t>
      </w:r>
      <w:r w:rsidRPr="00931098">
        <w:rPr>
          <w:rFonts w:ascii="Times New Roman" w:eastAsia="標楷體" w:hAnsi="Times New Roman" w:cs="Times New Roman"/>
          <w:szCs w:val="24"/>
        </w:rPr>
        <w:t>，反映歐洲經濟衰退疑慮緩解，加上評價水準相對偏低，吸引國際資金進行補漲布局。相較之下，美國市場表現較為溫和，道瓊工業指數上漲</w:t>
      </w:r>
      <w:r w:rsidRPr="00931098">
        <w:rPr>
          <w:rFonts w:ascii="Times New Roman" w:eastAsia="標楷體" w:hAnsi="Times New Roman" w:cs="Times New Roman"/>
          <w:szCs w:val="24"/>
        </w:rPr>
        <w:t>1.73%</w:t>
      </w:r>
      <w:r w:rsidRPr="00931098">
        <w:rPr>
          <w:rFonts w:ascii="Times New Roman" w:eastAsia="標楷體" w:hAnsi="Times New Roman" w:cs="Times New Roman"/>
          <w:szCs w:val="24"/>
        </w:rPr>
        <w:t>，</w:t>
      </w:r>
      <w:r w:rsidRPr="00931098">
        <w:rPr>
          <w:rFonts w:ascii="Times New Roman" w:eastAsia="標楷體" w:hAnsi="Times New Roman" w:cs="Times New Roman"/>
          <w:szCs w:val="24"/>
        </w:rPr>
        <w:t>S&amp;P 500</w:t>
      </w:r>
      <w:r w:rsidRPr="00931098">
        <w:rPr>
          <w:rFonts w:ascii="Times New Roman" w:eastAsia="標楷體" w:hAnsi="Times New Roman" w:cs="Times New Roman"/>
          <w:szCs w:val="24"/>
        </w:rPr>
        <w:t>指數上漲</w:t>
      </w:r>
      <w:r w:rsidRPr="00931098">
        <w:rPr>
          <w:rFonts w:ascii="Times New Roman" w:eastAsia="標楷體" w:hAnsi="Times New Roman" w:cs="Times New Roman"/>
          <w:szCs w:val="24"/>
        </w:rPr>
        <w:t>1.37%</w:t>
      </w:r>
      <w:r w:rsidRPr="00931098">
        <w:rPr>
          <w:rFonts w:ascii="Times New Roman" w:eastAsia="標楷體" w:hAnsi="Times New Roman" w:cs="Times New Roman"/>
          <w:szCs w:val="24"/>
        </w:rPr>
        <w:t>，納斯達克指數上漲</w:t>
      </w:r>
      <w:r w:rsidRPr="00931098">
        <w:rPr>
          <w:rFonts w:ascii="Times New Roman" w:eastAsia="標楷體" w:hAnsi="Times New Roman" w:cs="Times New Roman"/>
          <w:szCs w:val="24"/>
        </w:rPr>
        <w:t>0.95%</w:t>
      </w:r>
      <w:r w:rsidRPr="00931098">
        <w:rPr>
          <w:rFonts w:ascii="Times New Roman" w:eastAsia="標楷體" w:hAnsi="Times New Roman" w:cs="Times New Roman"/>
          <w:szCs w:val="24"/>
        </w:rPr>
        <w:t>，顯示市場對經濟前景仍維持審慎樂觀態度，資金配置趨於理性。</w:t>
      </w:r>
    </w:p>
    <w:p w14:paraId="24FEEBFF" w14:textId="77777777" w:rsidR="000F7F64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/>
          <w:szCs w:val="24"/>
        </w:rPr>
        <w:t>值得注意的是，半導體產業在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月展現出明顯的領先優勢。費城半導體指數單月大漲</w:t>
      </w:r>
      <w:r w:rsidRPr="00931098">
        <w:rPr>
          <w:rFonts w:ascii="Times New Roman" w:eastAsia="標楷體" w:hAnsi="Times New Roman" w:cs="Times New Roman"/>
          <w:szCs w:val="24"/>
        </w:rPr>
        <w:t>13.11%</w:t>
      </w:r>
      <w:r w:rsidRPr="00931098">
        <w:rPr>
          <w:rFonts w:ascii="Times New Roman" w:eastAsia="標楷體" w:hAnsi="Times New Roman" w:cs="Times New Roman"/>
          <w:szCs w:val="24"/>
        </w:rPr>
        <w:t>，遠高於美國三大指數，顯示市場對人工智慧、高效能運算及先進製程需求復甦的高度期待。在此背景下，台灣股市表現突出。加權股價指數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月上漲</w:t>
      </w:r>
      <w:r w:rsidRPr="00931098">
        <w:rPr>
          <w:rFonts w:ascii="Times New Roman" w:eastAsia="標楷體" w:hAnsi="Times New Roman" w:cs="Times New Roman"/>
          <w:szCs w:val="24"/>
        </w:rPr>
        <w:t>10.7%</w:t>
      </w:r>
      <w:r w:rsidRPr="00931098">
        <w:rPr>
          <w:rFonts w:ascii="Times New Roman" w:eastAsia="標楷體" w:hAnsi="Times New Roman" w:cs="Times New Roman"/>
          <w:szCs w:val="24"/>
        </w:rPr>
        <w:t>，走勢與費城半導體指數連動。由於半導體與電子權值股在台股中占有關鍵地位，台灣市場往往成為主要受惠者。亞洲其他市場，日經</w:t>
      </w:r>
      <w:r w:rsidRPr="00931098">
        <w:rPr>
          <w:rFonts w:ascii="Times New Roman" w:eastAsia="標楷體" w:hAnsi="Times New Roman" w:cs="Times New Roman"/>
          <w:szCs w:val="24"/>
        </w:rPr>
        <w:t>225</w:t>
      </w:r>
      <w:r w:rsidRPr="00931098">
        <w:rPr>
          <w:rFonts w:ascii="Times New Roman" w:eastAsia="標楷體" w:hAnsi="Times New Roman" w:cs="Times New Roman"/>
          <w:szCs w:val="24"/>
        </w:rPr>
        <w:t>指數上漲</w:t>
      </w:r>
      <w:r w:rsidRPr="00931098">
        <w:rPr>
          <w:rFonts w:ascii="Times New Roman" w:eastAsia="標楷體" w:hAnsi="Times New Roman" w:cs="Times New Roman"/>
          <w:szCs w:val="24"/>
        </w:rPr>
        <w:t>5.93%</w:t>
      </w:r>
      <w:r w:rsidRPr="00931098">
        <w:rPr>
          <w:rFonts w:ascii="Times New Roman" w:eastAsia="標楷體" w:hAnsi="Times New Roman" w:cs="Times New Roman"/>
          <w:szCs w:val="24"/>
        </w:rPr>
        <w:t>，持續受惠於</w:t>
      </w:r>
      <w:r w:rsidR="00EC241B" w:rsidRPr="00931098">
        <w:rPr>
          <w:rFonts w:ascii="Times New Roman" w:eastAsia="標楷體" w:hAnsi="Times New Roman" w:cs="Times New Roman"/>
          <w:szCs w:val="24"/>
        </w:rPr>
        <w:t>公司</w:t>
      </w:r>
      <w:r w:rsidRPr="00931098">
        <w:rPr>
          <w:rFonts w:ascii="Times New Roman" w:eastAsia="標楷體" w:hAnsi="Times New Roman" w:cs="Times New Roman"/>
          <w:szCs w:val="24"/>
        </w:rPr>
        <w:t>治理改革與外資資金流入。相較之下，中國</w:t>
      </w:r>
      <w:r w:rsidR="005512A2" w:rsidRPr="00931098">
        <w:rPr>
          <w:rFonts w:ascii="Times New Roman" w:eastAsia="標楷體" w:hAnsi="Times New Roman" w:cs="Times New Roman"/>
          <w:szCs w:val="24"/>
        </w:rPr>
        <w:t>股市各指數</w:t>
      </w:r>
      <w:r w:rsidRPr="00931098">
        <w:rPr>
          <w:rFonts w:ascii="Times New Roman" w:eastAsia="標楷體" w:hAnsi="Times New Roman" w:cs="Times New Roman"/>
          <w:szCs w:val="24"/>
        </w:rPr>
        <w:t>表現</w:t>
      </w:r>
      <w:r w:rsidR="005512A2" w:rsidRPr="00931098">
        <w:rPr>
          <w:rFonts w:ascii="Times New Roman" w:eastAsia="標楷體" w:hAnsi="Times New Roman" w:cs="Times New Roman"/>
          <w:szCs w:val="24"/>
        </w:rPr>
        <w:t>差異大</w:t>
      </w:r>
      <w:r w:rsidRPr="00931098">
        <w:rPr>
          <w:rFonts w:ascii="Times New Roman" w:eastAsia="標楷體" w:hAnsi="Times New Roman" w:cs="Times New Roman"/>
          <w:szCs w:val="24"/>
        </w:rPr>
        <w:t>，</w:t>
      </w:r>
      <w:r w:rsidR="00EC241B" w:rsidRPr="00931098">
        <w:rPr>
          <w:rFonts w:ascii="Times New Roman" w:eastAsia="標楷體" w:hAnsi="Times New Roman" w:cs="Times New Roman"/>
          <w:szCs w:val="24"/>
        </w:rPr>
        <w:t>滬深</w:t>
      </w:r>
      <w:r w:rsidR="00EC241B" w:rsidRPr="00931098">
        <w:rPr>
          <w:rFonts w:ascii="Times New Roman" w:eastAsia="標楷體" w:hAnsi="Times New Roman" w:cs="Times New Roman"/>
          <w:szCs w:val="24"/>
        </w:rPr>
        <w:t>300</w:t>
      </w:r>
      <w:r w:rsidR="00EC241B" w:rsidRPr="00931098">
        <w:rPr>
          <w:rFonts w:ascii="Times New Roman" w:eastAsia="標楷體" w:hAnsi="Times New Roman" w:cs="Times New Roman"/>
          <w:szCs w:val="24"/>
        </w:rPr>
        <w:t>指數</w:t>
      </w:r>
      <w:r w:rsidRPr="00931098">
        <w:rPr>
          <w:rFonts w:ascii="Times New Roman" w:eastAsia="標楷體" w:hAnsi="Times New Roman" w:cs="Times New Roman"/>
          <w:szCs w:val="24"/>
        </w:rPr>
        <w:t>上漲</w:t>
      </w:r>
      <w:r w:rsidR="00EC241B" w:rsidRPr="00931098">
        <w:rPr>
          <w:rFonts w:ascii="Times New Roman" w:eastAsia="標楷體" w:hAnsi="Times New Roman" w:cs="Times New Roman"/>
          <w:szCs w:val="24"/>
        </w:rPr>
        <w:t>1.65</w:t>
      </w:r>
      <w:r w:rsidRPr="00931098">
        <w:rPr>
          <w:rFonts w:ascii="Times New Roman" w:eastAsia="標楷體" w:hAnsi="Times New Roman" w:cs="Times New Roman"/>
          <w:szCs w:val="24"/>
        </w:rPr>
        <w:t>%</w:t>
      </w:r>
      <w:r w:rsidR="005512A2" w:rsidRPr="00931098">
        <w:rPr>
          <w:rFonts w:ascii="Times New Roman" w:eastAsia="標楷體" w:hAnsi="Times New Roman" w:cs="Times New Roman"/>
          <w:szCs w:val="24"/>
        </w:rPr>
        <w:t>、上海綜合指數上漲</w:t>
      </w:r>
      <w:r w:rsidR="005512A2" w:rsidRPr="00931098">
        <w:rPr>
          <w:rFonts w:ascii="Times New Roman" w:eastAsia="標楷體" w:hAnsi="Times New Roman" w:cs="Times New Roman"/>
          <w:szCs w:val="24"/>
        </w:rPr>
        <w:t>3.76%</w:t>
      </w:r>
      <w:r w:rsidR="005512A2" w:rsidRPr="00931098">
        <w:rPr>
          <w:rFonts w:ascii="Times New Roman" w:eastAsia="標楷體" w:hAnsi="Times New Roman" w:cs="Times New Roman"/>
          <w:szCs w:val="24"/>
        </w:rPr>
        <w:t>、深圳成份指數上漲</w:t>
      </w:r>
      <w:r w:rsidR="005512A2" w:rsidRPr="00931098">
        <w:rPr>
          <w:rFonts w:ascii="Times New Roman" w:eastAsia="標楷體" w:hAnsi="Times New Roman" w:cs="Times New Roman"/>
          <w:szCs w:val="24"/>
        </w:rPr>
        <w:t>5.03%</w:t>
      </w:r>
      <w:r w:rsidRPr="00931098">
        <w:rPr>
          <w:rFonts w:ascii="Times New Roman" w:eastAsia="標楷體" w:hAnsi="Times New Roman" w:cs="Times New Roman"/>
          <w:szCs w:val="24"/>
        </w:rPr>
        <w:t>，反映內需復甦力道</w:t>
      </w:r>
      <w:r w:rsidR="005512A2" w:rsidRPr="00931098">
        <w:rPr>
          <w:rFonts w:ascii="Times New Roman" w:eastAsia="標楷體" w:hAnsi="Times New Roman" w:cs="Times New Roman"/>
          <w:szCs w:val="24"/>
        </w:rPr>
        <w:t>尚</w:t>
      </w:r>
      <w:r w:rsidRPr="00931098">
        <w:rPr>
          <w:rFonts w:ascii="Times New Roman" w:eastAsia="標楷體" w:hAnsi="Times New Roman" w:cs="Times New Roman"/>
          <w:szCs w:val="24"/>
        </w:rPr>
        <w:t>不足、房地產調整未完全結束，以及投資信心尚未全面恢復。</w:t>
      </w:r>
    </w:p>
    <w:p w14:paraId="0A10A8F7" w14:textId="6EBD1CED" w:rsidR="009D4FAF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/>
          <w:szCs w:val="24"/>
        </w:rPr>
        <w:t>2026</w:t>
      </w:r>
      <w:r w:rsidRPr="00931098">
        <w:rPr>
          <w:rFonts w:ascii="Times New Roman" w:eastAsia="標楷體" w:hAnsi="Times New Roman" w:cs="Times New Roman"/>
          <w:szCs w:val="24"/>
        </w:rPr>
        <w:t>年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月，主要國家公債殖利率呈現先升後穩或高檔整理走勢，反映市場持續消化通膨趨勢、經濟韌性與貨幣政策轉向時點的不確定性。以美國市場為例，十年期公債殖利率由去年底</w:t>
      </w:r>
      <w:r w:rsidRPr="00931098">
        <w:rPr>
          <w:rFonts w:ascii="Times New Roman" w:eastAsia="標楷體" w:hAnsi="Times New Roman" w:cs="Times New Roman"/>
          <w:szCs w:val="24"/>
        </w:rPr>
        <w:t>4.18%</w:t>
      </w:r>
      <w:r w:rsidRPr="00931098">
        <w:rPr>
          <w:rFonts w:ascii="Times New Roman" w:eastAsia="標楷體" w:hAnsi="Times New Roman" w:cs="Times New Roman"/>
          <w:szCs w:val="24"/>
        </w:rPr>
        <w:t>上升至</w:t>
      </w:r>
      <w:r w:rsidRPr="00931098">
        <w:rPr>
          <w:rFonts w:ascii="Times New Roman" w:eastAsia="標楷體" w:hAnsi="Times New Roman" w:cs="Times New Roman"/>
          <w:szCs w:val="24"/>
        </w:rPr>
        <w:t>1</w:t>
      </w:r>
      <w:r w:rsidRPr="00931098">
        <w:rPr>
          <w:rFonts w:ascii="Times New Roman" w:eastAsia="標楷體" w:hAnsi="Times New Roman" w:cs="Times New Roman"/>
          <w:szCs w:val="24"/>
        </w:rPr>
        <w:t>月中旬的</w:t>
      </w:r>
      <w:r w:rsidRPr="00931098">
        <w:rPr>
          <w:rFonts w:ascii="Times New Roman" w:eastAsia="標楷體" w:hAnsi="Times New Roman" w:cs="Times New Roman"/>
          <w:szCs w:val="24"/>
        </w:rPr>
        <w:t>4.3%</w:t>
      </w:r>
      <w:r w:rsidRPr="00931098">
        <w:rPr>
          <w:rFonts w:ascii="Times New Roman" w:eastAsia="標楷體" w:hAnsi="Times New Roman" w:cs="Times New Roman"/>
          <w:szCs w:val="24"/>
        </w:rPr>
        <w:t>，月底回落至</w:t>
      </w:r>
      <w:r w:rsidRPr="00931098">
        <w:rPr>
          <w:rFonts w:ascii="Times New Roman" w:eastAsia="標楷體" w:hAnsi="Times New Roman" w:cs="Times New Roman"/>
          <w:szCs w:val="24"/>
        </w:rPr>
        <w:t>4.26%</w:t>
      </w:r>
      <w:r w:rsidR="009E23DC" w:rsidRPr="00931098">
        <w:rPr>
          <w:rFonts w:ascii="Times New Roman" w:eastAsia="標楷體" w:hAnsi="Times New Roman" w:cs="Times New Roman"/>
          <w:szCs w:val="24"/>
        </w:rPr>
        <w:t>。</w:t>
      </w:r>
      <w:r w:rsidRPr="00931098">
        <w:rPr>
          <w:rFonts w:ascii="Times New Roman" w:eastAsia="標楷體" w:hAnsi="Times New Roman" w:cs="Times New Roman"/>
          <w:szCs w:val="24"/>
        </w:rPr>
        <w:lastRenderedPageBreak/>
        <w:t>二年期殖利率則由</w:t>
      </w:r>
      <w:r w:rsidRPr="00931098">
        <w:rPr>
          <w:rFonts w:ascii="Times New Roman" w:eastAsia="標楷體" w:hAnsi="Times New Roman" w:cs="Times New Roman"/>
          <w:szCs w:val="24"/>
        </w:rPr>
        <w:t>3.47%</w:t>
      </w:r>
      <w:r w:rsidRPr="00931098">
        <w:rPr>
          <w:rFonts w:ascii="Times New Roman" w:eastAsia="標楷體" w:hAnsi="Times New Roman" w:cs="Times New Roman"/>
          <w:szCs w:val="24"/>
        </w:rPr>
        <w:t>升至</w:t>
      </w:r>
      <w:r w:rsidRPr="00931098">
        <w:rPr>
          <w:rFonts w:ascii="Times New Roman" w:eastAsia="標楷體" w:hAnsi="Times New Roman" w:cs="Times New Roman"/>
          <w:szCs w:val="24"/>
        </w:rPr>
        <w:t>3.6%</w:t>
      </w:r>
      <w:r w:rsidRPr="00931098">
        <w:rPr>
          <w:rFonts w:ascii="Times New Roman" w:eastAsia="標楷體" w:hAnsi="Times New Roman" w:cs="Times New Roman"/>
          <w:szCs w:val="24"/>
        </w:rPr>
        <w:t>，月底回降至</w:t>
      </w:r>
      <w:r w:rsidRPr="00931098">
        <w:rPr>
          <w:rFonts w:ascii="Times New Roman" w:eastAsia="標楷體" w:hAnsi="Times New Roman" w:cs="Times New Roman"/>
          <w:szCs w:val="24"/>
        </w:rPr>
        <w:t>3.52%</w:t>
      </w:r>
      <w:r w:rsidR="009E23DC" w:rsidRPr="00931098">
        <w:rPr>
          <w:rFonts w:ascii="Times New Roman" w:eastAsia="標楷體" w:hAnsi="Times New Roman" w:cs="Times New Roman"/>
          <w:szCs w:val="24"/>
        </w:rPr>
        <w:t>。</w:t>
      </w:r>
      <w:r w:rsidRPr="00931098">
        <w:rPr>
          <w:rFonts w:ascii="Times New Roman" w:eastAsia="標楷體" w:hAnsi="Times New Roman" w:cs="Times New Roman"/>
          <w:szCs w:val="24"/>
        </w:rPr>
        <w:t>三個月期國庫券殖利率則由</w:t>
      </w:r>
      <w:r w:rsidRPr="00931098">
        <w:rPr>
          <w:rFonts w:ascii="Times New Roman" w:eastAsia="標楷體" w:hAnsi="Times New Roman" w:cs="Times New Roman"/>
          <w:szCs w:val="24"/>
        </w:rPr>
        <w:t>3.67%</w:t>
      </w:r>
      <w:r w:rsidRPr="00931098">
        <w:rPr>
          <w:rFonts w:ascii="Times New Roman" w:eastAsia="標楷體" w:hAnsi="Times New Roman" w:cs="Times New Roman"/>
          <w:szCs w:val="24"/>
        </w:rPr>
        <w:t>短暫升至</w:t>
      </w:r>
      <w:r w:rsidRPr="00931098">
        <w:rPr>
          <w:rFonts w:ascii="Times New Roman" w:eastAsia="標楷體" w:hAnsi="Times New Roman" w:cs="Times New Roman"/>
          <w:szCs w:val="24"/>
        </w:rPr>
        <w:t>3.71%</w:t>
      </w:r>
      <w:r w:rsidRPr="00931098">
        <w:rPr>
          <w:rFonts w:ascii="Times New Roman" w:eastAsia="標楷體" w:hAnsi="Times New Roman" w:cs="Times New Roman"/>
          <w:szCs w:val="24"/>
        </w:rPr>
        <w:t>，月底回到</w:t>
      </w:r>
      <w:r w:rsidRPr="00931098">
        <w:rPr>
          <w:rFonts w:ascii="Times New Roman" w:eastAsia="標楷體" w:hAnsi="Times New Roman" w:cs="Times New Roman"/>
          <w:szCs w:val="24"/>
        </w:rPr>
        <w:t>3.67%</w:t>
      </w:r>
      <w:r w:rsidR="009E23DC" w:rsidRPr="00931098">
        <w:rPr>
          <w:rFonts w:ascii="Times New Roman" w:eastAsia="標楷體" w:hAnsi="Times New Roman" w:cs="Times New Roman"/>
          <w:szCs w:val="24"/>
        </w:rPr>
        <w:t>，受到利率水準變動的影響較小</w:t>
      </w:r>
      <w:r w:rsidRPr="00931098">
        <w:rPr>
          <w:rFonts w:ascii="Times New Roman" w:eastAsia="標楷體" w:hAnsi="Times New Roman" w:cs="Times New Roman"/>
          <w:szCs w:val="24"/>
        </w:rPr>
        <w:t>。整體而言，美國利率走勢呈現「先升後緩」格局。日本方面，十年期公債殖利率由</w:t>
      </w:r>
      <w:r w:rsidRPr="00931098">
        <w:rPr>
          <w:rFonts w:ascii="Times New Roman" w:eastAsia="標楷體" w:hAnsi="Times New Roman" w:cs="Times New Roman"/>
          <w:szCs w:val="24"/>
        </w:rPr>
        <w:t>2.08%</w:t>
      </w:r>
      <w:r w:rsidRPr="00931098">
        <w:rPr>
          <w:rFonts w:ascii="Times New Roman" w:eastAsia="標楷體" w:hAnsi="Times New Roman" w:cs="Times New Roman"/>
          <w:szCs w:val="24"/>
        </w:rPr>
        <w:t>上升至</w:t>
      </w:r>
      <w:r w:rsidRPr="00931098">
        <w:rPr>
          <w:rFonts w:ascii="Times New Roman" w:eastAsia="標楷體" w:hAnsi="Times New Roman" w:cs="Times New Roman"/>
          <w:szCs w:val="24"/>
        </w:rPr>
        <w:t>2.26%</w:t>
      </w:r>
      <w:r w:rsidRPr="00931098">
        <w:rPr>
          <w:rFonts w:ascii="Times New Roman" w:eastAsia="標楷體" w:hAnsi="Times New Roman" w:cs="Times New Roman"/>
          <w:szCs w:val="24"/>
        </w:rPr>
        <w:t>，呈現明顯上行趨勢</w:t>
      </w:r>
      <w:r w:rsidR="009E23DC" w:rsidRPr="00931098">
        <w:rPr>
          <w:rFonts w:ascii="Times New Roman" w:eastAsia="標楷體" w:hAnsi="Times New Roman" w:cs="Times New Roman"/>
          <w:szCs w:val="24"/>
        </w:rPr>
        <w:t>；</w:t>
      </w:r>
      <w:r w:rsidRPr="00931098">
        <w:rPr>
          <w:rFonts w:ascii="Times New Roman" w:eastAsia="標楷體" w:hAnsi="Times New Roman" w:cs="Times New Roman"/>
          <w:szCs w:val="24"/>
        </w:rPr>
        <w:t>此一變化反映市場對貨幣政策正常化的預期升溫，也代表長期債券價格持續承壓。德國公債市場則相對穩定，十年期殖利率由</w:t>
      </w:r>
      <w:r w:rsidRPr="00931098">
        <w:rPr>
          <w:rFonts w:ascii="Times New Roman" w:eastAsia="標楷體" w:hAnsi="Times New Roman" w:cs="Times New Roman"/>
          <w:szCs w:val="24"/>
        </w:rPr>
        <w:t>2.86%</w:t>
      </w:r>
      <w:r w:rsidRPr="00931098">
        <w:rPr>
          <w:rFonts w:ascii="Times New Roman" w:eastAsia="標楷體" w:hAnsi="Times New Roman" w:cs="Times New Roman"/>
          <w:szCs w:val="24"/>
        </w:rPr>
        <w:t>微幅調整至</w:t>
      </w:r>
      <w:r w:rsidRPr="00931098">
        <w:rPr>
          <w:rFonts w:ascii="Times New Roman" w:eastAsia="標楷體" w:hAnsi="Times New Roman" w:cs="Times New Roman"/>
          <w:szCs w:val="24"/>
        </w:rPr>
        <w:t>2.85%</w:t>
      </w:r>
      <w:r w:rsidRPr="00931098">
        <w:rPr>
          <w:rFonts w:ascii="Times New Roman" w:eastAsia="標楷體" w:hAnsi="Times New Roman" w:cs="Times New Roman"/>
          <w:szCs w:val="24"/>
        </w:rPr>
        <w:t>，變動幅度極小</w:t>
      </w:r>
      <w:r w:rsidR="00434C9D" w:rsidRPr="00931098">
        <w:rPr>
          <w:rFonts w:ascii="Times New Roman" w:eastAsia="標楷體" w:hAnsi="Times New Roman" w:cs="Times New Roman"/>
          <w:szCs w:val="24"/>
        </w:rPr>
        <w:t>。</w:t>
      </w:r>
    </w:p>
    <w:p w14:paraId="680BB159" w14:textId="77777777" w:rsidR="009E23DC" w:rsidRPr="00931098" w:rsidRDefault="009E23DC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231CA182" w14:textId="77777777" w:rsidR="00E84451" w:rsidRPr="00931098" w:rsidRDefault="000F7F64" w:rsidP="00B864C1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有關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月份的基金績效評比，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297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</w:t>
      </w:r>
      <w:bookmarkStart w:id="0" w:name="_Hlk221183490"/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台股基金的平均報酬率為</w:t>
      </w:r>
      <w:bookmarkEnd w:id="0"/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10.26%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，略低於大盤表現</w:t>
      </w:r>
      <w:r w:rsidR="007E549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10.7%</w:t>
      </w:r>
      <w:r w:rsidR="007E549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，有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41.41%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擊敗大盤。若觀察三個月</w:t>
      </w:r>
      <w:r w:rsidR="00434C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台股基金的平均報酬率為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16.88%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，則有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64.6%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的基金擊敗大盤</w:t>
      </w:r>
      <w:r w:rsidR="007E549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13.57%</w:t>
      </w:r>
      <w:r w:rsidR="007E549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；</w:t>
      </w:r>
      <w:r w:rsidR="0074248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而且六個月、一年、三年、五年的平均報酬皆有明顯高於大盤。</w:t>
      </w:r>
    </w:p>
    <w:p w14:paraId="04DF9334" w14:textId="164D0099" w:rsidR="00434C9D" w:rsidRPr="00931098" w:rsidRDefault="000F7F64" w:rsidP="00B864C1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各子類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月份的表現，首先是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201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檔主動型台股基金的六個子類的平均報酬率，依序是科技類、上櫃股票型、中小型、一般股股票型，都在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11%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至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12%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之間，皆有優於大盤表現；然而，中概股、價值型則低於大盤。若觀察三個月的平均報酬率，依序是中小型、上櫃股票型、科技類、中概股、一般股票型皆明顯高於大盤表現，僅有價值型低於大盤。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2025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年全年的報酬也是價值型明顯低於其他類型。</w:t>
      </w:r>
    </w:p>
    <w:p w14:paraId="43CD02C0" w14:textId="76F1637F" w:rsidR="00434C9D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其次，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63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檔指數股票型之一般型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月份的平均報酬率為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9.12%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，低於加權股價指數的表現。進一步</w:t>
      </w:r>
      <w:r w:rsidR="00434C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觀察細分三類的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月平均報酬率，市場指數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、產業型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的平均報酬率，在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11%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至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12%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之間，高於大盤；但高股息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的平均報酬率</w:t>
      </w:r>
      <w:r w:rsidR="0077018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4.71%</w:t>
      </w:r>
      <w:r w:rsidR="0077018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則比較明顯低於大盤。就三個月的平均報酬率也大</w:t>
      </w:r>
      <w:r w:rsidR="009E23DC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約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如</w:t>
      </w:r>
      <w:r w:rsidR="009E23DC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此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，高股息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4.66%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，低於市場指數型的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15.23%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、產業型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14.92%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lastRenderedPageBreak/>
        <w:t>2025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年全年的報酬率也是高股息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明顯低於其他二個類型。</w:t>
      </w:r>
    </w:p>
    <w:p w14:paraId="7CE13FDE" w14:textId="77777777" w:rsidR="00434C9D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因此，以近</w:t>
      </w:r>
      <w:r w:rsidR="00434C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年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來的股市走勢，與大盤進行比較，主動型台股基金及一般型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的表現，受到其投資風格（類型）的影響，投資人需要進一步留意的是價值型基金</w:t>
      </w:r>
      <w:r w:rsidR="009D4FA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與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高股息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</w:p>
    <w:p w14:paraId="3BEB68C3" w14:textId="258308C8" w:rsidR="009D4FAF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再者，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16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檔指數股票型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-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指數型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非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ETF)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7.73%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，三個月的平均報酬率為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9.14%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；上述</w:t>
      </w:r>
      <w:r w:rsidR="009D4FA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績效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，相對低於大盤</w:t>
      </w:r>
      <w:r w:rsidR="009D4FA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。另外，國內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9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檔主動型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於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7.5%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，僅有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檔擊敗大盤</w:t>
      </w:r>
      <w:r w:rsidR="00CE6159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；而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三個月的報酬率平均為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13.02%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，則有六成擊敗大盤。</w:t>
      </w:r>
    </w:p>
    <w:p w14:paraId="2EF4AE0F" w14:textId="77777777" w:rsidR="009E23DC" w:rsidRPr="00931098" w:rsidRDefault="009E23DC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28E02990" w14:textId="08A5E129" w:rsidR="00E30F5E" w:rsidRPr="00931098" w:rsidRDefault="000F7F64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895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檔跨國投資股票型基金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月份平均報酬率為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4.33%</w:t>
      </w:r>
      <w:r w:rsidR="00CE6159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，三個月的報酬率平均為</w:t>
      </w:r>
      <w:r w:rsidR="00CE6159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5.06%</w:t>
      </w:r>
      <w:r w:rsidR="00CE6159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最大的子類是全球一般股票型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381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檔，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月份平均報酬率為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3.62%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，然各檔績效差異大</w:t>
      </w:r>
      <w:r w:rsidR="0074248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；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三個月平均報酬率</w:t>
      </w:r>
      <w:r w:rsidR="0074248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(3.46%)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也是相</w:t>
      </w:r>
      <w:r w:rsidR="0077018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似</w:t>
      </w:r>
      <w:r w:rsidR="00337D9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的狀況</w:t>
      </w:r>
      <w:r w:rsidR="008B3CEB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</w:t>
      </w:r>
      <w:r w:rsidR="0074248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表現相對較佳的基金為物聯網與新科技類型</w:t>
      </w:r>
      <w:r w:rsidR="0077018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全球資源型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月份平均報酬率為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10.35%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、三個月平均報酬率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15.45%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，體現原物料股或</w:t>
      </w:r>
      <w:r w:rsidR="00B864C1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貴重金屬表現</w:t>
      </w:r>
      <w:r w:rsidR="00982DAB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較佳</w:t>
      </w:r>
      <w:r w:rsidR="001B575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的績效</w:t>
      </w:r>
      <w:r w:rsidR="00D41AAA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</w:p>
    <w:p w14:paraId="3FBDB5E2" w14:textId="2B017B5C" w:rsidR="00331A23" w:rsidRPr="00931098" w:rsidRDefault="00CE6159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其次，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區域型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</w:t>
      </w:r>
      <w:r w:rsidR="00BB6AC8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與三個月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平均報酬率</w:t>
      </w:r>
      <w:r w:rsidR="00FD627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皆以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亞洲、新興市場</w:t>
      </w:r>
      <w:r w:rsidR="00FD627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表現較佳，</w:t>
      </w:r>
      <w:r w:rsidR="00BB5B5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亞洲型</w:t>
      </w:r>
      <w:r w:rsidR="00FD627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</w:t>
      </w:r>
      <w:r w:rsidR="00EC531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較佳</w:t>
      </w:r>
      <w:r w:rsidR="00FD627E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的是</w:t>
      </w:r>
      <w:r w:rsidR="00BB5B56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科技</w:t>
      </w:r>
      <w:r w:rsidR="00EC531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型，新興市場型表現較佳的是</w:t>
      </w:r>
      <w:r w:rsidR="00E84451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拉丁美洲型與</w:t>
      </w:r>
      <w:r w:rsidR="00EC531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中小型。</w:t>
      </w:r>
      <w:r w:rsidR="00BB6AC8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再者，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國家型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月平均報酬率</w:t>
      </w:r>
      <w:r w:rsidR="00D86E67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以日本表現最佳，</w:t>
      </w:r>
      <w:r w:rsidR="004C7F2A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三個月平均報酬率則以</w:t>
      </w:r>
      <w:r w:rsidR="00005BBC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日本與</w:t>
      </w:r>
      <w:r w:rsidR="004C7F2A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中國大陸</w:t>
      </w:r>
      <w:r w:rsidR="004C7F2A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A</w:t>
      </w:r>
      <w:r w:rsidR="004C7F2A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股表現較佳。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以上是以全幣別分析對象，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月台幣匯率變化小，因此不影響排名順序。</w:t>
      </w:r>
    </w:p>
    <w:p w14:paraId="10ED1B75" w14:textId="21B4E289" w:rsidR="00043C11" w:rsidRPr="00931098" w:rsidRDefault="004C7F2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另外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跨國投資之一般型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之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</w:t>
      </w:r>
      <w:r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與三個月平均報酬率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以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日本、區域型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表現較佳</w:t>
      </w:r>
      <w:r w:rsidR="00085858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而產業類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ETF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之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</w:t>
      </w:r>
      <w:r w:rsidR="00F5303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="00F5303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三個月</w:t>
      </w:r>
      <w:r w:rsidR="00F5303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平均報酬率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則為</w:t>
      </w:r>
      <w:r w:rsidR="000F7F6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7.35%</w:t>
      </w:r>
      <w:r w:rsidR="00F5303D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 xml:space="preserve"> (7.16%)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，在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月份與</w:t>
      </w:r>
      <w:bookmarkStart w:id="1" w:name="_Hlk221202034"/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三個月</w:t>
      </w:r>
      <w:bookmarkEnd w:id="1"/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報酬率皆排在前三名</w:t>
      </w:r>
      <w:r w:rsidR="00EE6C3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大致相同</w:t>
      </w:r>
      <w:r w:rsidR="00331A23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。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最後，指數股票型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-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指數型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非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lastRenderedPageBreak/>
        <w:t>ETF)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的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1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月份平均報酬率以其他單一國家</w:t>
      </w:r>
      <w:r w:rsidR="002F133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5.74%</w:t>
      </w:r>
      <w:r w:rsidR="002F133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與區域型</w:t>
      </w:r>
      <w:r w:rsidR="002F133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(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4.32%</w:t>
      </w:r>
      <w:r w:rsidR="002F133F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)</w:t>
      </w:r>
      <w:r w:rsidR="00403C44" w:rsidRPr="00931098">
        <w:rPr>
          <w:rFonts w:ascii="Times New Roman" w:eastAsia="標楷體" w:hAnsi="Times New Roman" w:cs="Times New Roman"/>
          <w:szCs w:val="24"/>
          <w:shd w:val="clear" w:color="auto" w:fill="FFFFFF"/>
        </w:rPr>
        <w:t>表現較佳，三個月平均報酬率也有相同的情形。</w:t>
      </w:r>
    </w:p>
    <w:p w14:paraId="79D9167E" w14:textId="77777777" w:rsidR="009E23DC" w:rsidRPr="00931098" w:rsidRDefault="009E23DC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</w:p>
    <w:p w14:paraId="53418CA9" w14:textId="25CE9282" w:rsidR="00D41AAA" w:rsidRPr="00931098" w:rsidRDefault="005C677C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投資等級之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海外債券型基金，以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298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檔全球型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144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檔目標到期型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與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109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檔全球新興市場為大宗。全球型與區域型之績效評比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全部幣別，以下稱全；台幣，以下稱台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，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月份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與三個月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平均報酬率依全部幣別排序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結果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相同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，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以三個月平均報酬率為例，依序為全球新興市場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 1.7</w:t>
      </w:r>
      <w:r w:rsidR="001064DE">
        <w:rPr>
          <w:rFonts w:ascii="Times New Roman" w:eastAsia="標楷體" w:hAnsi="Times New Roman" w:cs="Times New Roman" w:hint="eastAsia"/>
          <w:shd w:val="clear" w:color="auto" w:fill="FFFFFF"/>
        </w:rPr>
        <w:t>2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%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_2.</w:t>
      </w:r>
      <w:r w:rsidR="001064DE">
        <w:rPr>
          <w:rFonts w:ascii="Times New Roman" w:eastAsia="標楷體" w:hAnsi="Times New Roman" w:cs="Times New Roman" w:hint="eastAsia"/>
          <w:shd w:val="clear" w:color="auto" w:fill="FFFFFF"/>
        </w:rPr>
        <w:t>59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%)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、全球型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 0.95%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_2.3%)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、亞洲新興市場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 0.22%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_0.82%)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上述結果顯示在投資等級的海外債券，全球投資風格有著較佳的績效。</w:t>
      </w:r>
    </w:p>
    <w:p w14:paraId="5B11198E" w14:textId="1E1F89A1" w:rsidR="005C677C" w:rsidRPr="00931098" w:rsidRDefault="00D41AA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再者，短期型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0.37%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_0.37%)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，三個月平均報酬率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 xml:space="preserve"> 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1.71%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_2.73%)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，顯示短期利率較未受到利率水準上升的波及，使短期型有較穩定收入。另外，個別國家與其他類型，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月份和三個月平均報酬率都顯示</w:t>
      </w:r>
      <w:bookmarkStart w:id="2" w:name="_Hlk221184579"/>
      <w:r w:rsidRPr="00931098">
        <w:rPr>
          <w:rFonts w:ascii="Times New Roman" w:eastAsia="標楷體" w:hAnsi="Times New Roman" w:cs="Times New Roman"/>
          <w:shd w:val="clear" w:color="auto" w:fill="FFFFFF"/>
        </w:rPr>
        <w:t>目標到期型</w:t>
      </w:r>
      <w:bookmarkEnd w:id="2"/>
      <w:r w:rsidRPr="00931098">
        <w:rPr>
          <w:rFonts w:ascii="Times New Roman" w:eastAsia="標楷體" w:hAnsi="Times New Roman" w:cs="Times New Roman"/>
          <w:shd w:val="clear" w:color="auto" w:fill="FFFFFF"/>
        </w:rPr>
        <w:t>有較好的表現。</w:t>
      </w:r>
    </w:p>
    <w:p w14:paraId="7BCFC64B" w14:textId="3B6FB0E1" w:rsidR="005C677C" w:rsidRPr="00931098" w:rsidRDefault="005C677C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非投資等級債券型基金，以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342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檔全球型與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98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檔新興市場為大宗。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月份與三個月平均報酬率依全部幣別排序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結果</w:t>
      </w:r>
      <w:r w:rsidR="00F2795D" w:rsidRPr="00931098">
        <w:rPr>
          <w:rFonts w:ascii="Times New Roman" w:eastAsia="標楷體" w:hAnsi="Times New Roman" w:cs="Times New Roman"/>
          <w:shd w:val="clear" w:color="auto" w:fill="FFFFFF"/>
        </w:rPr>
        <w:t>相似，以三個月平均報酬率為例，依序為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新興市場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_ 2.92%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_ 4.23%)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、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亞洲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 xml:space="preserve"> 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1.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87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2.3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全球型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1.47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%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2.6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%)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此</w:t>
      </w:r>
      <w:r w:rsidR="00D41AAA" w:rsidRPr="00931098">
        <w:rPr>
          <w:rFonts w:ascii="Times New Roman" w:eastAsia="標楷體" w:hAnsi="Times New Roman" w:cs="Times New Roman"/>
          <w:shd w:val="clear" w:color="auto" w:fill="FFFFFF"/>
        </w:rPr>
        <w:t>顯示評比結果反應出所承擔的違約風險有關聯。</w:t>
      </w:r>
    </w:p>
    <w:p w14:paraId="40C20E4B" w14:textId="33636C53" w:rsidR="005C677C" w:rsidRPr="00931098" w:rsidRDefault="00D41AA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以全球型三個月平均報酬率而言，投資等級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0.95%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_2.3%)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、非投資等級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1.47%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2.6%)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，非投資等級</w:t>
      </w:r>
      <w:r w:rsidR="00F5303D" w:rsidRPr="00931098">
        <w:rPr>
          <w:rFonts w:ascii="Times New Roman" w:eastAsia="標楷體" w:hAnsi="Times New Roman" w:cs="Times New Roman"/>
          <w:shd w:val="clear" w:color="auto" w:fill="FFFFFF"/>
        </w:rPr>
        <w:t>已高於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投資等級。另外，</w:t>
      </w:r>
      <w:r w:rsidR="005C677C" w:rsidRPr="00931098">
        <w:rPr>
          <w:rFonts w:ascii="Times New Roman" w:eastAsia="標楷體" w:hAnsi="Times New Roman" w:cs="Times New Roman"/>
          <w:shd w:val="clear" w:color="auto" w:fill="FFFFFF"/>
        </w:rPr>
        <w:t>100</w:t>
      </w:r>
      <w:r w:rsidR="005C677C" w:rsidRPr="00931098">
        <w:rPr>
          <w:rFonts w:ascii="Times New Roman" w:eastAsia="標楷體" w:hAnsi="Times New Roman" w:cs="Times New Roman"/>
          <w:shd w:val="clear" w:color="auto" w:fill="FFFFFF"/>
        </w:rPr>
        <w:t>檔的一般債劵型</w:t>
      </w:r>
      <w:r w:rsidR="005C677C" w:rsidRPr="00931098">
        <w:rPr>
          <w:rFonts w:ascii="Times New Roman" w:eastAsia="標楷體" w:hAnsi="Times New Roman" w:cs="Times New Roman"/>
          <w:shd w:val="clear" w:color="auto" w:fill="FFFFFF"/>
        </w:rPr>
        <w:t>ETF</w:t>
      </w:r>
      <w:r w:rsidR="005C677C" w:rsidRPr="00931098">
        <w:rPr>
          <w:rFonts w:ascii="Times New Roman" w:eastAsia="標楷體" w:hAnsi="Times New Roman" w:cs="Times New Roman"/>
          <w:shd w:val="clear" w:color="auto" w:fill="FFFFFF"/>
        </w:rPr>
        <w:t>，</w:t>
      </w:r>
      <w:bookmarkStart w:id="3" w:name="_Hlk221203412"/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三個月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的</w:t>
      </w:r>
      <w:bookmarkEnd w:id="3"/>
      <w:r w:rsidRPr="00931098">
        <w:rPr>
          <w:rFonts w:ascii="Times New Roman" w:eastAsia="標楷體" w:hAnsi="Times New Roman" w:cs="Times New Roman"/>
          <w:shd w:val="clear" w:color="auto" w:fill="FFFFFF"/>
        </w:rPr>
        <w:t>平均報酬率為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0.25%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 xml:space="preserve"> (1.7%)</w:t>
      </w:r>
      <w:r w:rsidR="005C677C" w:rsidRPr="00931098">
        <w:rPr>
          <w:rFonts w:ascii="Times New Roman" w:eastAsia="標楷體" w:hAnsi="Times New Roman" w:cs="Times New Roman"/>
          <w:shd w:val="clear" w:color="auto" w:fill="FFFFFF"/>
        </w:rPr>
        <w:t>；而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海外債券主動式交易所交易型的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月份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三個月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>的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平均報酬率為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0.39%</w:t>
      </w:r>
      <w:r w:rsidR="000D49C0" w:rsidRPr="00931098">
        <w:rPr>
          <w:rFonts w:ascii="Times New Roman" w:eastAsia="標楷體" w:hAnsi="Times New Roman" w:cs="Times New Roman"/>
          <w:shd w:val="clear" w:color="auto" w:fill="FFFFFF"/>
        </w:rPr>
        <w:t xml:space="preserve"> (2.48%)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</w:p>
    <w:p w14:paraId="18185A40" w14:textId="77777777" w:rsidR="00FD0469" w:rsidRPr="00931098" w:rsidRDefault="00FD0469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</w:p>
    <w:p w14:paraId="0B93215F" w14:textId="1E3C99D8" w:rsidR="000D1E6F" w:rsidRPr="00931098" w:rsidRDefault="00D41AA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hd w:val="clear" w:color="auto" w:fill="FFFFFF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投資國內的債券股票平衡型基金，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8.2%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，就細分類，一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lastRenderedPageBreak/>
        <w:t>般股票型為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8.46%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、價值型為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6.73%</w:t>
      </w:r>
      <w:r w:rsidR="009E23DC" w:rsidRPr="00931098">
        <w:rPr>
          <w:rFonts w:ascii="Times New Roman" w:eastAsia="標楷體" w:hAnsi="Times New Roman" w:cs="Times New Roman"/>
          <w:shd w:val="clear" w:color="auto" w:fill="FFFFFF"/>
        </w:rPr>
        <w:t>；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三個月平均報酬率</w:t>
      </w:r>
      <w:r w:rsidR="000D1E6F" w:rsidRPr="00931098">
        <w:rPr>
          <w:rFonts w:ascii="Times New Roman" w:eastAsia="標楷體" w:hAnsi="Times New Roman" w:cs="Times New Roman"/>
          <w:shd w:val="clear" w:color="auto" w:fill="FFFFFF"/>
        </w:rPr>
        <w:t>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12.66</w:t>
      </w:r>
      <w:r w:rsidR="000D1E6F" w:rsidRPr="00931098">
        <w:rPr>
          <w:rFonts w:ascii="Times New Roman" w:eastAsia="標楷體" w:hAnsi="Times New Roman" w:cs="Times New Roman"/>
          <w:shd w:val="clear" w:color="auto" w:fill="FFFFFF"/>
        </w:rPr>
        <w:t>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，一般股票型為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13.1%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、價值型為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10.2%</w:t>
      </w:r>
      <w:r w:rsidR="009E23DC" w:rsidRPr="00931098">
        <w:rPr>
          <w:rFonts w:ascii="Times New Roman" w:eastAsia="標楷體" w:hAnsi="Times New Roman" w:cs="Times New Roman"/>
          <w:shd w:val="clear" w:color="auto" w:fill="FFFFFF"/>
        </w:rPr>
        <w:t>；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上述績效當然受惠於台灣股市表現佳所致。而跨國投資平衡型基金的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月份平均報酬率，表現較佳的亞洲型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6.63%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7.</w:t>
      </w:r>
      <w:r w:rsidR="00AC2B56" w:rsidRPr="00931098">
        <w:rPr>
          <w:rFonts w:ascii="Times New Roman" w:eastAsia="標楷體" w:hAnsi="Times New Roman" w:cs="Times New Roman" w:hint="eastAsia"/>
          <w:shd w:val="clear" w:color="auto" w:fill="FFFFFF"/>
        </w:rPr>
        <w:t>5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5%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、新興市場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4.99%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；三個月平均報酬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亞洲型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6.14%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 xml:space="preserve">_ 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9.4%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、新興市場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7.51%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上述結果，也是這二類股市績效所致。另外，就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84</w:t>
      </w:r>
      <w:r w:rsidR="000D1E6F" w:rsidRPr="00931098">
        <w:rPr>
          <w:rFonts w:ascii="Times New Roman" w:eastAsia="標楷體" w:hAnsi="Times New Roman" w:cs="Times New Roman"/>
          <w:shd w:val="clear" w:color="auto" w:fill="FFFFFF"/>
        </w:rPr>
        <w:t>3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檔多重資產型，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月份全幣別平均報酬率為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2.43%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，台幣計價則為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2.78%</w:t>
      </w:r>
      <w:r w:rsidR="009E23DC" w:rsidRPr="00931098">
        <w:rPr>
          <w:rFonts w:ascii="Times New Roman" w:eastAsia="標楷體" w:hAnsi="Times New Roman" w:cs="Times New Roman"/>
          <w:shd w:val="clear" w:color="auto" w:fill="FFFFFF"/>
        </w:rPr>
        <w:t>；</w:t>
      </w:r>
      <w:bookmarkStart w:id="4" w:name="_Hlk221204000"/>
      <w:r w:rsidRPr="00931098">
        <w:rPr>
          <w:rFonts w:ascii="Times New Roman" w:eastAsia="標楷體" w:hAnsi="Times New Roman" w:cs="Times New Roman"/>
          <w:shd w:val="clear" w:color="auto" w:fill="FFFFFF"/>
        </w:rPr>
        <w:t>三個月</w:t>
      </w:r>
      <w:bookmarkEnd w:id="4"/>
      <w:r w:rsidRPr="00931098">
        <w:rPr>
          <w:rFonts w:ascii="Times New Roman" w:eastAsia="標楷體" w:hAnsi="Times New Roman" w:cs="Times New Roman"/>
          <w:shd w:val="clear" w:color="auto" w:fill="FFFFFF"/>
        </w:rPr>
        <w:t>平均報酬全幣別的平均報酬率為</w:t>
      </w:r>
      <w:r w:rsidR="00C6173C" w:rsidRPr="00931098">
        <w:rPr>
          <w:rFonts w:ascii="Times New Roman" w:eastAsia="標楷體" w:hAnsi="Times New Roman" w:cs="Times New Roman" w:hint="eastAsia"/>
          <w:shd w:val="clear" w:color="auto" w:fill="FFFFFF"/>
        </w:rPr>
        <w:t>2.43%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</w:t>
      </w:r>
      <w:bookmarkStart w:id="5" w:name="_Hlk221203894"/>
      <w:r w:rsidRPr="00931098">
        <w:rPr>
          <w:rFonts w:ascii="Times New Roman" w:eastAsia="標楷體" w:hAnsi="Times New Roman" w:cs="Times New Roman"/>
          <w:shd w:val="clear" w:color="auto" w:fill="FFFFFF"/>
        </w:rPr>
        <w:t>台幣</w:t>
      </w:r>
      <w:bookmarkEnd w:id="5"/>
      <w:r w:rsidRPr="00931098">
        <w:rPr>
          <w:rFonts w:ascii="Times New Roman" w:eastAsia="標楷體" w:hAnsi="Times New Roman" w:cs="Times New Roman"/>
          <w:shd w:val="clear" w:color="auto" w:fill="FFFFFF"/>
        </w:rPr>
        <w:t>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4.11%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，受惠於台幣相對升值所致</w:t>
      </w:r>
      <w:r w:rsidR="00FD0469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</w:p>
    <w:p w14:paraId="50CE9C4D" w14:textId="119C7AD5" w:rsidR="00D41AAA" w:rsidRPr="00931098" w:rsidRDefault="00D41AA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31098">
        <w:rPr>
          <w:rFonts w:ascii="Times New Roman" w:eastAsia="標楷體" w:hAnsi="Times New Roman" w:cs="Times New Roman"/>
          <w:shd w:val="clear" w:color="auto" w:fill="FFFFFF"/>
        </w:rPr>
        <w:t>而跨國股票組合型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月份平均報酬率，一般股票型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3.08%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3.71%)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，新興市場則有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8.93%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；</w:t>
      </w:r>
      <w:bookmarkStart w:id="6" w:name="_Hlk221204159"/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三個月平均報酬率，一般股票型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_ 4.89%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_ 6.56%)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，新興市場則有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12%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  <w:bookmarkEnd w:id="6"/>
      <w:r w:rsidRPr="00931098">
        <w:rPr>
          <w:rFonts w:ascii="Times New Roman" w:eastAsia="標楷體" w:hAnsi="Times New Roman" w:cs="Times New Roman"/>
          <w:shd w:val="clear" w:color="auto" w:fill="FFFFFF"/>
        </w:rPr>
        <w:t>國外債券組合型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月份平均報酬率，投資等級為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0.86%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，非投資等級為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0.72%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，複合式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0.95%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</w:t>
      </w:r>
      <w:r w:rsidR="00626EF4" w:rsidRPr="00931098">
        <w:rPr>
          <w:rFonts w:ascii="Times New Roman" w:eastAsia="標楷體" w:hAnsi="Times New Roman" w:cs="Times New Roman" w:hint="eastAsia"/>
          <w:shd w:val="clear" w:color="auto" w:fill="FFFFFF"/>
        </w:rPr>
        <w:t>0.85%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="004F3901" w:rsidRPr="00931098">
        <w:rPr>
          <w:rFonts w:ascii="Times New Roman" w:eastAsia="標楷體" w:hAnsi="Times New Roman" w:cs="Times New Roman"/>
          <w:shd w:val="clear" w:color="auto" w:fill="FFFFFF"/>
        </w:rPr>
        <w:t>；三個月平均報酬率，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投資等級為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1.88%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，非投資等級為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2.96%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，複合式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_ 2.54%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_</w:t>
      </w:r>
      <w:r w:rsidR="00626EF4" w:rsidRPr="00931098">
        <w:rPr>
          <w:rFonts w:ascii="Times New Roman" w:eastAsia="標楷體" w:hAnsi="Times New Roman" w:cs="Times New Roman" w:hint="eastAsia"/>
          <w:shd w:val="clear" w:color="auto" w:fill="FFFFFF"/>
        </w:rPr>
        <w:t>3.08%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)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。另外，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月份跨國組合之平衡組合型報酬率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2.16%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_ 2.74%)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，目標日期型為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3.7%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；三個月平均報酬率分別為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(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全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_ 3.31%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，台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_ 5.16%)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、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5.2%</w:t>
      </w:r>
      <w:r w:rsidR="00213796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以上的基金若有涉及股市投資，則比過去有較好表現。最後，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74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檔不動產證券化型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1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月份平均報酬率，全部幣別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2.37%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，台幣則為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2.67%</w:t>
      </w:r>
      <w:r w:rsidR="00FD0469" w:rsidRPr="00931098">
        <w:rPr>
          <w:rFonts w:ascii="Times New Roman" w:eastAsia="標楷體" w:hAnsi="Times New Roman" w:cs="Times New Roman"/>
          <w:shd w:val="clear" w:color="auto" w:fill="FFFFFF"/>
        </w:rPr>
        <w:t>；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三個月的平均報酬率，全幣別的平均報酬率為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3.59%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，台幣則為</w:t>
      </w:r>
      <w:r w:rsidRPr="00931098">
        <w:rPr>
          <w:rFonts w:ascii="Times New Roman" w:eastAsia="標楷體" w:hAnsi="Times New Roman" w:cs="Times New Roman"/>
          <w:shd w:val="clear" w:color="auto" w:fill="FFFFFF"/>
        </w:rPr>
        <w:t>5.27%</w:t>
      </w:r>
      <w:r w:rsidR="00FD0469" w:rsidRPr="00931098">
        <w:rPr>
          <w:rFonts w:ascii="Times New Roman" w:eastAsia="標楷體" w:hAnsi="Times New Roman" w:cs="Times New Roman"/>
          <w:shd w:val="clear" w:color="auto" w:fill="FFFFFF"/>
        </w:rPr>
        <w:t>。</w:t>
      </w:r>
      <w:r w:rsidR="000D1E6F" w:rsidRPr="00931098">
        <w:rPr>
          <w:rFonts w:ascii="Times New Roman" w:eastAsia="標楷體" w:hAnsi="Times New Roman" w:cs="Times New Roman"/>
          <w:szCs w:val="24"/>
        </w:rPr>
        <w:t xml:space="preserve"> </w:t>
      </w:r>
    </w:p>
    <w:p w14:paraId="0A828777" w14:textId="77777777" w:rsidR="00D41AAA" w:rsidRPr="00931098" w:rsidRDefault="00D41AAA" w:rsidP="00434C9D">
      <w:pPr>
        <w:snapToGrid w:val="0"/>
        <w:spacing w:line="480" w:lineRule="auto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sectPr w:rsidR="00D41AAA" w:rsidRPr="00931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9996" w14:textId="77777777" w:rsidR="00B711C4" w:rsidRDefault="00B711C4" w:rsidP="00B864C1">
      <w:r>
        <w:separator/>
      </w:r>
    </w:p>
  </w:endnote>
  <w:endnote w:type="continuationSeparator" w:id="0">
    <w:p w14:paraId="3CE14FAC" w14:textId="77777777" w:rsidR="00B711C4" w:rsidRDefault="00B711C4" w:rsidP="00B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A85F" w14:textId="77777777" w:rsidR="00B711C4" w:rsidRDefault="00B711C4" w:rsidP="00B864C1">
      <w:r>
        <w:separator/>
      </w:r>
    </w:p>
  </w:footnote>
  <w:footnote w:type="continuationSeparator" w:id="0">
    <w:p w14:paraId="05F60F03" w14:textId="77777777" w:rsidR="00B711C4" w:rsidRDefault="00B711C4" w:rsidP="00B8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64"/>
    <w:rsid w:val="00000FE5"/>
    <w:rsid w:val="00005BBC"/>
    <w:rsid w:val="00043C11"/>
    <w:rsid w:val="00085858"/>
    <w:rsid w:val="000D1E6F"/>
    <w:rsid w:val="000D49C0"/>
    <w:rsid w:val="000F7F64"/>
    <w:rsid w:val="001064DE"/>
    <w:rsid w:val="001A55FA"/>
    <w:rsid w:val="001B5753"/>
    <w:rsid w:val="001D09F1"/>
    <w:rsid w:val="00213796"/>
    <w:rsid w:val="00237829"/>
    <w:rsid w:val="002C7083"/>
    <w:rsid w:val="002D1B34"/>
    <w:rsid w:val="002E1894"/>
    <w:rsid w:val="002F133F"/>
    <w:rsid w:val="002F687B"/>
    <w:rsid w:val="00316BB9"/>
    <w:rsid w:val="00331A23"/>
    <w:rsid w:val="00337D9D"/>
    <w:rsid w:val="00395A99"/>
    <w:rsid w:val="00403C44"/>
    <w:rsid w:val="00434C9D"/>
    <w:rsid w:val="004C7F2A"/>
    <w:rsid w:val="004F3901"/>
    <w:rsid w:val="005512A2"/>
    <w:rsid w:val="00553F5D"/>
    <w:rsid w:val="00561044"/>
    <w:rsid w:val="00595F6E"/>
    <w:rsid w:val="005C677C"/>
    <w:rsid w:val="00626EF4"/>
    <w:rsid w:val="00630CF0"/>
    <w:rsid w:val="00634976"/>
    <w:rsid w:val="007223BA"/>
    <w:rsid w:val="0074248E"/>
    <w:rsid w:val="00770184"/>
    <w:rsid w:val="007E5496"/>
    <w:rsid w:val="008812B0"/>
    <w:rsid w:val="008B3CEB"/>
    <w:rsid w:val="008F6F48"/>
    <w:rsid w:val="00931098"/>
    <w:rsid w:val="00982DAB"/>
    <w:rsid w:val="009D4FAF"/>
    <w:rsid w:val="009E23DC"/>
    <w:rsid w:val="00AA03CE"/>
    <w:rsid w:val="00AC2B56"/>
    <w:rsid w:val="00B2570A"/>
    <w:rsid w:val="00B711C4"/>
    <w:rsid w:val="00B864C1"/>
    <w:rsid w:val="00BB5B56"/>
    <w:rsid w:val="00BB6AC8"/>
    <w:rsid w:val="00BE1B5D"/>
    <w:rsid w:val="00BE36F6"/>
    <w:rsid w:val="00BF456B"/>
    <w:rsid w:val="00C6173C"/>
    <w:rsid w:val="00CB2A17"/>
    <w:rsid w:val="00CE6159"/>
    <w:rsid w:val="00D41AAA"/>
    <w:rsid w:val="00D86E67"/>
    <w:rsid w:val="00DB7C56"/>
    <w:rsid w:val="00DC20D2"/>
    <w:rsid w:val="00E30F5E"/>
    <w:rsid w:val="00E84451"/>
    <w:rsid w:val="00EC241B"/>
    <w:rsid w:val="00EC531F"/>
    <w:rsid w:val="00EE6C3F"/>
    <w:rsid w:val="00EF1D24"/>
    <w:rsid w:val="00F2795D"/>
    <w:rsid w:val="00F5303D"/>
    <w:rsid w:val="00FD0469"/>
    <w:rsid w:val="00FD627E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3FC1A"/>
  <w15:chartTrackingRefBased/>
  <w15:docId w15:val="{5E08FEDD-761A-4A2F-8F7B-2E34A440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64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6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64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28B3-DA3A-4C2E-9E86-725A8AF0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2026-02-06T09:37:00Z</dcterms:created>
  <dcterms:modified xsi:type="dcterms:W3CDTF">2026-02-09T03:54:00Z</dcterms:modified>
</cp:coreProperties>
</file>