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B8E9A" w14:textId="20F14522" w:rsidR="00E94847" w:rsidRPr="00C11CAD" w:rsidRDefault="00E94847" w:rsidP="0082257D">
      <w:pPr>
        <w:spacing w:line="360" w:lineRule="auto"/>
        <w:jc w:val="center"/>
        <w:rPr>
          <w:rFonts w:ascii="Times New Roman" w:eastAsia="標楷體" w:hAnsi="Times New Roman" w:cs="Times New Roman"/>
          <w:b/>
          <w:bCs/>
          <w:sz w:val="40"/>
          <w:szCs w:val="40"/>
        </w:rPr>
      </w:pPr>
      <w:r w:rsidRPr="00C11CAD">
        <w:rPr>
          <w:rFonts w:ascii="Times New Roman" w:eastAsia="標楷體" w:hAnsi="Times New Roman" w:cs="Times New Roman"/>
          <w:b/>
          <w:bCs/>
          <w:sz w:val="40"/>
          <w:szCs w:val="40"/>
        </w:rPr>
        <w:t>AI</w:t>
      </w:r>
      <w:r w:rsidRPr="00C11CAD">
        <w:rPr>
          <w:rFonts w:ascii="Times New Roman" w:eastAsia="標楷體" w:hAnsi="Times New Roman" w:cs="Times New Roman"/>
          <w:b/>
          <w:bCs/>
          <w:sz w:val="40"/>
          <w:szCs w:val="40"/>
        </w:rPr>
        <w:t>科技股修正與市場去槓桿過程</w:t>
      </w:r>
    </w:p>
    <w:p w14:paraId="02CD951C" w14:textId="77777777" w:rsidR="005368E4" w:rsidRPr="00C11CAD" w:rsidRDefault="005368E4" w:rsidP="005368E4">
      <w:pPr>
        <w:spacing w:line="360" w:lineRule="auto"/>
        <w:jc w:val="center"/>
        <w:rPr>
          <w:rFonts w:ascii="Times New Roman" w:eastAsia="標楷體" w:hAnsi="Times New Roman" w:cs="Times New Roman"/>
        </w:rPr>
      </w:pPr>
      <w:r w:rsidRPr="00C11CAD">
        <w:rPr>
          <w:rFonts w:ascii="Times New Roman" w:eastAsia="標楷體" w:hAnsi="Times New Roman" w:cs="Times New Roman" w:hint="eastAsia"/>
        </w:rPr>
        <w:t>葉銀華</w:t>
      </w:r>
      <w:r w:rsidRPr="00C11CAD">
        <w:rPr>
          <w:rFonts w:ascii="Times New Roman" w:eastAsia="標楷體" w:hAnsi="Times New Roman" w:cs="Times New Roman" w:hint="eastAsia"/>
        </w:rPr>
        <w:t xml:space="preserve"> </w:t>
      </w:r>
      <w:r w:rsidRPr="00C11CAD">
        <w:rPr>
          <w:rFonts w:ascii="Times New Roman" w:eastAsia="標楷體" w:hAnsi="Times New Roman" w:cs="Times New Roman" w:hint="eastAsia"/>
        </w:rPr>
        <w:t>陽明交通大學資管與財金系教授</w:t>
      </w:r>
    </w:p>
    <w:p w14:paraId="62F5EDC2" w14:textId="23DDF2CB" w:rsidR="00E94847" w:rsidRPr="00C11CAD" w:rsidRDefault="005368E4" w:rsidP="005368E4">
      <w:pPr>
        <w:spacing w:line="360" w:lineRule="auto"/>
        <w:jc w:val="center"/>
        <w:rPr>
          <w:rFonts w:ascii="Times New Roman" w:eastAsia="標楷體" w:hAnsi="Times New Roman" w:cs="Times New Roman"/>
        </w:rPr>
      </w:pPr>
      <w:r w:rsidRPr="00C11CAD">
        <w:rPr>
          <w:rFonts w:ascii="Times New Roman" w:eastAsia="標楷體" w:hAnsi="Times New Roman" w:cs="Times New Roman" w:hint="eastAsia"/>
        </w:rPr>
        <w:t>邱顯比</w:t>
      </w:r>
      <w:r w:rsidRPr="00C11CAD">
        <w:rPr>
          <w:rFonts w:ascii="Times New Roman" w:eastAsia="標楷體" w:hAnsi="Times New Roman" w:cs="Times New Roman" w:hint="eastAsia"/>
        </w:rPr>
        <w:t xml:space="preserve"> </w:t>
      </w:r>
      <w:r w:rsidRPr="00C11CAD">
        <w:rPr>
          <w:rFonts w:ascii="Times New Roman" w:eastAsia="標楷體" w:hAnsi="Times New Roman" w:cs="Times New Roman" w:hint="eastAsia"/>
        </w:rPr>
        <w:t>台灣大學財務金融學系</w:t>
      </w:r>
      <w:r w:rsidRPr="00C11CAD">
        <w:rPr>
          <w:rFonts w:ascii="Times New Roman" w:eastAsia="標楷體" w:hAnsi="Times New Roman" w:cs="Times New Roman" w:hint="eastAsia"/>
        </w:rPr>
        <w:t>(</w:t>
      </w:r>
      <w:r w:rsidRPr="00C11CAD">
        <w:rPr>
          <w:rFonts w:ascii="Times New Roman" w:eastAsia="標楷體" w:hAnsi="Times New Roman" w:cs="Times New Roman" w:hint="eastAsia"/>
        </w:rPr>
        <w:t>所</w:t>
      </w:r>
      <w:r w:rsidRPr="00C11CAD">
        <w:rPr>
          <w:rFonts w:ascii="Times New Roman" w:eastAsia="標楷體" w:hAnsi="Times New Roman" w:cs="Times New Roman" w:hint="eastAsia"/>
        </w:rPr>
        <w:t>)</w:t>
      </w:r>
      <w:r w:rsidRPr="00C11CAD">
        <w:rPr>
          <w:rFonts w:ascii="Times New Roman" w:eastAsia="標楷體" w:hAnsi="Times New Roman" w:cs="Times New Roman" w:hint="eastAsia"/>
        </w:rPr>
        <w:t>名譽教授</w:t>
      </w:r>
    </w:p>
    <w:p w14:paraId="12BF9E82" w14:textId="77777777" w:rsidR="005368E4" w:rsidRPr="00C11CAD" w:rsidRDefault="005368E4" w:rsidP="0082257D">
      <w:pPr>
        <w:spacing w:line="360" w:lineRule="auto"/>
        <w:ind w:firstLineChars="200" w:firstLine="480"/>
        <w:jc w:val="both"/>
        <w:rPr>
          <w:rFonts w:ascii="Times New Roman" w:eastAsia="標楷體" w:hAnsi="Times New Roman" w:cs="Times New Roman"/>
        </w:rPr>
      </w:pPr>
    </w:p>
    <w:p w14:paraId="6F574D53" w14:textId="17C8F083" w:rsidR="001E738E" w:rsidRPr="00C11CAD" w:rsidRDefault="00E94847"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2026</w:t>
      </w:r>
      <w:r w:rsidRPr="00C11CAD">
        <w:rPr>
          <w:rFonts w:ascii="Times New Roman" w:eastAsia="標楷體" w:hAnsi="Times New Roman" w:cs="Times New Roman"/>
        </w:rPr>
        <w:t>年</w:t>
      </w:r>
      <w:r w:rsidRPr="00C11CAD">
        <w:rPr>
          <w:rFonts w:ascii="Times New Roman" w:eastAsia="標楷體" w:hAnsi="Times New Roman" w:cs="Times New Roman"/>
        </w:rPr>
        <w:t>7</w:t>
      </w:r>
      <w:r w:rsidRPr="00C11CAD">
        <w:rPr>
          <w:rFonts w:ascii="Times New Roman" w:eastAsia="標楷體" w:hAnsi="Times New Roman" w:cs="Times New Roman"/>
        </w:rPr>
        <w:t>月全球金融市場出現明顯波動。全球股市在「</w:t>
      </w:r>
      <w:r w:rsidRPr="00C11CAD">
        <w:rPr>
          <w:rFonts w:ascii="Times New Roman" w:eastAsia="標楷體" w:hAnsi="Times New Roman" w:cs="Times New Roman"/>
        </w:rPr>
        <w:t>AI</w:t>
      </w:r>
      <w:r w:rsidRPr="00C11CAD">
        <w:rPr>
          <w:rFonts w:ascii="Times New Roman" w:eastAsia="標楷體" w:hAnsi="Times New Roman" w:cs="Times New Roman"/>
        </w:rPr>
        <w:t>科技股</w:t>
      </w:r>
      <w:proofErr w:type="gramStart"/>
      <w:r w:rsidRPr="00C11CAD">
        <w:rPr>
          <w:rFonts w:ascii="Times New Roman" w:eastAsia="標楷體" w:hAnsi="Times New Roman" w:cs="Times New Roman"/>
        </w:rPr>
        <w:t>估值</w:t>
      </w:r>
      <w:r w:rsidR="005368E4" w:rsidRPr="00C11CAD">
        <w:rPr>
          <w:rFonts w:ascii="Times New Roman" w:eastAsia="標楷體" w:hAnsi="Times New Roman" w:cs="Times New Roman" w:hint="eastAsia"/>
        </w:rPr>
        <w:t>下</w:t>
      </w:r>
      <w:r w:rsidRPr="00C11CAD">
        <w:rPr>
          <w:rFonts w:ascii="Times New Roman" w:eastAsia="標楷體" w:hAnsi="Times New Roman" w:cs="Times New Roman"/>
        </w:rPr>
        <w:t>修</w:t>
      </w:r>
      <w:proofErr w:type="gramEnd"/>
      <w:r w:rsidRPr="00C11CAD">
        <w:rPr>
          <w:rFonts w:ascii="Times New Roman" w:eastAsia="標楷體" w:hAnsi="Times New Roman" w:cs="Times New Roman"/>
        </w:rPr>
        <w:t>」與「槓桿</w:t>
      </w:r>
      <w:r w:rsidR="0082257D" w:rsidRPr="00C11CAD">
        <w:rPr>
          <w:rFonts w:ascii="Times New Roman" w:eastAsia="標楷體" w:hAnsi="Times New Roman" w:cs="Times New Roman"/>
        </w:rPr>
        <w:t>部位</w:t>
      </w:r>
      <w:r w:rsidR="009875D1" w:rsidRPr="00C11CAD">
        <w:rPr>
          <w:rFonts w:ascii="Times New Roman" w:eastAsia="標楷體" w:hAnsi="Times New Roman" w:cs="Times New Roman"/>
        </w:rPr>
        <w:t>結</w:t>
      </w:r>
      <w:r w:rsidRPr="00C11CAD">
        <w:rPr>
          <w:rFonts w:ascii="Times New Roman" w:eastAsia="標楷體" w:hAnsi="Times New Roman" w:cs="Times New Roman"/>
        </w:rPr>
        <w:t>算」的雙重影響下，呈現先跌後急漲的走勢。這場波動的幅度因各國市場的產業結構而有所不同。科技權值股占比高、散戶槓桿操作盛行的韓國股市</w:t>
      </w:r>
      <w:r w:rsidR="00DA434B" w:rsidRPr="00C11CAD">
        <w:rPr>
          <w:rFonts w:ascii="Times New Roman" w:eastAsia="標楷體" w:hAnsi="Times New Roman" w:cs="Times New Roman"/>
        </w:rPr>
        <w:t>(</w:t>
      </w:r>
      <w:r w:rsidR="00DA434B" w:rsidRPr="00C11CAD">
        <w:rPr>
          <w:rFonts w:ascii="Times New Roman" w:eastAsia="標楷體" w:hAnsi="Times New Roman" w:cs="Times New Roman"/>
        </w:rPr>
        <w:t>韓國指數</w:t>
      </w:r>
      <w:r w:rsidR="00DA434B" w:rsidRPr="00C11CAD">
        <w:rPr>
          <w:rFonts w:ascii="Times New Roman" w:eastAsia="標楷體" w:hAnsi="Times New Roman" w:cs="Times New Roman"/>
        </w:rPr>
        <w:t>)</w:t>
      </w:r>
      <w:r w:rsidRPr="00C11CAD">
        <w:rPr>
          <w:rFonts w:ascii="Times New Roman" w:eastAsia="標楷體" w:hAnsi="Times New Roman" w:cs="Times New Roman"/>
        </w:rPr>
        <w:t>受創最深，月中最大跌幅達</w:t>
      </w:r>
      <w:r w:rsidR="00D05DBE" w:rsidRPr="00C11CAD">
        <w:rPr>
          <w:rFonts w:ascii="Times New Roman" w:eastAsia="標楷體" w:hAnsi="Times New Roman" w:cs="Times New Roman"/>
        </w:rPr>
        <w:t>34.01</w:t>
      </w:r>
      <w:r w:rsidRPr="00C11CAD">
        <w:rPr>
          <w:rFonts w:ascii="Times New Roman" w:eastAsia="標楷體" w:hAnsi="Times New Roman" w:cs="Times New Roman"/>
        </w:rPr>
        <w:t>%</w:t>
      </w:r>
      <w:r w:rsidRPr="00C11CAD">
        <w:rPr>
          <w:rFonts w:ascii="Times New Roman" w:eastAsia="標楷體" w:hAnsi="Times New Roman" w:cs="Times New Roman"/>
        </w:rPr>
        <w:t>，全月收跌</w:t>
      </w:r>
      <w:r w:rsidRPr="00C11CAD">
        <w:rPr>
          <w:rFonts w:ascii="Times New Roman" w:eastAsia="標楷體" w:hAnsi="Times New Roman" w:cs="Times New Roman"/>
        </w:rPr>
        <w:t>22.</w:t>
      </w:r>
      <w:r w:rsidR="007E7660" w:rsidRPr="00C11CAD">
        <w:rPr>
          <w:rFonts w:ascii="Times New Roman" w:eastAsia="標楷體" w:hAnsi="Times New Roman" w:cs="Times New Roman"/>
        </w:rPr>
        <w:t>19</w:t>
      </w:r>
      <w:r w:rsidRPr="00C11CAD">
        <w:rPr>
          <w:rFonts w:ascii="Times New Roman" w:eastAsia="標楷體" w:hAnsi="Times New Roman" w:cs="Times New Roman"/>
        </w:rPr>
        <w:t>%</w:t>
      </w:r>
      <w:r w:rsidR="00EF5479" w:rsidRPr="00C11CAD">
        <w:rPr>
          <w:rFonts w:ascii="Times New Roman" w:eastAsia="標楷體" w:hAnsi="Times New Roman" w:cs="Times New Roman"/>
        </w:rPr>
        <w:t>。</w:t>
      </w:r>
      <w:r w:rsidR="00942E06" w:rsidRPr="00C11CAD">
        <w:rPr>
          <w:rFonts w:ascii="Times New Roman" w:eastAsia="標楷體" w:hAnsi="Times New Roman" w:cs="Times New Roman"/>
        </w:rPr>
        <w:t>受市場擔憂日圓套利交易去槓桿風險影響，日本股市</w:t>
      </w:r>
      <w:r w:rsidR="00B44F9B" w:rsidRPr="00C11CAD">
        <w:rPr>
          <w:rFonts w:ascii="Times New Roman" w:eastAsia="標楷體" w:hAnsi="Times New Roman" w:cs="Times New Roman"/>
        </w:rPr>
        <w:t>(</w:t>
      </w:r>
      <w:r w:rsidR="00942E06" w:rsidRPr="00C11CAD">
        <w:rPr>
          <w:rFonts w:ascii="Times New Roman" w:eastAsia="標楷體" w:hAnsi="Times New Roman" w:cs="Times New Roman"/>
        </w:rPr>
        <w:t>日經</w:t>
      </w:r>
      <w:r w:rsidR="00942E06" w:rsidRPr="00C11CAD">
        <w:rPr>
          <w:rFonts w:ascii="Times New Roman" w:eastAsia="標楷體" w:hAnsi="Times New Roman" w:cs="Times New Roman"/>
        </w:rPr>
        <w:t>225</w:t>
      </w:r>
      <w:r w:rsidR="00942E06" w:rsidRPr="00C11CAD">
        <w:rPr>
          <w:rFonts w:ascii="Times New Roman" w:eastAsia="標楷體" w:hAnsi="Times New Roman" w:cs="Times New Roman"/>
        </w:rPr>
        <w:t>指數</w:t>
      </w:r>
      <w:r w:rsidR="00B44F9B" w:rsidRPr="00C11CAD">
        <w:rPr>
          <w:rFonts w:ascii="Times New Roman" w:eastAsia="標楷體" w:hAnsi="Times New Roman" w:cs="Times New Roman"/>
        </w:rPr>
        <w:t>)</w:t>
      </w:r>
      <w:r w:rsidRPr="00C11CAD">
        <w:rPr>
          <w:rFonts w:ascii="Times New Roman" w:eastAsia="標楷體" w:hAnsi="Times New Roman" w:cs="Times New Roman"/>
        </w:rPr>
        <w:t>月中最大跌幅</w:t>
      </w:r>
      <w:r w:rsidR="00D05DBE" w:rsidRPr="00C11CAD">
        <w:rPr>
          <w:rFonts w:ascii="Times New Roman" w:eastAsia="標楷體" w:hAnsi="Times New Roman" w:cs="Times New Roman"/>
        </w:rPr>
        <w:t>11.9</w:t>
      </w:r>
      <w:r w:rsidRPr="00C11CAD">
        <w:rPr>
          <w:rFonts w:ascii="Times New Roman" w:eastAsia="標楷體" w:hAnsi="Times New Roman" w:cs="Times New Roman"/>
        </w:rPr>
        <w:t>%</w:t>
      </w:r>
      <w:r w:rsidRPr="00C11CAD">
        <w:rPr>
          <w:rFonts w:ascii="Times New Roman" w:eastAsia="標楷體" w:hAnsi="Times New Roman" w:cs="Times New Roman"/>
        </w:rPr>
        <w:t>，全月收跌</w:t>
      </w:r>
      <w:r w:rsidRPr="00C11CAD">
        <w:rPr>
          <w:rFonts w:ascii="Times New Roman" w:eastAsia="標楷體" w:hAnsi="Times New Roman" w:cs="Times New Roman"/>
        </w:rPr>
        <w:t>8.14%</w:t>
      </w:r>
      <w:r w:rsidR="00733816" w:rsidRPr="00C11CAD">
        <w:rPr>
          <w:rFonts w:ascii="Times New Roman" w:eastAsia="標楷體" w:hAnsi="Times New Roman" w:cs="Times New Roman"/>
        </w:rPr>
        <w:t>。</w:t>
      </w:r>
      <w:r w:rsidR="001E738E" w:rsidRPr="00C11CAD">
        <w:rPr>
          <w:rFonts w:ascii="Times New Roman" w:eastAsia="標楷體" w:hAnsi="Times New Roman" w:cs="Times New Roman"/>
        </w:rPr>
        <w:t>儘管「四</w:t>
      </w:r>
      <w:proofErr w:type="gramStart"/>
      <w:r w:rsidR="001E738E" w:rsidRPr="00C11CAD">
        <w:rPr>
          <w:rFonts w:ascii="Times New Roman" w:eastAsia="標楷體" w:hAnsi="Times New Roman" w:cs="Times New Roman"/>
        </w:rPr>
        <w:t>貸同堂</w:t>
      </w:r>
      <w:proofErr w:type="gramEnd"/>
      <w:r w:rsidR="001E738E" w:rsidRPr="00C11CAD">
        <w:rPr>
          <w:rFonts w:ascii="Times New Roman" w:eastAsia="標楷體" w:hAnsi="Times New Roman" w:cs="Times New Roman"/>
        </w:rPr>
        <w:t>」風險引起主管機關關注，台灣股市</w:t>
      </w:r>
      <w:r w:rsidR="00B44F9B" w:rsidRPr="00C11CAD">
        <w:rPr>
          <w:rFonts w:ascii="Times New Roman" w:eastAsia="標楷體" w:hAnsi="Times New Roman" w:cs="Times New Roman"/>
        </w:rPr>
        <w:t>(</w:t>
      </w:r>
      <w:r w:rsidR="001E738E" w:rsidRPr="00C11CAD">
        <w:rPr>
          <w:rFonts w:ascii="Times New Roman" w:eastAsia="標楷體" w:hAnsi="Times New Roman" w:cs="Times New Roman"/>
        </w:rPr>
        <w:t>台灣加權指數</w:t>
      </w:r>
      <w:r w:rsidR="00B44F9B" w:rsidRPr="00C11CAD">
        <w:rPr>
          <w:rFonts w:ascii="Times New Roman" w:eastAsia="標楷體" w:hAnsi="Times New Roman" w:cs="Times New Roman"/>
        </w:rPr>
        <w:t>)</w:t>
      </w:r>
      <w:r w:rsidR="001E738E" w:rsidRPr="00C11CAD">
        <w:rPr>
          <w:rFonts w:ascii="Times New Roman" w:eastAsia="標楷體" w:hAnsi="Times New Roman" w:cs="Times New Roman"/>
        </w:rPr>
        <w:t>在半導體產業基本面支撐下，</w:t>
      </w:r>
      <w:r w:rsidR="00B44F9B" w:rsidRPr="00C11CAD">
        <w:rPr>
          <w:rFonts w:ascii="Times New Roman" w:eastAsia="標楷體" w:hAnsi="Times New Roman" w:cs="Times New Roman"/>
        </w:rPr>
        <w:t>雖然</w:t>
      </w:r>
      <w:r w:rsidR="001E738E" w:rsidRPr="00C11CAD">
        <w:rPr>
          <w:rFonts w:ascii="Times New Roman" w:eastAsia="標楷體" w:hAnsi="Times New Roman" w:cs="Times New Roman"/>
        </w:rPr>
        <w:t>7</w:t>
      </w:r>
      <w:r w:rsidR="001E738E" w:rsidRPr="00C11CAD">
        <w:rPr>
          <w:rFonts w:ascii="Times New Roman" w:eastAsia="標楷體" w:hAnsi="Times New Roman" w:cs="Times New Roman"/>
        </w:rPr>
        <w:t>月中一度下跌</w:t>
      </w:r>
      <w:r w:rsidR="001E738E" w:rsidRPr="00C11CAD">
        <w:rPr>
          <w:rFonts w:ascii="Times New Roman" w:eastAsia="標楷體" w:hAnsi="Times New Roman" w:cs="Times New Roman"/>
        </w:rPr>
        <w:t>13.43%</w:t>
      </w:r>
      <w:r w:rsidR="001E738E" w:rsidRPr="00C11CAD">
        <w:rPr>
          <w:rFonts w:ascii="Times New Roman" w:eastAsia="標楷體" w:hAnsi="Times New Roman" w:cs="Times New Roman"/>
        </w:rPr>
        <w:t>，全月跌幅收斂至</w:t>
      </w:r>
      <w:r w:rsidR="001E738E" w:rsidRPr="00C11CAD">
        <w:rPr>
          <w:rFonts w:ascii="Times New Roman" w:eastAsia="標楷體" w:hAnsi="Times New Roman" w:cs="Times New Roman"/>
        </w:rPr>
        <w:t>6.52%</w:t>
      </w:r>
      <w:r w:rsidR="001E738E" w:rsidRPr="00C11CAD">
        <w:rPr>
          <w:rFonts w:ascii="Times New Roman" w:eastAsia="標楷體" w:hAnsi="Times New Roman" w:cs="Times New Roman"/>
        </w:rPr>
        <w:t>。</w:t>
      </w:r>
      <w:r w:rsidR="00733816" w:rsidRPr="00C11CAD">
        <w:rPr>
          <w:rFonts w:ascii="Times New Roman" w:eastAsia="標楷體" w:hAnsi="Times New Roman" w:cs="Times New Roman"/>
        </w:rPr>
        <w:t>而上海綜合指數也是呈現跌深反彈，</w:t>
      </w:r>
      <w:r w:rsidR="009875D1" w:rsidRPr="00C11CAD">
        <w:rPr>
          <w:rFonts w:ascii="Times New Roman" w:eastAsia="標楷體" w:hAnsi="Times New Roman" w:cs="Times New Roman"/>
        </w:rPr>
        <w:t>7</w:t>
      </w:r>
      <w:r w:rsidR="00733816" w:rsidRPr="00C11CAD">
        <w:rPr>
          <w:rFonts w:ascii="Times New Roman" w:eastAsia="標楷體" w:hAnsi="Times New Roman" w:cs="Times New Roman"/>
        </w:rPr>
        <w:t>月下跌</w:t>
      </w:r>
      <w:r w:rsidR="00733816" w:rsidRPr="00C11CAD">
        <w:rPr>
          <w:rFonts w:ascii="Times New Roman" w:eastAsia="標楷體" w:hAnsi="Times New Roman" w:cs="Times New Roman"/>
        </w:rPr>
        <w:t>6.4%</w:t>
      </w:r>
      <w:r w:rsidR="00733816" w:rsidRPr="00C11CAD">
        <w:rPr>
          <w:rFonts w:ascii="Times New Roman" w:eastAsia="標楷體" w:hAnsi="Times New Roman" w:cs="Times New Roman"/>
        </w:rPr>
        <w:t>。</w:t>
      </w:r>
      <w:r w:rsidR="001E738E" w:rsidRPr="00C11CAD">
        <w:rPr>
          <w:rFonts w:ascii="Times New Roman" w:eastAsia="標楷體" w:hAnsi="Times New Roman" w:cs="Times New Roman"/>
        </w:rPr>
        <w:t>而作為本波修正震央之</w:t>
      </w:r>
      <w:proofErr w:type="gramStart"/>
      <w:r w:rsidR="001E738E" w:rsidRPr="00C11CAD">
        <w:rPr>
          <w:rFonts w:ascii="Times New Roman" w:eastAsia="標楷體" w:hAnsi="Times New Roman" w:cs="Times New Roman"/>
        </w:rPr>
        <w:t>一</w:t>
      </w:r>
      <w:proofErr w:type="gramEnd"/>
      <w:r w:rsidR="001E738E" w:rsidRPr="00C11CAD">
        <w:rPr>
          <w:rFonts w:ascii="Times New Roman" w:eastAsia="標楷體" w:hAnsi="Times New Roman" w:cs="Times New Roman"/>
        </w:rPr>
        <w:t>的費城半導體指數，</w:t>
      </w:r>
      <w:r w:rsidR="001E738E" w:rsidRPr="00C11CAD">
        <w:rPr>
          <w:rFonts w:ascii="Times New Roman" w:eastAsia="標楷體" w:hAnsi="Times New Roman" w:cs="Times New Roman"/>
        </w:rPr>
        <w:t>7</w:t>
      </w:r>
      <w:r w:rsidR="001E738E" w:rsidRPr="00C11CAD">
        <w:rPr>
          <w:rFonts w:ascii="Times New Roman" w:eastAsia="標楷體" w:hAnsi="Times New Roman" w:cs="Times New Roman"/>
        </w:rPr>
        <w:t>月中最大跌幅達</w:t>
      </w:r>
      <w:r w:rsidR="001E738E" w:rsidRPr="00C11CAD">
        <w:rPr>
          <w:rFonts w:ascii="Times New Roman" w:eastAsia="標楷體" w:hAnsi="Times New Roman" w:cs="Times New Roman"/>
        </w:rPr>
        <w:t>26.67%</w:t>
      </w:r>
      <w:r w:rsidR="001E738E" w:rsidRPr="00C11CAD">
        <w:rPr>
          <w:rFonts w:ascii="Times New Roman" w:eastAsia="標楷體" w:hAnsi="Times New Roman" w:cs="Times New Roman"/>
        </w:rPr>
        <w:t>，全月收跌</w:t>
      </w:r>
      <w:r w:rsidR="001E738E" w:rsidRPr="00C11CAD">
        <w:rPr>
          <w:rFonts w:ascii="Times New Roman" w:eastAsia="標楷體" w:hAnsi="Times New Roman" w:cs="Times New Roman"/>
        </w:rPr>
        <w:t>20.61%</w:t>
      </w:r>
      <w:r w:rsidR="001E738E" w:rsidRPr="00C11CAD">
        <w:rPr>
          <w:rFonts w:ascii="Times New Roman" w:eastAsia="標楷體" w:hAnsi="Times New Roman" w:cs="Times New Roman"/>
        </w:rPr>
        <w:t>。相較之下，美國那斯達克綜合指數受惠於科技股內部資金輪動，展現較佳的抗跌韌性，</w:t>
      </w:r>
      <w:r w:rsidR="001E738E" w:rsidRPr="00C11CAD">
        <w:rPr>
          <w:rFonts w:ascii="Times New Roman" w:eastAsia="標楷體" w:hAnsi="Times New Roman" w:cs="Times New Roman"/>
        </w:rPr>
        <w:t>7</w:t>
      </w:r>
      <w:r w:rsidR="001E738E" w:rsidRPr="00C11CAD">
        <w:rPr>
          <w:rFonts w:ascii="Times New Roman" w:eastAsia="標楷體" w:hAnsi="Times New Roman" w:cs="Times New Roman"/>
        </w:rPr>
        <w:t>月中最大跌幅僅</w:t>
      </w:r>
      <w:r w:rsidR="001E738E" w:rsidRPr="00C11CAD">
        <w:rPr>
          <w:rFonts w:ascii="Times New Roman" w:eastAsia="標楷體" w:hAnsi="Times New Roman" w:cs="Times New Roman"/>
        </w:rPr>
        <w:t>6.76%</w:t>
      </w:r>
      <w:r w:rsidR="001E738E" w:rsidRPr="00C11CAD">
        <w:rPr>
          <w:rFonts w:ascii="Times New Roman" w:eastAsia="標楷體" w:hAnsi="Times New Roman" w:cs="Times New Roman"/>
        </w:rPr>
        <w:t>，全月收跌</w:t>
      </w:r>
      <w:r w:rsidR="001E738E" w:rsidRPr="00C11CAD">
        <w:rPr>
          <w:rFonts w:ascii="Times New Roman" w:eastAsia="標楷體" w:hAnsi="Times New Roman" w:cs="Times New Roman"/>
        </w:rPr>
        <w:t>3.2%</w:t>
      </w:r>
      <w:r w:rsidR="001E738E" w:rsidRPr="00C11CAD">
        <w:rPr>
          <w:rFonts w:ascii="Times New Roman" w:eastAsia="標楷體" w:hAnsi="Times New Roman" w:cs="Times New Roman"/>
        </w:rPr>
        <w:t>。</w:t>
      </w:r>
    </w:p>
    <w:p w14:paraId="030AFF79" w14:textId="5EA461F4" w:rsidR="001E738E" w:rsidRPr="00C11CAD" w:rsidRDefault="0082257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上述股市於</w:t>
      </w:r>
      <w:r w:rsidR="001E738E" w:rsidRPr="00C11CAD">
        <w:rPr>
          <w:rFonts w:ascii="Times New Roman" w:eastAsia="標楷體" w:hAnsi="Times New Roman" w:cs="Times New Roman"/>
        </w:rPr>
        <w:t>在經歷</w:t>
      </w:r>
      <w:r w:rsidR="001E738E" w:rsidRPr="00C11CAD">
        <w:rPr>
          <w:rFonts w:ascii="Times New Roman" w:eastAsia="標楷體" w:hAnsi="Times New Roman" w:cs="Times New Roman"/>
        </w:rPr>
        <w:t>7</w:t>
      </w:r>
      <w:r w:rsidR="001E738E" w:rsidRPr="00C11CAD">
        <w:rPr>
          <w:rFonts w:ascii="Times New Roman" w:eastAsia="標楷體" w:hAnsi="Times New Roman" w:cs="Times New Roman"/>
        </w:rPr>
        <w:t>月中下旬的大幅拋售後，月底同步強勁反彈。市場情緒改善，一方面來自市場對日本央行政策正常化及日圓套利交易去槓桿風險的擔憂逐步緩解；另一方面，</w:t>
      </w:r>
      <w:r w:rsidR="001E738E" w:rsidRPr="00C11CAD">
        <w:rPr>
          <w:rFonts w:ascii="Times New Roman" w:eastAsia="標楷體" w:hAnsi="Times New Roman" w:cs="Times New Roman"/>
        </w:rPr>
        <w:t>Microsoft</w:t>
      </w:r>
      <w:r w:rsidR="001E738E" w:rsidRPr="00C11CAD">
        <w:rPr>
          <w:rFonts w:ascii="Times New Roman" w:eastAsia="標楷體" w:hAnsi="Times New Roman" w:cs="Times New Roman"/>
        </w:rPr>
        <w:t>、</w:t>
      </w:r>
      <w:r w:rsidR="001E738E" w:rsidRPr="00C11CAD">
        <w:rPr>
          <w:rFonts w:ascii="Times New Roman" w:eastAsia="標楷體" w:hAnsi="Times New Roman" w:cs="Times New Roman"/>
        </w:rPr>
        <w:t>Amazon</w:t>
      </w:r>
      <w:r w:rsidR="001E738E" w:rsidRPr="00C11CAD">
        <w:rPr>
          <w:rFonts w:ascii="Times New Roman" w:eastAsia="標楷體" w:hAnsi="Times New Roman" w:cs="Times New Roman"/>
        </w:rPr>
        <w:t>及</w:t>
      </w:r>
      <w:r w:rsidR="001E738E" w:rsidRPr="00C11CAD">
        <w:rPr>
          <w:rFonts w:ascii="Times New Roman" w:eastAsia="標楷體" w:hAnsi="Times New Roman" w:cs="Times New Roman"/>
        </w:rPr>
        <w:t>Meta</w:t>
      </w:r>
      <w:r w:rsidR="001E738E" w:rsidRPr="00C11CAD">
        <w:rPr>
          <w:rFonts w:ascii="Times New Roman" w:eastAsia="標楷體" w:hAnsi="Times New Roman" w:cs="Times New Roman"/>
        </w:rPr>
        <w:t>等美國科技巨頭在最新財報中均表示，</w:t>
      </w:r>
      <w:r w:rsidR="001E738E" w:rsidRPr="00C11CAD">
        <w:rPr>
          <w:rFonts w:ascii="Times New Roman" w:eastAsia="標楷體" w:hAnsi="Times New Roman" w:cs="Times New Roman"/>
        </w:rPr>
        <w:t>AI</w:t>
      </w:r>
      <w:r w:rsidR="001E738E" w:rsidRPr="00C11CAD">
        <w:rPr>
          <w:rFonts w:ascii="Times New Roman" w:eastAsia="標楷體" w:hAnsi="Times New Roman" w:cs="Times New Roman"/>
        </w:rPr>
        <w:t>基礎設施投資仍將持續擴張，市場亦預期大型科技公司未來數年的資本支出將維持高檔，</w:t>
      </w:r>
      <w:proofErr w:type="gramStart"/>
      <w:r w:rsidR="001E738E" w:rsidRPr="00C11CAD">
        <w:rPr>
          <w:rFonts w:ascii="Times New Roman" w:eastAsia="標楷體" w:hAnsi="Times New Roman" w:cs="Times New Roman"/>
        </w:rPr>
        <w:t>有效緩</w:t>
      </w:r>
      <w:proofErr w:type="gramEnd"/>
      <w:r w:rsidR="001E738E" w:rsidRPr="00C11CAD">
        <w:rPr>
          <w:rFonts w:ascii="Times New Roman" w:eastAsia="標楷體" w:hAnsi="Times New Roman" w:cs="Times New Roman"/>
        </w:rPr>
        <w:t>解市場對</w:t>
      </w:r>
      <w:r w:rsidR="001E738E" w:rsidRPr="00C11CAD">
        <w:rPr>
          <w:rFonts w:ascii="Times New Roman" w:eastAsia="標楷體" w:hAnsi="Times New Roman" w:cs="Times New Roman"/>
        </w:rPr>
        <w:t>AI</w:t>
      </w:r>
      <w:r w:rsidR="001E738E" w:rsidRPr="00C11CAD">
        <w:rPr>
          <w:rFonts w:ascii="Times New Roman" w:eastAsia="標楷體" w:hAnsi="Times New Roman" w:cs="Times New Roman"/>
        </w:rPr>
        <w:t>投資放緩及資本支出縮減的疑慮。隨著市場風險偏好回升，</w:t>
      </w:r>
      <w:r w:rsidR="001E738E" w:rsidRPr="00C11CAD">
        <w:rPr>
          <w:rFonts w:ascii="Times New Roman" w:eastAsia="標楷體" w:hAnsi="Times New Roman" w:cs="Times New Roman"/>
        </w:rPr>
        <w:t>7</w:t>
      </w:r>
      <w:r w:rsidR="001E738E" w:rsidRPr="00C11CAD">
        <w:rPr>
          <w:rFonts w:ascii="Times New Roman" w:eastAsia="標楷體" w:hAnsi="Times New Roman" w:cs="Times New Roman"/>
        </w:rPr>
        <w:t>月</w:t>
      </w:r>
      <w:r w:rsidR="001E738E" w:rsidRPr="00C11CAD">
        <w:rPr>
          <w:rFonts w:ascii="Times New Roman" w:eastAsia="標楷體" w:hAnsi="Times New Roman" w:cs="Times New Roman"/>
        </w:rPr>
        <w:t>31</w:t>
      </w:r>
      <w:r w:rsidR="001E738E" w:rsidRPr="00C11CAD">
        <w:rPr>
          <w:rFonts w:ascii="Times New Roman" w:eastAsia="標楷體" w:hAnsi="Times New Roman" w:cs="Times New Roman"/>
        </w:rPr>
        <w:t>日買盤明顯回流，帶動韓股單日大漲</w:t>
      </w:r>
      <w:r w:rsidR="001E738E" w:rsidRPr="00C11CAD">
        <w:rPr>
          <w:rFonts w:ascii="Times New Roman" w:eastAsia="標楷體" w:hAnsi="Times New Roman" w:cs="Times New Roman"/>
        </w:rPr>
        <w:t>17.91%</w:t>
      </w:r>
      <w:r w:rsidR="001E738E" w:rsidRPr="00C11CAD">
        <w:rPr>
          <w:rFonts w:ascii="Times New Roman" w:eastAsia="標楷體" w:hAnsi="Times New Roman" w:cs="Times New Roman"/>
        </w:rPr>
        <w:t>，創下歷史最大單日漲幅；台股亦大漲</w:t>
      </w:r>
      <w:r w:rsidR="001E738E" w:rsidRPr="00C11CAD">
        <w:rPr>
          <w:rFonts w:ascii="Times New Roman" w:eastAsia="標楷體" w:hAnsi="Times New Roman" w:cs="Times New Roman"/>
        </w:rPr>
        <w:t>7.98%</w:t>
      </w:r>
      <w:r w:rsidR="001E738E" w:rsidRPr="00C11CAD">
        <w:rPr>
          <w:rFonts w:ascii="Times New Roman" w:eastAsia="標楷體" w:hAnsi="Times New Roman" w:cs="Times New Roman"/>
        </w:rPr>
        <w:t>，創下台股史上最大單日漲點；日股上漲</w:t>
      </w:r>
      <w:r w:rsidR="001E738E" w:rsidRPr="00C11CAD">
        <w:rPr>
          <w:rFonts w:ascii="Times New Roman" w:eastAsia="標楷體" w:hAnsi="Times New Roman" w:cs="Times New Roman"/>
        </w:rPr>
        <w:t>4.03%</w:t>
      </w:r>
      <w:r w:rsidR="001E738E" w:rsidRPr="00C11CAD">
        <w:rPr>
          <w:rFonts w:ascii="Times New Roman" w:eastAsia="標楷體" w:hAnsi="Times New Roman" w:cs="Times New Roman"/>
        </w:rPr>
        <w:t>，而費城半導體指數則於前一</w:t>
      </w:r>
      <w:proofErr w:type="gramStart"/>
      <w:r w:rsidR="001E738E" w:rsidRPr="00C11CAD">
        <w:rPr>
          <w:rFonts w:ascii="Times New Roman" w:eastAsia="標楷體" w:hAnsi="Times New Roman" w:cs="Times New Roman"/>
        </w:rPr>
        <w:t>交易日勁揚</w:t>
      </w:r>
      <w:proofErr w:type="gramEnd"/>
      <w:r w:rsidR="001E738E" w:rsidRPr="00C11CAD">
        <w:rPr>
          <w:rFonts w:ascii="Times New Roman" w:eastAsia="標楷體" w:hAnsi="Times New Roman" w:cs="Times New Roman"/>
        </w:rPr>
        <w:t>8.19%</w:t>
      </w:r>
      <w:r w:rsidR="001E738E" w:rsidRPr="00C11CAD">
        <w:rPr>
          <w:rFonts w:ascii="Times New Roman" w:eastAsia="標楷體" w:hAnsi="Times New Roman" w:cs="Times New Roman"/>
        </w:rPr>
        <w:t>，各主要市場均大幅收斂全月跌幅。</w:t>
      </w:r>
    </w:p>
    <w:p w14:paraId="311ECF2B" w14:textId="38F683C8" w:rsidR="00D578B8" w:rsidRPr="00C11CAD" w:rsidRDefault="00DE6AC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相較於亞洲科技股及半導體股的大幅修正，其他主要市場表現相對穩健。</w:t>
      </w:r>
      <w:r w:rsidRPr="00C11CAD">
        <w:rPr>
          <w:rFonts w:ascii="Times New Roman" w:eastAsia="標楷體" w:hAnsi="Times New Roman" w:cs="Times New Roman"/>
        </w:rPr>
        <w:lastRenderedPageBreak/>
        <w:t>MSCI</w:t>
      </w:r>
      <w:r w:rsidRPr="00C11CAD">
        <w:rPr>
          <w:rFonts w:ascii="Times New Roman" w:eastAsia="標楷體" w:hAnsi="Times New Roman" w:cs="Times New Roman"/>
        </w:rPr>
        <w:t>全球指數</w:t>
      </w:r>
      <w:r w:rsidR="00B44F9B" w:rsidRPr="00C11CAD">
        <w:rPr>
          <w:rFonts w:ascii="Times New Roman" w:eastAsia="標楷體" w:hAnsi="Times New Roman" w:cs="Times New Roman"/>
        </w:rPr>
        <w:t>7</w:t>
      </w:r>
      <w:r w:rsidRPr="00C11CAD">
        <w:rPr>
          <w:rFonts w:ascii="Times New Roman" w:eastAsia="標楷體" w:hAnsi="Times New Roman" w:cs="Times New Roman"/>
        </w:rPr>
        <w:t>月微</w:t>
      </w:r>
      <w:r w:rsidR="00B44F9B" w:rsidRPr="00C11CAD">
        <w:rPr>
          <w:rFonts w:ascii="Times New Roman" w:eastAsia="標楷體" w:hAnsi="Times New Roman" w:cs="Times New Roman"/>
        </w:rPr>
        <w:t>漲</w:t>
      </w:r>
      <w:r w:rsidR="00B44F9B" w:rsidRPr="00C11CAD">
        <w:rPr>
          <w:rFonts w:ascii="Times New Roman" w:eastAsia="標楷體" w:hAnsi="Times New Roman" w:cs="Times New Roman"/>
        </w:rPr>
        <w:t>0.1</w:t>
      </w:r>
      <w:r w:rsidRPr="00C11CAD">
        <w:rPr>
          <w:rFonts w:ascii="Times New Roman" w:eastAsia="標楷體" w:hAnsi="Times New Roman" w:cs="Times New Roman"/>
        </w:rPr>
        <w:t>%</w:t>
      </w:r>
      <w:r w:rsidRPr="00C11CAD">
        <w:rPr>
          <w:rFonts w:ascii="Times New Roman" w:eastAsia="標楷體" w:hAnsi="Times New Roman" w:cs="Times New Roman"/>
        </w:rPr>
        <w:t>，美國</w:t>
      </w:r>
      <w:r w:rsidRPr="00C11CAD">
        <w:rPr>
          <w:rFonts w:ascii="Times New Roman" w:eastAsia="標楷體" w:hAnsi="Times New Roman" w:cs="Times New Roman"/>
        </w:rPr>
        <w:t>S&amp;P 500</w:t>
      </w:r>
      <w:r w:rsidRPr="00C11CAD">
        <w:rPr>
          <w:rFonts w:ascii="Times New Roman" w:eastAsia="標楷體" w:hAnsi="Times New Roman" w:cs="Times New Roman"/>
        </w:rPr>
        <w:t>指數微跌</w:t>
      </w:r>
      <w:r w:rsidRPr="00C11CAD">
        <w:rPr>
          <w:rFonts w:ascii="Times New Roman" w:eastAsia="標楷體" w:hAnsi="Times New Roman" w:cs="Times New Roman"/>
        </w:rPr>
        <w:t>0.1</w:t>
      </w:r>
      <w:r w:rsidR="00B44F9B" w:rsidRPr="00C11CAD">
        <w:rPr>
          <w:rFonts w:ascii="Times New Roman" w:eastAsia="標楷體" w:hAnsi="Times New Roman" w:cs="Times New Roman"/>
        </w:rPr>
        <w:t>3</w:t>
      </w:r>
      <w:r w:rsidRPr="00C11CAD">
        <w:rPr>
          <w:rFonts w:ascii="Times New Roman" w:eastAsia="標楷體" w:hAnsi="Times New Roman" w:cs="Times New Roman"/>
        </w:rPr>
        <w:t>%</w:t>
      </w:r>
      <w:r w:rsidRPr="00C11CAD">
        <w:rPr>
          <w:rFonts w:ascii="Times New Roman" w:eastAsia="標楷體" w:hAnsi="Times New Roman" w:cs="Times New Roman"/>
        </w:rPr>
        <w:t>，道瓊工業指數則小漲</w:t>
      </w:r>
      <w:r w:rsidRPr="00C11CAD">
        <w:rPr>
          <w:rFonts w:ascii="Times New Roman" w:eastAsia="標楷體" w:hAnsi="Times New Roman" w:cs="Times New Roman"/>
        </w:rPr>
        <w:t>0.32%</w:t>
      </w:r>
      <w:r w:rsidRPr="00C11CAD">
        <w:rPr>
          <w:rFonts w:ascii="Times New Roman" w:eastAsia="標楷體" w:hAnsi="Times New Roman" w:cs="Times New Roman"/>
        </w:rPr>
        <w:t>；</w:t>
      </w:r>
      <w:r w:rsidR="00B44F9B" w:rsidRPr="00C11CAD">
        <w:rPr>
          <w:rFonts w:ascii="Times New Roman" w:eastAsia="標楷體" w:hAnsi="Times New Roman" w:cs="Times New Roman"/>
        </w:rPr>
        <w:t>道瓊歐洲</w:t>
      </w:r>
      <w:r w:rsidR="00B44F9B" w:rsidRPr="00C11CAD">
        <w:rPr>
          <w:rFonts w:ascii="Times New Roman" w:eastAsia="標楷體" w:hAnsi="Times New Roman" w:cs="Times New Roman"/>
        </w:rPr>
        <w:t>STOXX50</w:t>
      </w:r>
      <w:r w:rsidR="00B44F9B" w:rsidRPr="00C11CAD">
        <w:rPr>
          <w:rFonts w:ascii="Times New Roman" w:eastAsia="標楷體" w:hAnsi="Times New Roman" w:cs="Times New Roman"/>
        </w:rPr>
        <w:t>指數</w:t>
      </w:r>
      <w:r w:rsidRPr="00C11CAD">
        <w:rPr>
          <w:rFonts w:ascii="Times New Roman" w:eastAsia="標楷體" w:hAnsi="Times New Roman" w:cs="Times New Roman"/>
        </w:rPr>
        <w:t>及印度</w:t>
      </w:r>
      <w:r w:rsidR="00B44F9B" w:rsidRPr="00C11CAD">
        <w:rPr>
          <w:rFonts w:ascii="Times New Roman" w:eastAsia="標楷體" w:hAnsi="Times New Roman" w:cs="Times New Roman"/>
        </w:rPr>
        <w:t>Nifty</w:t>
      </w:r>
      <w:r w:rsidR="00B44F9B" w:rsidRPr="00C11CAD">
        <w:rPr>
          <w:rFonts w:ascii="Times New Roman" w:eastAsia="標楷體" w:hAnsi="Times New Roman" w:cs="Times New Roman"/>
        </w:rPr>
        <w:t>指數</w:t>
      </w:r>
      <w:r w:rsidRPr="00C11CAD">
        <w:rPr>
          <w:rFonts w:ascii="Times New Roman" w:eastAsia="標楷體" w:hAnsi="Times New Roman" w:cs="Times New Roman"/>
        </w:rPr>
        <w:t>分別上漲</w:t>
      </w:r>
      <w:r w:rsidR="00B44F9B" w:rsidRPr="00C11CAD">
        <w:rPr>
          <w:rFonts w:ascii="Times New Roman" w:eastAsia="標楷體" w:hAnsi="Times New Roman" w:cs="Times New Roman"/>
        </w:rPr>
        <w:t>0.71</w:t>
      </w:r>
      <w:r w:rsidRPr="00C11CAD">
        <w:rPr>
          <w:rFonts w:ascii="Times New Roman" w:eastAsia="標楷體" w:hAnsi="Times New Roman" w:cs="Times New Roman"/>
        </w:rPr>
        <w:t>%</w:t>
      </w:r>
      <w:r w:rsidRPr="00C11CAD">
        <w:rPr>
          <w:rFonts w:ascii="Times New Roman" w:eastAsia="標楷體" w:hAnsi="Times New Roman" w:cs="Times New Roman"/>
        </w:rPr>
        <w:t>及</w:t>
      </w:r>
      <w:r w:rsidRPr="00C11CAD">
        <w:rPr>
          <w:rFonts w:ascii="Times New Roman" w:eastAsia="標楷體" w:hAnsi="Times New Roman" w:cs="Times New Roman"/>
        </w:rPr>
        <w:t>2.1</w:t>
      </w:r>
      <w:r w:rsidR="00B44F9B" w:rsidRPr="00C11CAD">
        <w:rPr>
          <w:rFonts w:ascii="Times New Roman" w:eastAsia="標楷體" w:hAnsi="Times New Roman" w:cs="Times New Roman"/>
        </w:rPr>
        <w:t>7</w:t>
      </w:r>
      <w:r w:rsidRPr="00C11CAD">
        <w:rPr>
          <w:rFonts w:ascii="Times New Roman" w:eastAsia="標楷體" w:hAnsi="Times New Roman" w:cs="Times New Roman"/>
        </w:rPr>
        <w:t>%</w:t>
      </w:r>
      <w:r w:rsidRPr="00C11CAD">
        <w:rPr>
          <w:rFonts w:ascii="Times New Roman" w:eastAsia="標楷體" w:hAnsi="Times New Roman" w:cs="Times New Roman"/>
        </w:rPr>
        <w:t>。顯示</w:t>
      </w:r>
      <w:r w:rsidRPr="00C11CAD">
        <w:rPr>
          <w:rFonts w:ascii="Times New Roman" w:eastAsia="標楷體" w:hAnsi="Times New Roman" w:cs="Times New Roman"/>
        </w:rPr>
        <w:t>7</w:t>
      </w:r>
      <w:r w:rsidRPr="00C11CAD">
        <w:rPr>
          <w:rFonts w:ascii="Times New Roman" w:eastAsia="標楷體" w:hAnsi="Times New Roman" w:cs="Times New Roman"/>
        </w:rPr>
        <w:t>月全球市場並未出現全面性的風險資產拋售，本波修正主要集中於</w:t>
      </w:r>
      <w:r w:rsidRPr="00C11CAD">
        <w:rPr>
          <w:rFonts w:ascii="Times New Roman" w:eastAsia="標楷體" w:hAnsi="Times New Roman" w:cs="Times New Roman"/>
        </w:rPr>
        <w:t>AI</w:t>
      </w:r>
      <w:r w:rsidRPr="00C11CAD">
        <w:rPr>
          <w:rFonts w:ascii="Times New Roman" w:eastAsia="標楷體" w:hAnsi="Times New Roman" w:cs="Times New Roman"/>
        </w:rPr>
        <w:t>供應鏈、半導體及高槓桿交易較集中的市場。</w:t>
      </w:r>
    </w:p>
    <w:p w14:paraId="2AA66722" w14:textId="0BEB7CB8" w:rsidR="00DE6ACD" w:rsidRPr="00C11CAD" w:rsidRDefault="00DE6AC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有關</w:t>
      </w:r>
      <w:r w:rsidR="00F259AF" w:rsidRPr="00C11CAD">
        <w:rPr>
          <w:rFonts w:ascii="Times New Roman" w:eastAsia="標楷體" w:hAnsi="Times New Roman" w:cs="Times New Roman"/>
        </w:rPr>
        <w:t>國際</w:t>
      </w:r>
      <w:r w:rsidRPr="00C11CAD">
        <w:rPr>
          <w:rFonts w:ascii="Times New Roman" w:eastAsia="標楷體" w:hAnsi="Times New Roman" w:cs="Times New Roman"/>
        </w:rPr>
        <w:t>利率走勢，</w:t>
      </w:r>
      <w:r w:rsidRPr="00C11CAD">
        <w:rPr>
          <w:rFonts w:ascii="Times New Roman" w:eastAsia="標楷體" w:hAnsi="Times New Roman" w:cs="Times New Roman"/>
        </w:rPr>
        <w:t>7</w:t>
      </w:r>
      <w:r w:rsidRPr="00C11CAD">
        <w:rPr>
          <w:rFonts w:ascii="Times New Roman" w:eastAsia="標楷體" w:hAnsi="Times New Roman" w:cs="Times New Roman"/>
        </w:rPr>
        <w:t>月美國公債市場呈現</w:t>
      </w:r>
      <w:proofErr w:type="gramStart"/>
      <w:r w:rsidRPr="00C11CAD">
        <w:rPr>
          <w:rFonts w:ascii="Times New Roman" w:eastAsia="標楷體" w:hAnsi="Times New Roman" w:cs="Times New Roman"/>
        </w:rPr>
        <w:t>殖</w:t>
      </w:r>
      <w:proofErr w:type="gramEnd"/>
      <w:r w:rsidRPr="00C11CAD">
        <w:rPr>
          <w:rFonts w:ascii="Times New Roman" w:eastAsia="標楷體" w:hAnsi="Times New Roman" w:cs="Times New Roman"/>
        </w:rPr>
        <w:t>利率曲線陡峭化，長天期</w:t>
      </w:r>
      <w:proofErr w:type="gramStart"/>
      <w:r w:rsidRPr="00C11CAD">
        <w:rPr>
          <w:rFonts w:ascii="Times New Roman" w:eastAsia="標楷體" w:hAnsi="Times New Roman" w:cs="Times New Roman"/>
        </w:rPr>
        <w:t>殖</w:t>
      </w:r>
      <w:proofErr w:type="gramEnd"/>
      <w:r w:rsidRPr="00C11CAD">
        <w:rPr>
          <w:rFonts w:ascii="Times New Roman" w:eastAsia="標楷體" w:hAnsi="Times New Roman" w:cs="Times New Roman"/>
        </w:rPr>
        <w:t>利率</w:t>
      </w:r>
      <w:r w:rsidR="00B44F9B" w:rsidRPr="00C11CAD">
        <w:rPr>
          <w:rFonts w:ascii="Times New Roman" w:eastAsia="標楷體" w:hAnsi="Times New Roman" w:cs="Times New Roman"/>
        </w:rPr>
        <w:t>較</w:t>
      </w:r>
      <w:r w:rsidRPr="00C11CAD">
        <w:rPr>
          <w:rFonts w:ascii="Times New Roman" w:eastAsia="標楷體" w:hAnsi="Times New Roman" w:cs="Times New Roman"/>
        </w:rPr>
        <w:t>大幅</w:t>
      </w:r>
      <w:r w:rsidR="00B44F9B" w:rsidRPr="00C11CAD">
        <w:rPr>
          <w:rFonts w:ascii="Times New Roman" w:eastAsia="標楷體" w:hAnsi="Times New Roman" w:cs="Times New Roman"/>
        </w:rPr>
        <w:t>上</w:t>
      </w:r>
      <w:r w:rsidRPr="00C11CAD">
        <w:rPr>
          <w:rFonts w:ascii="Times New Roman" w:eastAsia="標楷體" w:hAnsi="Times New Roman" w:cs="Times New Roman"/>
        </w:rPr>
        <w:t>升，短天期</w:t>
      </w:r>
      <w:proofErr w:type="gramStart"/>
      <w:r w:rsidRPr="00C11CAD">
        <w:rPr>
          <w:rFonts w:ascii="Times New Roman" w:eastAsia="標楷體" w:hAnsi="Times New Roman" w:cs="Times New Roman"/>
        </w:rPr>
        <w:t>殖</w:t>
      </w:r>
      <w:proofErr w:type="gramEnd"/>
      <w:r w:rsidRPr="00C11CAD">
        <w:rPr>
          <w:rFonts w:ascii="Times New Roman" w:eastAsia="標楷體" w:hAnsi="Times New Roman" w:cs="Times New Roman"/>
        </w:rPr>
        <w:t>利率則相對平穩。</w:t>
      </w:r>
      <w:r w:rsidR="00B44F9B" w:rsidRPr="00C11CAD">
        <w:rPr>
          <w:rFonts w:ascii="Times New Roman" w:eastAsia="標楷體" w:hAnsi="Times New Roman" w:cs="Times New Roman"/>
        </w:rPr>
        <w:t>7</w:t>
      </w:r>
      <w:r w:rsidRPr="00C11CAD">
        <w:rPr>
          <w:rFonts w:ascii="Times New Roman" w:eastAsia="標楷體" w:hAnsi="Times New Roman" w:cs="Times New Roman"/>
        </w:rPr>
        <w:t>月中，美國</w:t>
      </w:r>
      <w:r w:rsidRPr="00C11CAD">
        <w:rPr>
          <w:rFonts w:ascii="Times New Roman" w:eastAsia="標楷體" w:hAnsi="Times New Roman" w:cs="Times New Roman"/>
        </w:rPr>
        <w:t>6</w:t>
      </w:r>
      <w:r w:rsidRPr="00C11CAD">
        <w:rPr>
          <w:rFonts w:ascii="Times New Roman" w:eastAsia="標楷體" w:hAnsi="Times New Roman" w:cs="Times New Roman"/>
        </w:rPr>
        <w:t>月消費者物價指數</w:t>
      </w:r>
      <w:r w:rsidR="00B44F9B" w:rsidRPr="00C11CAD">
        <w:rPr>
          <w:rFonts w:ascii="Times New Roman" w:eastAsia="標楷體" w:hAnsi="Times New Roman" w:cs="Times New Roman"/>
        </w:rPr>
        <w:t>(</w:t>
      </w:r>
      <w:r w:rsidRPr="00C11CAD">
        <w:rPr>
          <w:rFonts w:ascii="Times New Roman" w:eastAsia="標楷體" w:hAnsi="Times New Roman" w:cs="Times New Roman"/>
        </w:rPr>
        <w:t>CPI</w:t>
      </w:r>
      <w:r w:rsidR="00B44F9B" w:rsidRPr="00C11CAD">
        <w:rPr>
          <w:rFonts w:ascii="Times New Roman" w:eastAsia="標楷體" w:hAnsi="Times New Roman" w:cs="Times New Roman"/>
        </w:rPr>
        <w:t>)</w:t>
      </w:r>
      <w:r w:rsidR="00990358" w:rsidRPr="00C11CAD">
        <w:rPr>
          <w:rFonts w:ascii="Times New Roman" w:eastAsia="標楷體" w:hAnsi="Times New Roman" w:cs="Times New Roman"/>
        </w:rPr>
        <w:t>漲幅</w:t>
      </w:r>
      <w:r w:rsidRPr="00C11CAD">
        <w:rPr>
          <w:rFonts w:ascii="Times New Roman" w:eastAsia="標楷體" w:hAnsi="Times New Roman" w:cs="Times New Roman"/>
        </w:rPr>
        <w:t>低於市場預期，一度帶動公債</w:t>
      </w:r>
      <w:proofErr w:type="gramStart"/>
      <w:r w:rsidRPr="00C11CAD">
        <w:rPr>
          <w:rFonts w:ascii="Times New Roman" w:eastAsia="標楷體" w:hAnsi="Times New Roman" w:cs="Times New Roman"/>
        </w:rPr>
        <w:t>殖</w:t>
      </w:r>
      <w:proofErr w:type="gramEnd"/>
      <w:r w:rsidRPr="00C11CAD">
        <w:rPr>
          <w:rFonts w:ascii="Times New Roman" w:eastAsia="標楷體" w:hAnsi="Times New Roman" w:cs="Times New Roman"/>
        </w:rPr>
        <w:t>利率回落、債券價格反彈。然而，隨著中東地緣政治衝突再度升高並推升國際油價，市場對能源價格帶動通膨回升的擔憂再度升溫。到了</w:t>
      </w:r>
      <w:r w:rsidRPr="00C11CAD">
        <w:rPr>
          <w:rFonts w:ascii="Times New Roman" w:eastAsia="標楷體" w:hAnsi="Times New Roman" w:cs="Times New Roman"/>
        </w:rPr>
        <w:t>7</w:t>
      </w:r>
      <w:r w:rsidRPr="00C11CAD">
        <w:rPr>
          <w:rFonts w:ascii="Times New Roman" w:eastAsia="標楷體" w:hAnsi="Times New Roman" w:cs="Times New Roman"/>
        </w:rPr>
        <w:t>月</w:t>
      </w:r>
      <w:r w:rsidR="00990358" w:rsidRPr="00C11CAD">
        <w:rPr>
          <w:rFonts w:ascii="Times New Roman" w:eastAsia="標楷體" w:hAnsi="Times New Roman" w:cs="Times New Roman"/>
        </w:rPr>
        <w:t>30</w:t>
      </w:r>
      <w:r w:rsidR="00990358" w:rsidRPr="00C11CAD">
        <w:rPr>
          <w:rFonts w:ascii="Times New Roman" w:eastAsia="標楷體" w:hAnsi="Times New Roman" w:cs="Times New Roman"/>
        </w:rPr>
        <w:t>日</w:t>
      </w:r>
      <w:r w:rsidRPr="00C11CAD">
        <w:rPr>
          <w:rFonts w:ascii="Times New Roman" w:eastAsia="標楷體" w:hAnsi="Times New Roman" w:cs="Times New Roman"/>
        </w:rPr>
        <w:t>聯</w:t>
      </w:r>
      <w:proofErr w:type="gramStart"/>
      <w:r w:rsidRPr="00C11CAD">
        <w:rPr>
          <w:rFonts w:ascii="Times New Roman" w:eastAsia="標楷體" w:hAnsi="Times New Roman" w:cs="Times New Roman"/>
        </w:rPr>
        <w:t>準</w:t>
      </w:r>
      <w:proofErr w:type="gramEnd"/>
      <w:r w:rsidRPr="00C11CAD">
        <w:rPr>
          <w:rFonts w:ascii="Times New Roman" w:eastAsia="標楷體" w:hAnsi="Times New Roman" w:cs="Times New Roman"/>
        </w:rPr>
        <w:t>會利率決策會議，雖然政策利率維持在</w:t>
      </w:r>
      <w:r w:rsidRPr="00C11CAD">
        <w:rPr>
          <w:rFonts w:ascii="Times New Roman" w:eastAsia="標楷體" w:hAnsi="Times New Roman" w:cs="Times New Roman"/>
        </w:rPr>
        <w:t>3.5%</w:t>
      </w:r>
      <w:r w:rsidRPr="00C11CAD">
        <w:rPr>
          <w:rFonts w:ascii="Times New Roman" w:eastAsia="標楷體" w:hAnsi="Times New Roman" w:cs="Times New Roman"/>
        </w:rPr>
        <w:t>至</w:t>
      </w:r>
      <w:r w:rsidRPr="00C11CAD">
        <w:rPr>
          <w:rFonts w:ascii="Times New Roman" w:eastAsia="標楷體" w:hAnsi="Times New Roman" w:cs="Times New Roman"/>
        </w:rPr>
        <w:t>3.75%</w:t>
      </w:r>
      <w:r w:rsidRPr="00C11CAD">
        <w:rPr>
          <w:rFonts w:ascii="Times New Roman" w:eastAsia="標楷體" w:hAnsi="Times New Roman" w:cs="Times New Roman"/>
        </w:rPr>
        <w:t>不變，但委員會內部歧見擴大，三位成員主張升息，加上主席</w:t>
      </w:r>
      <w:r w:rsidRPr="00C11CAD">
        <w:rPr>
          <w:rFonts w:ascii="Times New Roman" w:eastAsia="標楷體" w:hAnsi="Times New Roman" w:cs="Times New Roman"/>
        </w:rPr>
        <w:t xml:space="preserve">Kevin </w:t>
      </w:r>
      <w:proofErr w:type="spellStart"/>
      <w:r w:rsidRPr="00C11CAD">
        <w:rPr>
          <w:rFonts w:ascii="Times New Roman" w:eastAsia="標楷體" w:hAnsi="Times New Roman" w:cs="Times New Roman"/>
        </w:rPr>
        <w:t>Warsh</w:t>
      </w:r>
      <w:proofErr w:type="spellEnd"/>
      <w:r w:rsidRPr="00C11CAD">
        <w:rPr>
          <w:rFonts w:ascii="Times New Roman" w:eastAsia="標楷體" w:hAnsi="Times New Roman" w:cs="Times New Roman"/>
        </w:rPr>
        <w:t>未就未來利率路徑提供明確指引，使市場對聯</w:t>
      </w:r>
      <w:proofErr w:type="gramStart"/>
      <w:r w:rsidRPr="00C11CAD">
        <w:rPr>
          <w:rFonts w:ascii="Times New Roman" w:eastAsia="標楷體" w:hAnsi="Times New Roman" w:cs="Times New Roman"/>
        </w:rPr>
        <w:t>準</w:t>
      </w:r>
      <w:proofErr w:type="gramEnd"/>
      <w:r w:rsidRPr="00C11CAD">
        <w:rPr>
          <w:rFonts w:ascii="Times New Roman" w:eastAsia="標楷體" w:hAnsi="Times New Roman" w:cs="Times New Roman"/>
        </w:rPr>
        <w:t>會抑制通膨的決心與政策反應產生疑慮，進一步加劇長天期公債賣壓。</w:t>
      </w:r>
    </w:p>
    <w:p w14:paraId="6D159247" w14:textId="7EE2DA3A" w:rsidR="00DE6ACD" w:rsidRPr="00C11CAD" w:rsidRDefault="00DE6AC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由於</w:t>
      </w:r>
      <w:r w:rsidRPr="00C11CAD">
        <w:rPr>
          <w:rFonts w:ascii="Times New Roman" w:eastAsia="標楷體" w:hAnsi="Times New Roman" w:cs="Times New Roman"/>
        </w:rPr>
        <w:t>1</w:t>
      </w:r>
      <w:r w:rsidRPr="00C11CAD">
        <w:rPr>
          <w:rFonts w:ascii="Times New Roman" w:eastAsia="標楷體" w:hAnsi="Times New Roman" w:cs="Times New Roman"/>
        </w:rPr>
        <w:t>年</w:t>
      </w:r>
      <w:bookmarkStart w:id="0" w:name="_Hlk236834243"/>
      <w:r w:rsidRPr="00C11CAD">
        <w:rPr>
          <w:rFonts w:ascii="Times New Roman" w:eastAsia="標楷體" w:hAnsi="Times New Roman" w:cs="Times New Roman"/>
        </w:rPr>
        <w:t>期</w:t>
      </w:r>
      <w:bookmarkEnd w:id="0"/>
      <w:r w:rsidRPr="00C11CAD">
        <w:rPr>
          <w:rFonts w:ascii="Times New Roman" w:eastAsia="標楷體" w:hAnsi="Times New Roman" w:cs="Times New Roman"/>
        </w:rPr>
        <w:t>與</w:t>
      </w:r>
      <w:r w:rsidRPr="00C11CAD">
        <w:rPr>
          <w:rFonts w:ascii="Times New Roman" w:eastAsia="標楷體" w:hAnsi="Times New Roman" w:cs="Times New Roman"/>
        </w:rPr>
        <w:t>2</w:t>
      </w:r>
      <w:r w:rsidRPr="00C11CAD">
        <w:rPr>
          <w:rFonts w:ascii="Times New Roman" w:eastAsia="標楷體" w:hAnsi="Times New Roman" w:cs="Times New Roman"/>
        </w:rPr>
        <w:t>年期公債</w:t>
      </w:r>
      <w:proofErr w:type="gramStart"/>
      <w:r w:rsidRPr="00C11CAD">
        <w:rPr>
          <w:rFonts w:ascii="Times New Roman" w:eastAsia="標楷體" w:hAnsi="Times New Roman" w:cs="Times New Roman"/>
        </w:rPr>
        <w:t>殖</w:t>
      </w:r>
      <w:proofErr w:type="gramEnd"/>
      <w:r w:rsidRPr="00C11CAD">
        <w:rPr>
          <w:rFonts w:ascii="Times New Roman" w:eastAsia="標楷體" w:hAnsi="Times New Roman" w:cs="Times New Roman"/>
        </w:rPr>
        <w:t>利率主要反映市場對未來政策利率的預期，在聯</w:t>
      </w:r>
      <w:proofErr w:type="gramStart"/>
      <w:r w:rsidRPr="00C11CAD">
        <w:rPr>
          <w:rFonts w:ascii="Times New Roman" w:eastAsia="標楷體" w:hAnsi="Times New Roman" w:cs="Times New Roman"/>
        </w:rPr>
        <w:t>準</w:t>
      </w:r>
      <w:proofErr w:type="gramEnd"/>
      <w:r w:rsidRPr="00C11CAD">
        <w:rPr>
          <w:rFonts w:ascii="Times New Roman" w:eastAsia="標楷體" w:hAnsi="Times New Roman" w:cs="Times New Roman"/>
        </w:rPr>
        <w:t>會維持利率不變下，</w:t>
      </w:r>
      <w:r w:rsidRPr="00C11CAD">
        <w:rPr>
          <w:rFonts w:ascii="Times New Roman" w:eastAsia="標楷體" w:hAnsi="Times New Roman" w:cs="Times New Roman"/>
        </w:rPr>
        <w:t>7</w:t>
      </w:r>
      <w:r w:rsidRPr="00C11CAD">
        <w:rPr>
          <w:rFonts w:ascii="Times New Roman" w:eastAsia="標楷體" w:hAnsi="Times New Roman" w:cs="Times New Roman"/>
        </w:rPr>
        <w:t>月全月分別僅上升約</w:t>
      </w:r>
      <w:r w:rsidRPr="00C11CAD">
        <w:rPr>
          <w:rFonts w:ascii="Times New Roman" w:eastAsia="標楷體" w:hAnsi="Times New Roman" w:cs="Times New Roman"/>
        </w:rPr>
        <w:t>10</w:t>
      </w:r>
      <w:r w:rsidRPr="00C11CAD">
        <w:rPr>
          <w:rFonts w:ascii="Times New Roman" w:eastAsia="標楷體" w:hAnsi="Times New Roman" w:cs="Times New Roman"/>
        </w:rPr>
        <w:t>個及</w:t>
      </w:r>
      <w:r w:rsidRPr="00C11CAD">
        <w:rPr>
          <w:rFonts w:ascii="Times New Roman" w:eastAsia="標楷體" w:hAnsi="Times New Roman" w:cs="Times New Roman"/>
        </w:rPr>
        <w:t>14</w:t>
      </w:r>
      <w:r w:rsidRPr="00C11CAD">
        <w:rPr>
          <w:rFonts w:ascii="Times New Roman" w:eastAsia="標楷體" w:hAnsi="Times New Roman" w:cs="Times New Roman"/>
        </w:rPr>
        <w:t>個基點，收在</w:t>
      </w:r>
      <w:r w:rsidRPr="00C11CAD">
        <w:rPr>
          <w:rFonts w:ascii="Times New Roman" w:eastAsia="標楷體" w:hAnsi="Times New Roman" w:cs="Times New Roman"/>
        </w:rPr>
        <w:t>4.08%</w:t>
      </w:r>
      <w:r w:rsidRPr="00C11CAD">
        <w:rPr>
          <w:rFonts w:ascii="Times New Roman" w:eastAsia="標楷體" w:hAnsi="Times New Roman" w:cs="Times New Roman"/>
        </w:rPr>
        <w:t>與</w:t>
      </w:r>
      <w:r w:rsidRPr="00C11CAD">
        <w:rPr>
          <w:rFonts w:ascii="Times New Roman" w:eastAsia="標楷體" w:hAnsi="Times New Roman" w:cs="Times New Roman"/>
        </w:rPr>
        <w:t>4.28%</w:t>
      </w:r>
      <w:r w:rsidRPr="00C11CAD">
        <w:rPr>
          <w:rFonts w:ascii="Times New Roman" w:eastAsia="標楷體" w:hAnsi="Times New Roman" w:cs="Times New Roman"/>
        </w:rPr>
        <w:t>。</w:t>
      </w:r>
      <w:r w:rsidR="002D676D" w:rsidRPr="00C11CAD">
        <w:rPr>
          <w:rFonts w:ascii="Times New Roman" w:eastAsia="標楷體" w:hAnsi="Times New Roman" w:cs="Times New Roman"/>
        </w:rPr>
        <w:t>甚至</w:t>
      </w:r>
      <w:r w:rsidR="002D676D" w:rsidRPr="00C11CAD">
        <w:rPr>
          <w:rFonts w:ascii="Times New Roman" w:eastAsia="標楷體" w:hAnsi="Times New Roman" w:cs="Times New Roman"/>
        </w:rPr>
        <w:t>3</w:t>
      </w:r>
      <w:r w:rsidR="002D676D" w:rsidRPr="00C11CAD">
        <w:rPr>
          <w:rFonts w:ascii="Times New Roman" w:eastAsia="標楷體" w:hAnsi="Times New Roman" w:cs="Times New Roman"/>
        </w:rPr>
        <w:t>個月期的國債</w:t>
      </w:r>
      <w:proofErr w:type="gramStart"/>
      <w:r w:rsidR="002D676D" w:rsidRPr="00C11CAD">
        <w:rPr>
          <w:rFonts w:ascii="Times New Roman" w:eastAsia="標楷體" w:hAnsi="Times New Roman" w:cs="Times New Roman"/>
        </w:rPr>
        <w:t>殖</w:t>
      </w:r>
      <w:proofErr w:type="gramEnd"/>
      <w:r w:rsidR="002D676D" w:rsidRPr="00C11CAD">
        <w:rPr>
          <w:rFonts w:ascii="Times New Roman" w:eastAsia="標楷體" w:hAnsi="Times New Roman" w:cs="Times New Roman"/>
        </w:rPr>
        <w:t>利率，</w:t>
      </w:r>
      <w:r w:rsidR="002D676D" w:rsidRPr="00C11CAD">
        <w:rPr>
          <w:rFonts w:ascii="Times New Roman" w:eastAsia="標楷體" w:hAnsi="Times New Roman" w:cs="Times New Roman"/>
        </w:rPr>
        <w:t>7</w:t>
      </w:r>
      <w:r w:rsidR="002D676D" w:rsidRPr="00C11CAD">
        <w:rPr>
          <w:rFonts w:ascii="Times New Roman" w:eastAsia="標楷體" w:hAnsi="Times New Roman" w:cs="Times New Roman"/>
        </w:rPr>
        <w:t>月份還從</w:t>
      </w:r>
      <w:r w:rsidR="002D676D" w:rsidRPr="00C11CAD">
        <w:rPr>
          <w:rFonts w:ascii="Times New Roman" w:eastAsia="標楷體" w:hAnsi="Times New Roman" w:cs="Times New Roman"/>
        </w:rPr>
        <w:t>3.87%</w:t>
      </w:r>
      <w:r w:rsidR="002D676D" w:rsidRPr="00C11CAD">
        <w:rPr>
          <w:rFonts w:ascii="Times New Roman" w:eastAsia="標楷體" w:hAnsi="Times New Roman" w:cs="Times New Roman"/>
        </w:rPr>
        <w:t>，略微下降至</w:t>
      </w:r>
      <w:r w:rsidR="002D676D" w:rsidRPr="00C11CAD">
        <w:rPr>
          <w:rFonts w:ascii="Times New Roman" w:eastAsia="標楷體" w:hAnsi="Times New Roman" w:cs="Times New Roman"/>
        </w:rPr>
        <w:t>3.83%</w:t>
      </w:r>
      <w:r w:rsidR="002D676D" w:rsidRPr="00C11CAD">
        <w:rPr>
          <w:rFonts w:ascii="Times New Roman" w:eastAsia="標楷體" w:hAnsi="Times New Roman" w:cs="Times New Roman"/>
        </w:rPr>
        <w:t>。</w:t>
      </w:r>
      <w:r w:rsidRPr="00C11CAD">
        <w:rPr>
          <w:rFonts w:ascii="Times New Roman" w:eastAsia="標楷體" w:hAnsi="Times New Roman" w:cs="Times New Roman"/>
        </w:rPr>
        <w:t>相較之下，</w:t>
      </w:r>
      <w:r w:rsidRPr="00C11CAD">
        <w:rPr>
          <w:rFonts w:ascii="Times New Roman" w:eastAsia="標楷體" w:hAnsi="Times New Roman" w:cs="Times New Roman"/>
        </w:rPr>
        <w:t>10</w:t>
      </w:r>
      <w:r w:rsidR="00A13E77" w:rsidRPr="00C11CAD">
        <w:rPr>
          <w:rFonts w:ascii="Times New Roman" w:eastAsia="標楷體" w:hAnsi="Times New Roman" w:cs="Times New Roman"/>
        </w:rPr>
        <w:t>年期、</w:t>
      </w:r>
      <w:r w:rsidR="00A13E77" w:rsidRPr="00C11CAD">
        <w:rPr>
          <w:rFonts w:ascii="Times New Roman" w:eastAsia="標楷體" w:hAnsi="Times New Roman" w:cs="Times New Roman"/>
        </w:rPr>
        <w:t>30</w:t>
      </w:r>
      <w:r w:rsidRPr="00C11CAD">
        <w:rPr>
          <w:rFonts w:ascii="Times New Roman" w:eastAsia="標楷體" w:hAnsi="Times New Roman" w:cs="Times New Roman"/>
        </w:rPr>
        <w:t>年期公債</w:t>
      </w:r>
      <w:proofErr w:type="gramStart"/>
      <w:r w:rsidRPr="00C11CAD">
        <w:rPr>
          <w:rFonts w:ascii="Times New Roman" w:eastAsia="標楷體" w:hAnsi="Times New Roman" w:cs="Times New Roman"/>
        </w:rPr>
        <w:t>殖</w:t>
      </w:r>
      <w:proofErr w:type="gramEnd"/>
      <w:r w:rsidRPr="00C11CAD">
        <w:rPr>
          <w:rFonts w:ascii="Times New Roman" w:eastAsia="標楷體" w:hAnsi="Times New Roman" w:cs="Times New Roman"/>
        </w:rPr>
        <w:t>利率上升約</w:t>
      </w:r>
      <w:r w:rsidRPr="00C11CAD">
        <w:rPr>
          <w:rFonts w:ascii="Times New Roman" w:eastAsia="標楷體" w:hAnsi="Times New Roman" w:cs="Times New Roman"/>
        </w:rPr>
        <w:t>31</w:t>
      </w:r>
      <w:r w:rsidR="00A13E77" w:rsidRPr="00C11CAD">
        <w:rPr>
          <w:rFonts w:ascii="Times New Roman" w:eastAsia="標楷體" w:hAnsi="Times New Roman" w:cs="Times New Roman"/>
        </w:rPr>
        <w:t>、</w:t>
      </w:r>
      <w:r w:rsidR="00A13E77" w:rsidRPr="00C11CAD">
        <w:rPr>
          <w:rFonts w:ascii="Times New Roman" w:eastAsia="標楷體" w:hAnsi="Times New Roman" w:cs="Times New Roman"/>
        </w:rPr>
        <w:t>36</w:t>
      </w:r>
      <w:r w:rsidRPr="00C11CAD">
        <w:rPr>
          <w:rFonts w:ascii="Times New Roman" w:eastAsia="標楷體" w:hAnsi="Times New Roman" w:cs="Times New Roman"/>
        </w:rPr>
        <w:t>個基點</w:t>
      </w:r>
      <w:r w:rsidR="00A13E77" w:rsidRPr="00C11CAD">
        <w:rPr>
          <w:rFonts w:ascii="Times New Roman" w:eastAsia="標楷體" w:hAnsi="Times New Roman" w:cs="Times New Roman"/>
        </w:rPr>
        <w:t>、</w:t>
      </w:r>
      <w:r w:rsidRPr="00C11CAD">
        <w:rPr>
          <w:rFonts w:ascii="Times New Roman" w:eastAsia="標楷體" w:hAnsi="Times New Roman" w:cs="Times New Roman"/>
        </w:rPr>
        <w:t>至</w:t>
      </w:r>
      <w:r w:rsidRPr="00C11CAD">
        <w:rPr>
          <w:rFonts w:ascii="Times New Roman" w:eastAsia="標楷體" w:hAnsi="Times New Roman" w:cs="Times New Roman"/>
        </w:rPr>
        <w:t>4.75%</w:t>
      </w:r>
      <w:r w:rsidR="00A13E77" w:rsidRPr="00C11CAD">
        <w:rPr>
          <w:rFonts w:ascii="Times New Roman" w:eastAsia="標楷體" w:hAnsi="Times New Roman" w:cs="Times New Roman"/>
        </w:rPr>
        <w:t>與</w:t>
      </w:r>
      <w:r w:rsidR="00A13E77" w:rsidRPr="00C11CAD">
        <w:rPr>
          <w:rFonts w:ascii="Times New Roman" w:eastAsia="標楷體" w:hAnsi="Times New Roman" w:cs="Times New Roman"/>
        </w:rPr>
        <w:t>5.27%</w:t>
      </w:r>
      <w:r w:rsidRPr="00C11CAD">
        <w:rPr>
          <w:rFonts w:ascii="Times New Roman" w:eastAsia="標楷體" w:hAnsi="Times New Roman" w:cs="Times New Roman"/>
        </w:rPr>
        <w:t>，顯示投資人要求更高的長期</w:t>
      </w:r>
      <w:proofErr w:type="gramStart"/>
      <w:r w:rsidRPr="00C11CAD">
        <w:rPr>
          <w:rFonts w:ascii="Times New Roman" w:eastAsia="標楷體" w:hAnsi="Times New Roman" w:cs="Times New Roman"/>
        </w:rPr>
        <w:t>期限溢酬</w:t>
      </w:r>
      <w:proofErr w:type="gramEnd"/>
      <w:r w:rsidRPr="00C11CAD">
        <w:rPr>
          <w:rFonts w:ascii="Times New Roman" w:eastAsia="標楷體" w:hAnsi="Times New Roman" w:cs="Times New Roman"/>
        </w:rPr>
        <w:t>，以反映通膨、財政赤字及政策可信度風險。</w:t>
      </w:r>
    </w:p>
    <w:p w14:paraId="0C10D69C" w14:textId="5A0A3857" w:rsidR="002D676D" w:rsidRPr="00C11CAD" w:rsidRDefault="00F71BC2"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在上述市場環境下，基金績效呈現兩項明顯特徵：股票型基金績效主要受到市場產業結構與投資風格影響；債券型基金則因</w:t>
      </w:r>
      <w:proofErr w:type="gramStart"/>
      <w:r w:rsidRPr="00C11CAD">
        <w:rPr>
          <w:rFonts w:ascii="Times New Roman" w:eastAsia="標楷體" w:hAnsi="Times New Roman" w:cs="Times New Roman"/>
        </w:rPr>
        <w:t>殖</w:t>
      </w:r>
      <w:proofErr w:type="gramEnd"/>
      <w:r w:rsidRPr="00C11CAD">
        <w:rPr>
          <w:rFonts w:ascii="Times New Roman" w:eastAsia="標楷體" w:hAnsi="Times New Roman" w:cs="Times New Roman"/>
        </w:rPr>
        <w:t>利率曲線陡峭化，使長天期投資等級債券承受較大價格壓力。</w:t>
      </w:r>
      <w:r w:rsidR="002D676D" w:rsidRPr="00C11CAD">
        <w:rPr>
          <w:rFonts w:ascii="Times New Roman" w:eastAsia="標楷體" w:hAnsi="Times New Roman" w:cs="Times New Roman"/>
        </w:rPr>
        <w:t xml:space="preserve"> </w:t>
      </w:r>
    </w:p>
    <w:p w14:paraId="2EFAD11C" w14:textId="558A1BFC" w:rsidR="009F2689" w:rsidRPr="00C11CAD" w:rsidRDefault="002D676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就國內股票型基金而言，</w:t>
      </w:r>
      <w:r w:rsidRPr="00C11CAD">
        <w:rPr>
          <w:rFonts w:ascii="Times New Roman" w:eastAsia="標楷體" w:hAnsi="Times New Roman" w:cs="Times New Roman"/>
        </w:rPr>
        <w:t>3</w:t>
      </w:r>
      <w:r w:rsidR="009F2689" w:rsidRPr="00C11CAD">
        <w:rPr>
          <w:rFonts w:ascii="Times New Roman" w:eastAsia="標楷體" w:hAnsi="Times New Roman" w:cs="Times New Roman"/>
        </w:rPr>
        <w:t>28</w:t>
      </w:r>
      <w:r w:rsidRPr="00C11CAD">
        <w:rPr>
          <w:rFonts w:ascii="Times New Roman" w:eastAsia="標楷體" w:hAnsi="Times New Roman" w:cs="Times New Roman"/>
        </w:rPr>
        <w:t>檔投資國內股票基金</w:t>
      </w:r>
      <w:r w:rsidR="009F2689" w:rsidRPr="00C11CAD">
        <w:rPr>
          <w:rFonts w:ascii="Times New Roman" w:eastAsia="標楷體" w:hAnsi="Times New Roman" w:cs="Times New Roman"/>
        </w:rPr>
        <w:t>之</w:t>
      </w:r>
      <w:r w:rsidR="009F2689" w:rsidRPr="00C11CAD">
        <w:rPr>
          <w:rFonts w:ascii="Times New Roman" w:eastAsia="標楷體" w:hAnsi="Times New Roman" w:cs="Times New Roman"/>
        </w:rPr>
        <w:t>7</w:t>
      </w:r>
      <w:r w:rsidR="009F2689" w:rsidRPr="00C11CAD">
        <w:rPr>
          <w:rFonts w:ascii="Times New Roman" w:eastAsia="標楷體" w:hAnsi="Times New Roman" w:cs="Times New Roman"/>
        </w:rPr>
        <w:t>月平均報酬率為</w:t>
      </w:r>
      <w:r w:rsidR="009F2689" w:rsidRPr="00C11CAD">
        <w:rPr>
          <w:rFonts w:ascii="Times New Roman" w:eastAsia="標楷體" w:hAnsi="Times New Roman" w:cs="Times New Roman"/>
        </w:rPr>
        <w:t xml:space="preserve">     -14.61%</w:t>
      </w:r>
      <w:r w:rsidR="009F2689" w:rsidRPr="00C11CAD">
        <w:rPr>
          <w:rFonts w:ascii="Times New Roman" w:eastAsia="標楷體" w:hAnsi="Times New Roman" w:cs="Times New Roman"/>
        </w:rPr>
        <w:t>，有</w:t>
      </w:r>
      <w:r w:rsidR="009F2689" w:rsidRPr="00C11CAD">
        <w:rPr>
          <w:rFonts w:ascii="Times New Roman" w:eastAsia="標楷體" w:hAnsi="Times New Roman" w:cs="Times New Roman"/>
        </w:rPr>
        <w:t>14.63%</w:t>
      </w:r>
      <w:r w:rsidR="009F2689" w:rsidRPr="00C11CAD">
        <w:rPr>
          <w:rFonts w:ascii="Times New Roman" w:eastAsia="標楷體" w:hAnsi="Times New Roman" w:cs="Times New Roman"/>
        </w:rPr>
        <w:t>的基金優於大盤表現</w:t>
      </w:r>
      <w:r w:rsidR="009F2689" w:rsidRPr="00C11CAD">
        <w:rPr>
          <w:rFonts w:ascii="Times New Roman" w:eastAsia="標楷體" w:hAnsi="Times New Roman" w:cs="Times New Roman"/>
        </w:rPr>
        <w:t>(</w:t>
      </w:r>
      <w:r w:rsidR="009F2689" w:rsidRPr="00C11CAD">
        <w:rPr>
          <w:rFonts w:ascii="Times New Roman" w:eastAsia="標楷體" w:hAnsi="Times New Roman" w:cs="Times New Roman"/>
        </w:rPr>
        <w:t>報酬率</w:t>
      </w:r>
      <w:r w:rsidR="009F2689" w:rsidRPr="00C11CAD">
        <w:rPr>
          <w:rFonts w:ascii="Times New Roman" w:eastAsia="標楷體" w:hAnsi="Times New Roman" w:cs="Times New Roman"/>
        </w:rPr>
        <w:t>-6.52%)</w:t>
      </w:r>
      <w:r w:rsidR="009F2689" w:rsidRPr="00C11CAD">
        <w:rPr>
          <w:rFonts w:ascii="Times New Roman" w:eastAsia="標楷體" w:hAnsi="Times New Roman" w:cs="Times New Roman"/>
        </w:rPr>
        <w:t>。而</w:t>
      </w:r>
      <w:r w:rsidRPr="00C11CAD">
        <w:rPr>
          <w:rFonts w:ascii="Times New Roman" w:eastAsia="標楷體" w:hAnsi="Times New Roman" w:cs="Times New Roman"/>
        </w:rPr>
        <w:t>7</w:t>
      </w:r>
      <w:r w:rsidRPr="00C11CAD">
        <w:rPr>
          <w:rFonts w:ascii="Times New Roman" w:eastAsia="標楷體" w:hAnsi="Times New Roman" w:cs="Times New Roman"/>
        </w:rPr>
        <w:t>月份三個月</w:t>
      </w:r>
      <w:r w:rsidR="00990358" w:rsidRPr="00C11CAD">
        <w:rPr>
          <w:rFonts w:ascii="Times New Roman" w:eastAsia="標楷體" w:hAnsi="Times New Roman" w:cs="Times New Roman"/>
        </w:rPr>
        <w:t>(5</w:t>
      </w:r>
      <w:r w:rsidR="00990358" w:rsidRPr="00C11CAD">
        <w:rPr>
          <w:rFonts w:ascii="Times New Roman" w:eastAsia="標楷體" w:hAnsi="Times New Roman" w:cs="Times New Roman"/>
        </w:rPr>
        <w:t>月至</w:t>
      </w:r>
      <w:r w:rsidR="00990358" w:rsidRPr="00C11CAD">
        <w:rPr>
          <w:rFonts w:ascii="Times New Roman" w:eastAsia="標楷體" w:hAnsi="Times New Roman" w:cs="Times New Roman"/>
        </w:rPr>
        <w:t>7</w:t>
      </w:r>
      <w:r w:rsidR="00990358" w:rsidRPr="00C11CAD">
        <w:rPr>
          <w:rFonts w:ascii="Times New Roman" w:eastAsia="標楷體" w:hAnsi="Times New Roman" w:cs="Times New Roman"/>
        </w:rPr>
        <w:t>月</w:t>
      </w:r>
      <w:r w:rsidR="00990358" w:rsidRPr="00C11CAD">
        <w:rPr>
          <w:rFonts w:ascii="Times New Roman" w:eastAsia="標楷體" w:hAnsi="Times New Roman" w:cs="Times New Roman"/>
        </w:rPr>
        <w:t>)</w:t>
      </w:r>
      <w:bookmarkStart w:id="1" w:name="_Hlk236916365"/>
      <w:r w:rsidRPr="00C11CAD">
        <w:rPr>
          <w:rFonts w:ascii="Times New Roman" w:eastAsia="標楷體" w:hAnsi="Times New Roman" w:cs="Times New Roman"/>
        </w:rPr>
        <w:t>平均報酬率</w:t>
      </w:r>
      <w:bookmarkEnd w:id="1"/>
      <w:r w:rsidRPr="00C11CAD">
        <w:rPr>
          <w:rFonts w:ascii="Times New Roman" w:eastAsia="標楷體" w:hAnsi="Times New Roman" w:cs="Times New Roman"/>
        </w:rPr>
        <w:t>為</w:t>
      </w:r>
      <w:r w:rsidR="009F2689" w:rsidRPr="00C11CAD">
        <w:rPr>
          <w:rFonts w:ascii="Times New Roman" w:eastAsia="標楷體" w:hAnsi="Times New Roman" w:cs="Times New Roman"/>
        </w:rPr>
        <w:t xml:space="preserve"> </w:t>
      </w:r>
      <w:r w:rsidRPr="00C11CAD">
        <w:rPr>
          <w:rFonts w:ascii="Times New Roman" w:eastAsia="標楷體" w:hAnsi="Times New Roman" w:cs="Times New Roman"/>
        </w:rPr>
        <w:t>-2.3%</w:t>
      </w:r>
      <w:r w:rsidRPr="00C11CAD">
        <w:rPr>
          <w:rFonts w:ascii="Times New Roman" w:eastAsia="標楷體" w:hAnsi="Times New Roman" w:cs="Times New Roman"/>
        </w:rPr>
        <w:t>，有</w:t>
      </w:r>
      <w:r w:rsidRPr="00C11CAD">
        <w:rPr>
          <w:rFonts w:ascii="Times New Roman" w:eastAsia="標楷體" w:hAnsi="Times New Roman" w:cs="Times New Roman"/>
        </w:rPr>
        <w:t>22.08%</w:t>
      </w:r>
      <w:r w:rsidRPr="00C11CAD">
        <w:rPr>
          <w:rFonts w:ascii="Times New Roman" w:eastAsia="標楷體" w:hAnsi="Times New Roman" w:cs="Times New Roman"/>
        </w:rPr>
        <w:t>的基金優於同期大盤表現</w:t>
      </w:r>
      <w:r w:rsidRPr="00C11CAD">
        <w:rPr>
          <w:rFonts w:ascii="Times New Roman" w:eastAsia="標楷體" w:hAnsi="Times New Roman" w:cs="Times New Roman"/>
        </w:rPr>
        <w:t>(</w:t>
      </w:r>
      <w:r w:rsidRPr="00C11CAD">
        <w:rPr>
          <w:rFonts w:ascii="Times New Roman" w:eastAsia="標楷體" w:hAnsi="Times New Roman" w:cs="Times New Roman"/>
        </w:rPr>
        <w:t>報酬率</w:t>
      </w:r>
      <w:r w:rsidRPr="00C11CAD">
        <w:rPr>
          <w:rFonts w:ascii="Times New Roman" w:eastAsia="標楷體" w:hAnsi="Times New Roman" w:cs="Times New Roman"/>
        </w:rPr>
        <w:t>10.77%)</w:t>
      </w:r>
      <w:r w:rsidRPr="00C11CAD">
        <w:rPr>
          <w:rFonts w:ascii="Times New Roman" w:eastAsia="標楷體" w:hAnsi="Times New Roman" w:cs="Times New Roman"/>
        </w:rPr>
        <w:t>；若觀察年初至</w:t>
      </w:r>
      <w:r w:rsidRPr="00C11CAD">
        <w:rPr>
          <w:rFonts w:ascii="Times New Roman" w:eastAsia="標楷體" w:hAnsi="Times New Roman" w:cs="Times New Roman"/>
        </w:rPr>
        <w:t>7</w:t>
      </w:r>
      <w:r w:rsidRPr="00C11CAD">
        <w:rPr>
          <w:rFonts w:ascii="Times New Roman" w:eastAsia="標楷體" w:hAnsi="Times New Roman" w:cs="Times New Roman"/>
        </w:rPr>
        <w:t>月底</w:t>
      </w:r>
      <w:r w:rsidR="00990358" w:rsidRPr="00C11CAD">
        <w:rPr>
          <w:rFonts w:ascii="Times New Roman" w:eastAsia="標楷體" w:hAnsi="Times New Roman" w:cs="Times New Roman"/>
        </w:rPr>
        <w:t>(YTD)</w:t>
      </w:r>
      <w:r w:rsidRPr="00C11CAD">
        <w:rPr>
          <w:rFonts w:ascii="Times New Roman" w:eastAsia="標楷體" w:hAnsi="Times New Roman" w:cs="Times New Roman"/>
        </w:rPr>
        <w:t>的平均報酬率為</w:t>
      </w:r>
      <w:r w:rsidRPr="00C11CAD">
        <w:rPr>
          <w:rFonts w:ascii="Times New Roman" w:eastAsia="標楷體" w:hAnsi="Times New Roman" w:cs="Times New Roman"/>
        </w:rPr>
        <w:t>52.18%</w:t>
      </w:r>
      <w:r w:rsidRPr="00C11CAD">
        <w:rPr>
          <w:rFonts w:ascii="Times New Roman" w:eastAsia="標楷體" w:hAnsi="Times New Roman" w:cs="Times New Roman"/>
        </w:rPr>
        <w:t>，</w:t>
      </w:r>
      <w:r w:rsidR="006D37B9" w:rsidRPr="00C11CAD">
        <w:rPr>
          <w:rFonts w:ascii="Times New Roman" w:eastAsia="標楷體" w:hAnsi="Times New Roman" w:cs="Times New Roman"/>
        </w:rPr>
        <w:t>則</w:t>
      </w:r>
      <w:r w:rsidRPr="00C11CAD">
        <w:rPr>
          <w:rFonts w:ascii="Times New Roman" w:eastAsia="標楷體" w:hAnsi="Times New Roman" w:cs="Times New Roman"/>
        </w:rPr>
        <w:t>有</w:t>
      </w:r>
      <w:r w:rsidRPr="00C11CAD">
        <w:rPr>
          <w:rFonts w:ascii="Times New Roman" w:eastAsia="標楷體" w:hAnsi="Times New Roman" w:cs="Times New Roman"/>
        </w:rPr>
        <w:t>59.26%</w:t>
      </w:r>
      <w:r w:rsidRPr="00C11CAD">
        <w:rPr>
          <w:rFonts w:ascii="Times New Roman" w:eastAsia="標楷體" w:hAnsi="Times New Roman" w:cs="Times New Roman"/>
        </w:rPr>
        <w:t>的基金擊敗同期大盤</w:t>
      </w:r>
      <w:r w:rsidRPr="00C11CAD">
        <w:rPr>
          <w:rFonts w:ascii="Times New Roman" w:eastAsia="標楷體" w:hAnsi="Times New Roman" w:cs="Times New Roman"/>
        </w:rPr>
        <w:t>(</w:t>
      </w:r>
      <w:r w:rsidRPr="00C11CAD">
        <w:rPr>
          <w:rFonts w:ascii="Times New Roman" w:eastAsia="標楷體" w:hAnsi="Times New Roman" w:cs="Times New Roman"/>
        </w:rPr>
        <w:t>報酬率</w:t>
      </w:r>
      <w:r w:rsidRPr="00C11CAD">
        <w:rPr>
          <w:rFonts w:ascii="Times New Roman" w:eastAsia="標楷體" w:hAnsi="Times New Roman" w:cs="Times New Roman"/>
        </w:rPr>
        <w:t>48.88%)</w:t>
      </w:r>
      <w:r w:rsidRPr="00C11CAD">
        <w:rPr>
          <w:rFonts w:ascii="Times New Roman" w:eastAsia="標楷體" w:hAnsi="Times New Roman" w:cs="Times New Roman"/>
        </w:rPr>
        <w:t>。</w:t>
      </w:r>
    </w:p>
    <w:p w14:paraId="5F45495D" w14:textId="55EAEDE4" w:rsidR="002D676D" w:rsidRPr="00C11CAD" w:rsidRDefault="002D676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lastRenderedPageBreak/>
        <w:t>進一步觀察主動型台股基金六個子類別的表現，</w:t>
      </w:r>
      <w:r w:rsidRPr="00C11CAD">
        <w:rPr>
          <w:rFonts w:ascii="Times New Roman" w:eastAsia="標楷體" w:hAnsi="Times New Roman" w:cs="Times New Roman"/>
        </w:rPr>
        <w:t>7</w:t>
      </w:r>
      <w:r w:rsidRPr="00C11CAD">
        <w:rPr>
          <w:rFonts w:ascii="Times New Roman" w:eastAsia="標楷體" w:hAnsi="Times New Roman" w:cs="Times New Roman"/>
        </w:rPr>
        <w:t>月份三個月平均報酬率，價值型的表現領先各子類</w:t>
      </w:r>
      <w:r w:rsidR="00990358" w:rsidRPr="00C11CAD">
        <w:rPr>
          <w:rFonts w:ascii="Times New Roman" w:eastAsia="標楷體" w:hAnsi="Times New Roman" w:cs="Times New Roman"/>
        </w:rPr>
        <w:t>(</w:t>
      </w:r>
      <w:r w:rsidRPr="00C11CAD">
        <w:rPr>
          <w:rFonts w:ascii="Times New Roman" w:eastAsia="標楷體" w:hAnsi="Times New Roman" w:cs="Times New Roman"/>
        </w:rPr>
        <w:t>11.6%</w:t>
      </w:r>
      <w:r w:rsidR="00990358" w:rsidRPr="00C11CAD">
        <w:rPr>
          <w:rFonts w:ascii="Times New Roman" w:eastAsia="標楷體" w:hAnsi="Times New Roman" w:cs="Times New Roman"/>
        </w:rPr>
        <w:t>)</w:t>
      </w:r>
      <w:r w:rsidRPr="00C11CAD">
        <w:rPr>
          <w:rFonts w:ascii="Times New Roman" w:eastAsia="標楷體" w:hAnsi="Times New Roman" w:cs="Times New Roman"/>
        </w:rPr>
        <w:t>，一般</w:t>
      </w:r>
      <w:proofErr w:type="gramStart"/>
      <w:r w:rsidRPr="00C11CAD">
        <w:rPr>
          <w:rFonts w:ascii="Times New Roman" w:eastAsia="標楷體" w:hAnsi="Times New Roman" w:cs="Times New Roman"/>
        </w:rPr>
        <w:t>股票型居次</w:t>
      </w:r>
      <w:proofErr w:type="gramEnd"/>
      <w:r w:rsidR="00990358" w:rsidRPr="00C11CAD">
        <w:rPr>
          <w:rFonts w:ascii="Times New Roman" w:eastAsia="標楷體" w:hAnsi="Times New Roman" w:cs="Times New Roman"/>
        </w:rPr>
        <w:t>(</w:t>
      </w:r>
      <w:r w:rsidRPr="00C11CAD">
        <w:rPr>
          <w:rFonts w:ascii="Times New Roman" w:eastAsia="標楷體" w:hAnsi="Times New Roman" w:cs="Times New Roman"/>
        </w:rPr>
        <w:t>-8.04%</w:t>
      </w:r>
      <w:r w:rsidR="00990358" w:rsidRPr="00C11CAD">
        <w:rPr>
          <w:rFonts w:ascii="Times New Roman" w:eastAsia="標楷體" w:hAnsi="Times New Roman" w:cs="Times New Roman"/>
        </w:rPr>
        <w:t>)</w:t>
      </w:r>
      <w:r w:rsidRPr="00C11CAD">
        <w:rPr>
          <w:rFonts w:ascii="Times New Roman" w:eastAsia="標楷體" w:hAnsi="Times New Roman" w:cs="Times New Roman"/>
        </w:rPr>
        <w:t>，其它類型的報酬率在</w:t>
      </w:r>
      <w:r w:rsidRPr="00C11CAD">
        <w:rPr>
          <w:rFonts w:ascii="Times New Roman" w:eastAsia="標楷體" w:hAnsi="Times New Roman" w:cs="Times New Roman"/>
        </w:rPr>
        <w:t>-11%</w:t>
      </w:r>
      <w:r w:rsidRPr="00C11CAD">
        <w:rPr>
          <w:rFonts w:ascii="Times New Roman" w:eastAsia="標楷體" w:hAnsi="Times New Roman" w:cs="Times New Roman"/>
        </w:rPr>
        <w:t>至</w:t>
      </w:r>
      <w:r w:rsidRPr="00C11CAD">
        <w:rPr>
          <w:rFonts w:ascii="Times New Roman" w:eastAsia="標楷體" w:hAnsi="Times New Roman" w:cs="Times New Roman"/>
        </w:rPr>
        <w:t>-15%</w:t>
      </w:r>
      <w:r w:rsidRPr="00C11CAD">
        <w:rPr>
          <w:rFonts w:ascii="Times New Roman" w:eastAsia="標楷體" w:hAnsi="Times New Roman" w:cs="Times New Roman"/>
        </w:rPr>
        <w:t>之間。而年初至</w:t>
      </w:r>
      <w:r w:rsidRPr="00C11CAD">
        <w:rPr>
          <w:rFonts w:ascii="Times New Roman" w:eastAsia="標楷體" w:hAnsi="Times New Roman" w:cs="Times New Roman"/>
        </w:rPr>
        <w:t>7</w:t>
      </w:r>
      <w:r w:rsidRPr="00C11CAD">
        <w:rPr>
          <w:rFonts w:ascii="Times New Roman" w:eastAsia="標楷體" w:hAnsi="Times New Roman" w:cs="Times New Roman"/>
        </w:rPr>
        <w:t>月底平均報酬率，價值型績效相對表現最低為</w:t>
      </w:r>
      <w:r w:rsidRPr="00C11CAD">
        <w:rPr>
          <w:rFonts w:ascii="Times New Roman" w:eastAsia="標楷體" w:hAnsi="Times New Roman" w:cs="Times New Roman"/>
        </w:rPr>
        <w:t>45.76%</w:t>
      </w:r>
      <w:r w:rsidRPr="00C11CAD">
        <w:rPr>
          <w:rFonts w:ascii="Times New Roman" w:eastAsia="標楷體" w:hAnsi="Times New Roman" w:cs="Times New Roman"/>
        </w:rPr>
        <w:t>，中小型最佳</w:t>
      </w:r>
      <w:r w:rsidRPr="00C11CAD">
        <w:rPr>
          <w:rFonts w:ascii="Times New Roman" w:eastAsia="標楷體" w:hAnsi="Times New Roman" w:cs="Times New Roman"/>
        </w:rPr>
        <w:t>63.58%</w:t>
      </w:r>
      <w:r w:rsidRPr="00C11CAD">
        <w:rPr>
          <w:rFonts w:ascii="Times New Roman" w:eastAsia="標楷體" w:hAnsi="Times New Roman" w:cs="Times New Roman"/>
        </w:rPr>
        <w:t>。整體而言，主動式台股基金在</w:t>
      </w:r>
      <w:r w:rsidRPr="00C11CAD">
        <w:rPr>
          <w:rFonts w:ascii="Times New Roman" w:eastAsia="標楷體" w:hAnsi="Times New Roman" w:cs="Times New Roman"/>
        </w:rPr>
        <w:t>7</w:t>
      </w:r>
      <w:r w:rsidRPr="00C11CAD">
        <w:rPr>
          <w:rFonts w:ascii="Times New Roman" w:eastAsia="標楷體" w:hAnsi="Times New Roman" w:cs="Times New Roman"/>
        </w:rPr>
        <w:t>月份台股上下振盪時期，</w:t>
      </w:r>
      <w:r w:rsidR="009328F4" w:rsidRPr="00C11CAD">
        <w:rPr>
          <w:rFonts w:ascii="Times New Roman" w:eastAsia="標楷體" w:hAnsi="Times New Roman" w:cs="Times New Roman"/>
        </w:rPr>
        <w:t>基金經理人的選股與調整部位</w:t>
      </w:r>
      <w:r w:rsidRPr="00C11CAD">
        <w:rPr>
          <w:rFonts w:ascii="Times New Roman" w:eastAsia="標楷體" w:hAnsi="Times New Roman" w:cs="Times New Roman"/>
        </w:rPr>
        <w:t>明顯受到</w:t>
      </w:r>
      <w:r w:rsidR="00990358" w:rsidRPr="00C11CAD">
        <w:rPr>
          <w:rFonts w:ascii="Times New Roman" w:eastAsia="標楷體" w:hAnsi="Times New Roman" w:cs="Times New Roman"/>
        </w:rPr>
        <w:t>衝擊</w:t>
      </w:r>
      <w:r w:rsidRPr="00C11CAD">
        <w:rPr>
          <w:rFonts w:ascii="Times New Roman" w:eastAsia="標楷體" w:hAnsi="Times New Roman" w:cs="Times New Roman"/>
        </w:rPr>
        <w:t>。若拉長到七個月</w:t>
      </w:r>
      <w:proofErr w:type="gramStart"/>
      <w:r w:rsidRPr="00C11CAD">
        <w:rPr>
          <w:rFonts w:ascii="Times New Roman" w:eastAsia="標楷體" w:hAnsi="Times New Roman" w:cs="Times New Roman"/>
        </w:rPr>
        <w:t>期間，</w:t>
      </w:r>
      <w:proofErr w:type="gramEnd"/>
      <w:r w:rsidRPr="00C11CAD">
        <w:rPr>
          <w:rFonts w:ascii="Times New Roman" w:eastAsia="標楷體" w:hAnsi="Times New Roman" w:cs="Times New Roman"/>
        </w:rPr>
        <w:t>則有近六成的基金表現優於市場大盤。</w:t>
      </w:r>
    </w:p>
    <w:p w14:paraId="151DCC51" w14:textId="5A3C49E0" w:rsidR="002D676D" w:rsidRPr="00C11CAD" w:rsidRDefault="002D676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64</w:t>
      </w:r>
      <w:r w:rsidRPr="00C11CAD">
        <w:rPr>
          <w:rFonts w:ascii="Times New Roman" w:eastAsia="標楷體" w:hAnsi="Times New Roman" w:cs="Times New Roman"/>
        </w:rPr>
        <w:t>檔一般型</w:t>
      </w:r>
      <w:r w:rsidRPr="00C11CAD">
        <w:rPr>
          <w:rFonts w:ascii="Times New Roman" w:eastAsia="標楷體" w:hAnsi="Times New Roman" w:cs="Times New Roman"/>
        </w:rPr>
        <w:t>ETF</w:t>
      </w:r>
      <w:r w:rsidRPr="00C11CAD">
        <w:rPr>
          <w:rFonts w:ascii="Times New Roman" w:eastAsia="標楷體" w:hAnsi="Times New Roman" w:cs="Times New Roman"/>
        </w:rPr>
        <w:t>方面，</w:t>
      </w:r>
      <w:r w:rsidR="009F2689" w:rsidRPr="00C11CAD">
        <w:rPr>
          <w:rFonts w:ascii="Times New Roman" w:eastAsia="標楷體" w:hAnsi="Times New Roman" w:cs="Times New Roman"/>
        </w:rPr>
        <w:t>7</w:t>
      </w:r>
      <w:r w:rsidR="009F2689" w:rsidRPr="00C11CAD">
        <w:rPr>
          <w:rFonts w:ascii="Times New Roman" w:eastAsia="標楷體" w:hAnsi="Times New Roman" w:cs="Times New Roman"/>
        </w:rPr>
        <w:t>月平均報酬率為</w:t>
      </w:r>
      <w:r w:rsidR="009F2689" w:rsidRPr="00C11CAD">
        <w:rPr>
          <w:rFonts w:ascii="Times New Roman" w:eastAsia="標楷體" w:hAnsi="Times New Roman" w:cs="Times New Roman"/>
        </w:rPr>
        <w:t>-6.61%</w:t>
      </w:r>
      <w:r w:rsidR="009F2689" w:rsidRPr="00C11CAD">
        <w:rPr>
          <w:rFonts w:ascii="Times New Roman" w:eastAsia="標楷體" w:hAnsi="Times New Roman" w:cs="Times New Roman"/>
        </w:rPr>
        <w:t>，與大盤表現</w:t>
      </w:r>
      <w:r w:rsidR="00592BD7" w:rsidRPr="00C11CAD">
        <w:rPr>
          <w:rFonts w:ascii="Times New Roman" w:eastAsia="標楷體" w:hAnsi="Times New Roman" w:cs="Times New Roman"/>
        </w:rPr>
        <w:t>相似</w:t>
      </w:r>
      <w:r w:rsidR="009F2689" w:rsidRPr="00C11CAD">
        <w:rPr>
          <w:rFonts w:ascii="Times New Roman" w:eastAsia="標楷體" w:hAnsi="Times New Roman" w:cs="Times New Roman"/>
        </w:rPr>
        <w:t>。而</w:t>
      </w:r>
      <w:r w:rsidRPr="00C11CAD">
        <w:rPr>
          <w:rFonts w:ascii="Times New Roman" w:eastAsia="標楷體" w:hAnsi="Times New Roman" w:cs="Times New Roman"/>
        </w:rPr>
        <w:t>7</w:t>
      </w:r>
      <w:r w:rsidRPr="00C11CAD">
        <w:rPr>
          <w:rFonts w:ascii="Times New Roman" w:eastAsia="標楷體" w:hAnsi="Times New Roman" w:cs="Times New Roman"/>
        </w:rPr>
        <w:t>月份三個月平均報酬率為</w:t>
      </w:r>
      <w:r w:rsidRPr="00C11CAD">
        <w:rPr>
          <w:rFonts w:ascii="Times New Roman" w:eastAsia="標楷體" w:hAnsi="Times New Roman" w:cs="Times New Roman"/>
        </w:rPr>
        <w:t>15.33%</w:t>
      </w:r>
      <w:r w:rsidRPr="00C11CAD">
        <w:rPr>
          <w:rFonts w:ascii="Times New Roman" w:eastAsia="標楷體" w:hAnsi="Times New Roman" w:cs="Times New Roman"/>
        </w:rPr>
        <w:t>，有</w:t>
      </w:r>
      <w:r w:rsidRPr="00C11CAD">
        <w:rPr>
          <w:rFonts w:ascii="Times New Roman" w:eastAsia="標楷體" w:hAnsi="Times New Roman" w:cs="Times New Roman"/>
        </w:rPr>
        <w:t>68.75%</w:t>
      </w:r>
      <w:r w:rsidRPr="00C11CAD">
        <w:rPr>
          <w:rFonts w:ascii="Times New Roman" w:eastAsia="標楷體" w:hAnsi="Times New Roman" w:cs="Times New Roman"/>
        </w:rPr>
        <w:t>檔高於大盤</w:t>
      </w:r>
      <w:r w:rsidR="009328F4" w:rsidRPr="00C11CAD">
        <w:rPr>
          <w:rFonts w:ascii="Times New Roman" w:eastAsia="標楷體" w:hAnsi="Times New Roman" w:cs="Times New Roman"/>
        </w:rPr>
        <w:t>表現</w:t>
      </w:r>
      <w:r w:rsidRPr="00C11CAD">
        <w:rPr>
          <w:rFonts w:ascii="Times New Roman" w:eastAsia="標楷體" w:hAnsi="Times New Roman" w:cs="Times New Roman"/>
        </w:rPr>
        <w:t>；而年初至</w:t>
      </w:r>
      <w:r w:rsidRPr="00C11CAD">
        <w:rPr>
          <w:rFonts w:ascii="Times New Roman" w:eastAsia="標楷體" w:hAnsi="Times New Roman" w:cs="Times New Roman"/>
        </w:rPr>
        <w:t>7</w:t>
      </w:r>
      <w:r w:rsidRPr="00C11CAD">
        <w:rPr>
          <w:rFonts w:ascii="Times New Roman" w:eastAsia="標楷體" w:hAnsi="Times New Roman" w:cs="Times New Roman"/>
        </w:rPr>
        <w:t>月底平均報酬率為</w:t>
      </w:r>
      <w:r w:rsidRPr="00C11CAD">
        <w:rPr>
          <w:rFonts w:ascii="Times New Roman" w:eastAsia="標楷體" w:hAnsi="Times New Roman" w:cs="Times New Roman"/>
        </w:rPr>
        <w:t>51.47%</w:t>
      </w:r>
      <w:r w:rsidRPr="00C11CAD">
        <w:rPr>
          <w:rFonts w:ascii="Times New Roman" w:eastAsia="標楷體" w:hAnsi="Times New Roman" w:cs="Times New Roman"/>
        </w:rPr>
        <w:t>，有</w:t>
      </w:r>
      <w:r w:rsidRPr="00C11CAD">
        <w:rPr>
          <w:rFonts w:ascii="Times New Roman" w:eastAsia="標楷體" w:hAnsi="Times New Roman" w:cs="Times New Roman"/>
        </w:rPr>
        <w:t>53.97%</w:t>
      </w:r>
      <w:r w:rsidRPr="00C11CAD">
        <w:rPr>
          <w:rFonts w:ascii="Times New Roman" w:eastAsia="標楷體" w:hAnsi="Times New Roman" w:cs="Times New Roman"/>
        </w:rPr>
        <w:t>檔高於大盤表現。其中，各子類基金，</w:t>
      </w:r>
      <w:r w:rsidRPr="00C11CAD">
        <w:rPr>
          <w:rFonts w:ascii="Times New Roman" w:eastAsia="標楷體" w:hAnsi="Times New Roman" w:cs="Times New Roman"/>
        </w:rPr>
        <w:t>7</w:t>
      </w:r>
      <w:r w:rsidRPr="00C11CAD">
        <w:rPr>
          <w:rFonts w:ascii="Times New Roman" w:eastAsia="標楷體" w:hAnsi="Times New Roman" w:cs="Times New Roman"/>
        </w:rPr>
        <w:t>月份三個月平均報酬率是以高股息</w:t>
      </w:r>
      <w:r w:rsidRPr="00C11CAD">
        <w:rPr>
          <w:rFonts w:ascii="Times New Roman" w:eastAsia="標楷體" w:hAnsi="Times New Roman" w:cs="Times New Roman"/>
        </w:rPr>
        <w:t>ETF</w:t>
      </w:r>
      <w:r w:rsidRPr="00C11CAD">
        <w:rPr>
          <w:rFonts w:ascii="Times New Roman" w:eastAsia="標楷體" w:hAnsi="Times New Roman" w:cs="Times New Roman"/>
        </w:rPr>
        <w:t>最高</w:t>
      </w:r>
      <w:r w:rsidR="009328F4" w:rsidRPr="00C11CAD">
        <w:rPr>
          <w:rFonts w:ascii="Times New Roman" w:eastAsia="標楷體" w:hAnsi="Times New Roman" w:cs="Times New Roman"/>
        </w:rPr>
        <w:t>(</w:t>
      </w:r>
      <w:r w:rsidRPr="00C11CAD">
        <w:rPr>
          <w:rFonts w:ascii="Times New Roman" w:eastAsia="標楷體" w:hAnsi="Times New Roman" w:cs="Times New Roman"/>
        </w:rPr>
        <w:t>23.44%</w:t>
      </w:r>
      <w:r w:rsidR="009328F4" w:rsidRPr="00C11CAD">
        <w:rPr>
          <w:rFonts w:ascii="Times New Roman" w:eastAsia="標楷體" w:hAnsi="Times New Roman" w:cs="Times New Roman"/>
        </w:rPr>
        <w:t>)</w:t>
      </w:r>
      <w:r w:rsidRPr="00C11CAD">
        <w:rPr>
          <w:rFonts w:ascii="Times New Roman" w:eastAsia="標楷體" w:hAnsi="Times New Roman" w:cs="Times New Roman"/>
        </w:rPr>
        <w:t>；但在年初至</w:t>
      </w:r>
      <w:r w:rsidRPr="00C11CAD">
        <w:rPr>
          <w:rFonts w:ascii="Times New Roman" w:eastAsia="標楷體" w:hAnsi="Times New Roman" w:cs="Times New Roman"/>
        </w:rPr>
        <w:t>7</w:t>
      </w:r>
      <w:r w:rsidRPr="00C11CAD">
        <w:rPr>
          <w:rFonts w:ascii="Times New Roman" w:eastAsia="標楷體" w:hAnsi="Times New Roman" w:cs="Times New Roman"/>
        </w:rPr>
        <w:t>月底平均報酬率，高股息</w:t>
      </w:r>
      <w:r w:rsidRPr="00C11CAD">
        <w:rPr>
          <w:rFonts w:ascii="Times New Roman" w:eastAsia="標楷體" w:hAnsi="Times New Roman" w:cs="Times New Roman"/>
        </w:rPr>
        <w:t>ETF</w:t>
      </w:r>
      <w:r w:rsidRPr="00C11CAD">
        <w:rPr>
          <w:rFonts w:ascii="Times New Roman" w:eastAsia="標楷體" w:hAnsi="Times New Roman" w:cs="Times New Roman"/>
        </w:rPr>
        <w:t>反變成最低</w:t>
      </w:r>
      <w:r w:rsidR="009328F4" w:rsidRPr="00C11CAD">
        <w:rPr>
          <w:rFonts w:ascii="Times New Roman" w:eastAsia="標楷體" w:hAnsi="Times New Roman" w:cs="Times New Roman"/>
        </w:rPr>
        <w:t>(</w:t>
      </w:r>
      <w:r w:rsidRPr="00C11CAD">
        <w:rPr>
          <w:rFonts w:ascii="Times New Roman" w:eastAsia="標楷體" w:hAnsi="Times New Roman" w:cs="Times New Roman"/>
        </w:rPr>
        <w:t>40.82%</w:t>
      </w:r>
      <w:r w:rsidR="009328F4" w:rsidRPr="00C11CAD">
        <w:rPr>
          <w:rFonts w:ascii="Times New Roman" w:eastAsia="標楷體" w:hAnsi="Times New Roman" w:cs="Times New Roman"/>
        </w:rPr>
        <w:t>)</w:t>
      </w:r>
      <w:r w:rsidRPr="00C11CAD">
        <w:rPr>
          <w:rFonts w:ascii="Times New Roman" w:eastAsia="標楷體" w:hAnsi="Times New Roman" w:cs="Times New Roman"/>
        </w:rPr>
        <w:t>。至於</w:t>
      </w:r>
      <w:r w:rsidRPr="00C11CAD">
        <w:rPr>
          <w:rFonts w:ascii="Times New Roman" w:eastAsia="標楷體" w:hAnsi="Times New Roman" w:cs="Times New Roman"/>
        </w:rPr>
        <w:t>18</w:t>
      </w:r>
      <w:r w:rsidRPr="00C11CAD">
        <w:rPr>
          <w:rFonts w:ascii="Times New Roman" w:eastAsia="標楷體" w:hAnsi="Times New Roman" w:cs="Times New Roman"/>
        </w:rPr>
        <w:t>檔指數型</w:t>
      </w:r>
      <w:r w:rsidR="009328F4" w:rsidRPr="00C11CAD">
        <w:rPr>
          <w:rFonts w:ascii="Times New Roman" w:eastAsia="標楷體" w:hAnsi="Times New Roman" w:cs="Times New Roman"/>
        </w:rPr>
        <w:t>(</w:t>
      </w:r>
      <w:r w:rsidRPr="00C11CAD">
        <w:rPr>
          <w:rFonts w:ascii="Times New Roman" w:eastAsia="標楷體" w:hAnsi="Times New Roman" w:cs="Times New Roman"/>
        </w:rPr>
        <w:t>非</w:t>
      </w:r>
      <w:r w:rsidRPr="00C11CAD">
        <w:rPr>
          <w:rFonts w:ascii="Times New Roman" w:eastAsia="標楷體" w:hAnsi="Times New Roman" w:cs="Times New Roman"/>
        </w:rPr>
        <w:t>ETF</w:t>
      </w:r>
      <w:r w:rsidR="009328F4" w:rsidRPr="00C11CAD">
        <w:rPr>
          <w:rFonts w:ascii="Times New Roman" w:eastAsia="標楷體" w:hAnsi="Times New Roman" w:cs="Times New Roman"/>
        </w:rPr>
        <w:t>)</w:t>
      </w:r>
      <w:r w:rsidRPr="00C11CAD">
        <w:rPr>
          <w:rFonts w:ascii="Times New Roman" w:eastAsia="標楷體" w:hAnsi="Times New Roman" w:cs="Times New Roman"/>
        </w:rPr>
        <w:t>基金，上述兩個期間平均報酬率分別為</w:t>
      </w:r>
      <w:r w:rsidRPr="00C11CAD">
        <w:rPr>
          <w:rFonts w:ascii="Times New Roman" w:eastAsia="標楷體" w:hAnsi="Times New Roman" w:cs="Times New Roman"/>
        </w:rPr>
        <w:t>11.45%</w:t>
      </w:r>
      <w:r w:rsidRPr="00C11CAD">
        <w:rPr>
          <w:rFonts w:ascii="Times New Roman" w:eastAsia="標楷體" w:hAnsi="Times New Roman" w:cs="Times New Roman"/>
        </w:rPr>
        <w:t>及</w:t>
      </w:r>
      <w:r w:rsidRPr="00C11CAD">
        <w:rPr>
          <w:rFonts w:ascii="Times New Roman" w:eastAsia="標楷體" w:hAnsi="Times New Roman" w:cs="Times New Roman"/>
        </w:rPr>
        <w:t>43.46%</w:t>
      </w:r>
      <w:r w:rsidRPr="00C11CAD">
        <w:rPr>
          <w:rFonts w:ascii="Times New Roman" w:eastAsia="標楷體" w:hAnsi="Times New Roman" w:cs="Times New Roman"/>
        </w:rPr>
        <w:t>，低於一般型</w:t>
      </w:r>
      <w:r w:rsidRPr="00C11CAD">
        <w:rPr>
          <w:rFonts w:ascii="Times New Roman" w:eastAsia="標楷體" w:hAnsi="Times New Roman" w:cs="Times New Roman"/>
        </w:rPr>
        <w:t>ETF</w:t>
      </w:r>
      <w:r w:rsidRPr="00C11CAD">
        <w:rPr>
          <w:rFonts w:ascii="Times New Roman" w:eastAsia="標楷體" w:hAnsi="Times New Roman" w:cs="Times New Roman"/>
        </w:rPr>
        <w:t>。</w:t>
      </w:r>
    </w:p>
    <w:p w14:paraId="6E0DF627" w14:textId="0BD12FC7" w:rsidR="002D676D" w:rsidRPr="00C11CAD" w:rsidRDefault="002D676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另外，</w:t>
      </w:r>
      <w:r w:rsidR="00592BD7" w:rsidRPr="00C11CAD">
        <w:rPr>
          <w:rFonts w:ascii="Times New Roman" w:eastAsia="標楷體" w:hAnsi="Times New Roman" w:cs="Times New Roman"/>
        </w:rPr>
        <w:t>20</w:t>
      </w:r>
      <w:r w:rsidRPr="00C11CAD">
        <w:rPr>
          <w:rFonts w:ascii="Times New Roman" w:eastAsia="標楷體" w:hAnsi="Times New Roman" w:cs="Times New Roman"/>
        </w:rPr>
        <w:t>檔國內主動式</w:t>
      </w:r>
      <w:r w:rsidRPr="00C11CAD">
        <w:rPr>
          <w:rFonts w:ascii="Times New Roman" w:eastAsia="標楷體" w:hAnsi="Times New Roman" w:cs="Times New Roman"/>
        </w:rPr>
        <w:t>ETF</w:t>
      </w:r>
      <w:r w:rsidR="009328F4" w:rsidRPr="00C11CAD">
        <w:rPr>
          <w:rFonts w:ascii="Times New Roman" w:eastAsia="標楷體" w:hAnsi="Times New Roman" w:cs="Times New Roman"/>
        </w:rPr>
        <w:t>之</w:t>
      </w:r>
      <w:r w:rsidR="00592BD7" w:rsidRPr="00C11CAD">
        <w:rPr>
          <w:rFonts w:ascii="Times New Roman" w:eastAsia="標楷體" w:hAnsi="Times New Roman" w:cs="Times New Roman"/>
        </w:rPr>
        <w:t>7</w:t>
      </w:r>
      <w:r w:rsidR="00592BD7" w:rsidRPr="00C11CAD">
        <w:rPr>
          <w:rFonts w:ascii="Times New Roman" w:eastAsia="標楷體" w:hAnsi="Times New Roman" w:cs="Times New Roman"/>
        </w:rPr>
        <w:t>月平均報酬率為</w:t>
      </w:r>
      <w:r w:rsidR="006D37B9" w:rsidRPr="00C11CAD">
        <w:rPr>
          <w:rFonts w:ascii="Times New Roman" w:eastAsia="標楷體" w:hAnsi="Times New Roman" w:cs="Times New Roman"/>
        </w:rPr>
        <w:t xml:space="preserve"> </w:t>
      </w:r>
      <w:r w:rsidR="00592BD7" w:rsidRPr="00C11CAD">
        <w:rPr>
          <w:rFonts w:ascii="Times New Roman" w:eastAsia="標楷體" w:hAnsi="Times New Roman" w:cs="Times New Roman"/>
        </w:rPr>
        <w:t>-16.03%</w:t>
      </w:r>
      <w:r w:rsidR="00592BD7" w:rsidRPr="00C11CAD">
        <w:rPr>
          <w:rFonts w:ascii="Times New Roman" w:eastAsia="標楷體" w:hAnsi="Times New Roman" w:cs="Times New Roman"/>
        </w:rPr>
        <w:t>，全部低於大盤表現。而</w:t>
      </w:r>
      <w:r w:rsidRPr="00C11CAD">
        <w:rPr>
          <w:rFonts w:ascii="Times New Roman" w:eastAsia="標楷體" w:hAnsi="Times New Roman" w:cs="Times New Roman"/>
        </w:rPr>
        <w:t>7</w:t>
      </w:r>
      <w:r w:rsidRPr="00C11CAD">
        <w:rPr>
          <w:rFonts w:ascii="Times New Roman" w:eastAsia="標楷體" w:hAnsi="Times New Roman" w:cs="Times New Roman"/>
        </w:rPr>
        <w:t>月份三個月平均報酬率</w:t>
      </w:r>
      <w:r w:rsidRPr="00C11CAD">
        <w:rPr>
          <w:rFonts w:ascii="Times New Roman" w:eastAsia="標楷體" w:hAnsi="Times New Roman" w:cs="Times New Roman"/>
        </w:rPr>
        <w:t>-4.99%</w:t>
      </w:r>
      <w:r w:rsidRPr="00C11CAD">
        <w:rPr>
          <w:rFonts w:ascii="Times New Roman" w:eastAsia="標楷體" w:hAnsi="Times New Roman" w:cs="Times New Roman"/>
        </w:rPr>
        <w:t>，</w:t>
      </w:r>
      <w:r w:rsidR="00592BD7" w:rsidRPr="00C11CAD">
        <w:rPr>
          <w:rFonts w:ascii="Times New Roman" w:eastAsia="標楷體" w:hAnsi="Times New Roman" w:cs="Times New Roman"/>
        </w:rPr>
        <w:t>亦</w:t>
      </w:r>
      <w:r w:rsidRPr="00C11CAD">
        <w:rPr>
          <w:rFonts w:ascii="Times New Roman" w:eastAsia="標楷體" w:hAnsi="Times New Roman" w:cs="Times New Roman"/>
        </w:rPr>
        <w:t>全部低於大盤表現；而年初至</w:t>
      </w:r>
      <w:r w:rsidRPr="00C11CAD">
        <w:rPr>
          <w:rFonts w:ascii="Times New Roman" w:eastAsia="標楷體" w:hAnsi="Times New Roman" w:cs="Times New Roman"/>
        </w:rPr>
        <w:t>7</w:t>
      </w:r>
      <w:r w:rsidRPr="00C11CAD">
        <w:rPr>
          <w:rFonts w:ascii="Times New Roman" w:eastAsia="標楷體" w:hAnsi="Times New Roman" w:cs="Times New Roman"/>
        </w:rPr>
        <w:t>月底平均報酬率</w:t>
      </w:r>
      <w:r w:rsidRPr="00C11CAD">
        <w:rPr>
          <w:rFonts w:ascii="Times New Roman" w:eastAsia="標楷體" w:hAnsi="Times New Roman" w:cs="Times New Roman"/>
        </w:rPr>
        <w:t>45.81%</w:t>
      </w:r>
      <w:r w:rsidRPr="00C11CAD">
        <w:rPr>
          <w:rFonts w:ascii="Times New Roman" w:eastAsia="標楷體" w:hAnsi="Times New Roman" w:cs="Times New Roman"/>
        </w:rPr>
        <w:t>，</w:t>
      </w:r>
      <w:r w:rsidR="009328F4" w:rsidRPr="00C11CAD">
        <w:rPr>
          <w:rFonts w:ascii="Times New Roman" w:eastAsia="標楷體" w:hAnsi="Times New Roman" w:cs="Times New Roman"/>
        </w:rPr>
        <w:t>則</w:t>
      </w:r>
      <w:r w:rsidRPr="00C11CAD">
        <w:rPr>
          <w:rFonts w:ascii="Times New Roman" w:eastAsia="標楷體" w:hAnsi="Times New Roman" w:cs="Times New Roman"/>
        </w:rPr>
        <w:t>有</w:t>
      </w:r>
      <w:r w:rsidRPr="00C11CAD">
        <w:rPr>
          <w:rFonts w:ascii="Times New Roman" w:eastAsia="標楷體" w:hAnsi="Times New Roman" w:cs="Times New Roman"/>
        </w:rPr>
        <w:t>1/3</w:t>
      </w:r>
      <w:r w:rsidRPr="00C11CAD">
        <w:rPr>
          <w:rFonts w:ascii="Times New Roman" w:eastAsia="標楷體" w:hAnsi="Times New Roman" w:cs="Times New Roman"/>
        </w:rPr>
        <w:t>的基金優於大盤表現。這些數據表示，</w:t>
      </w:r>
      <w:r w:rsidRPr="00C11CAD">
        <w:rPr>
          <w:rFonts w:ascii="Times New Roman" w:eastAsia="標楷體" w:hAnsi="Times New Roman" w:cs="Times New Roman"/>
        </w:rPr>
        <w:t>7</w:t>
      </w:r>
      <w:r w:rsidRPr="00C11CAD">
        <w:rPr>
          <w:rFonts w:ascii="Times New Roman" w:eastAsia="標楷體" w:hAnsi="Times New Roman" w:cs="Times New Roman"/>
        </w:rPr>
        <w:t>月份股市先大幅度下跌、月底反彈的走勢，主動式</w:t>
      </w:r>
      <w:r w:rsidRPr="00C11CAD">
        <w:rPr>
          <w:rFonts w:ascii="Times New Roman" w:eastAsia="標楷體" w:hAnsi="Times New Roman" w:cs="Times New Roman"/>
        </w:rPr>
        <w:t>ETF</w:t>
      </w:r>
      <w:r w:rsidRPr="00C11CAD">
        <w:rPr>
          <w:rFonts w:ascii="Times New Roman" w:eastAsia="標楷體" w:hAnsi="Times New Roman" w:cs="Times New Roman"/>
        </w:rPr>
        <w:t>的表現受到明顯的</w:t>
      </w:r>
      <w:r w:rsidR="009328F4" w:rsidRPr="00C11CAD">
        <w:rPr>
          <w:rFonts w:ascii="Times New Roman" w:eastAsia="標楷體" w:hAnsi="Times New Roman" w:cs="Times New Roman"/>
        </w:rPr>
        <w:t>衝擊</w:t>
      </w:r>
      <w:r w:rsidRPr="00C11CAD">
        <w:rPr>
          <w:rFonts w:ascii="Times New Roman" w:eastAsia="標楷體" w:hAnsi="Times New Roman" w:cs="Times New Roman"/>
        </w:rPr>
        <w:t>。</w:t>
      </w:r>
    </w:p>
    <w:p w14:paraId="6501F143" w14:textId="721C4156" w:rsidR="002D676D" w:rsidRPr="00C11CAD" w:rsidRDefault="00F45EF5"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在</w:t>
      </w:r>
      <w:r w:rsidR="002D676D" w:rsidRPr="00C11CAD">
        <w:rPr>
          <w:rFonts w:ascii="Times New Roman" w:eastAsia="標楷體" w:hAnsi="Times New Roman" w:cs="Times New Roman"/>
        </w:rPr>
        <w:t>跨國股票型基金方面，</w:t>
      </w:r>
      <w:r w:rsidR="002D676D" w:rsidRPr="00C11CAD">
        <w:rPr>
          <w:rFonts w:ascii="Times New Roman" w:eastAsia="標楷體" w:hAnsi="Times New Roman" w:cs="Times New Roman"/>
        </w:rPr>
        <w:t>9</w:t>
      </w:r>
      <w:r w:rsidR="0001386E" w:rsidRPr="00C11CAD">
        <w:rPr>
          <w:rFonts w:ascii="Times New Roman" w:eastAsia="標楷體" w:hAnsi="Times New Roman" w:cs="Times New Roman"/>
        </w:rPr>
        <w:t>20</w:t>
      </w:r>
      <w:proofErr w:type="gramStart"/>
      <w:r w:rsidR="002D676D" w:rsidRPr="00C11CAD">
        <w:rPr>
          <w:rFonts w:ascii="Times New Roman" w:eastAsia="標楷體" w:hAnsi="Times New Roman" w:cs="Times New Roman"/>
        </w:rPr>
        <w:t>檔</w:t>
      </w:r>
      <w:r w:rsidR="00367DB4" w:rsidRPr="00C11CAD">
        <w:rPr>
          <w:rFonts w:ascii="Times New Roman" w:eastAsia="標楷體" w:hAnsi="Times New Roman" w:cs="Times New Roman"/>
        </w:rPr>
        <w:t>全幣別</w:t>
      </w:r>
      <w:r w:rsidR="0001386E" w:rsidRPr="00C11CAD">
        <w:rPr>
          <w:rFonts w:ascii="Times New Roman" w:eastAsia="標楷體" w:hAnsi="Times New Roman" w:cs="Times New Roman"/>
        </w:rPr>
        <w:t>之</w:t>
      </w:r>
      <w:bookmarkStart w:id="2" w:name="_Hlk236920616"/>
      <w:proofErr w:type="gramEnd"/>
      <w:r w:rsidR="0001386E" w:rsidRPr="00C11CAD">
        <w:rPr>
          <w:rFonts w:ascii="Times New Roman" w:eastAsia="標楷體" w:hAnsi="Times New Roman" w:cs="Times New Roman"/>
        </w:rPr>
        <w:t>7</w:t>
      </w:r>
      <w:r w:rsidR="0001386E" w:rsidRPr="00C11CAD">
        <w:rPr>
          <w:rFonts w:ascii="Times New Roman" w:eastAsia="標楷體" w:hAnsi="Times New Roman" w:cs="Times New Roman"/>
        </w:rPr>
        <w:t>月平均報酬率為</w:t>
      </w:r>
      <w:r w:rsidR="0001386E" w:rsidRPr="00C11CAD">
        <w:rPr>
          <w:rFonts w:ascii="Times New Roman" w:eastAsia="標楷體" w:hAnsi="Times New Roman" w:cs="Times New Roman"/>
        </w:rPr>
        <w:t xml:space="preserve"> -7.7</w:t>
      </w:r>
      <w:r w:rsidR="00640DB1" w:rsidRPr="00C11CAD">
        <w:rPr>
          <w:rFonts w:ascii="Times New Roman" w:eastAsia="標楷體" w:hAnsi="Times New Roman" w:cs="Times New Roman" w:hint="eastAsia"/>
        </w:rPr>
        <w:t>7</w:t>
      </w:r>
      <w:r w:rsidR="0001386E" w:rsidRPr="00C11CAD">
        <w:rPr>
          <w:rFonts w:ascii="Times New Roman" w:eastAsia="標楷體" w:hAnsi="Times New Roman" w:cs="Times New Roman"/>
        </w:rPr>
        <w:t>%</w:t>
      </w:r>
      <w:r w:rsidR="0001386E" w:rsidRPr="00C11CAD">
        <w:rPr>
          <w:rFonts w:ascii="Times New Roman" w:eastAsia="標楷體" w:hAnsi="Times New Roman" w:cs="Times New Roman"/>
        </w:rPr>
        <w:t>，而</w:t>
      </w:r>
      <w:r w:rsidR="002D676D" w:rsidRPr="00C11CAD">
        <w:rPr>
          <w:rFonts w:ascii="Times New Roman" w:eastAsia="標楷體" w:hAnsi="Times New Roman" w:cs="Times New Roman"/>
        </w:rPr>
        <w:t>7</w:t>
      </w:r>
      <w:r w:rsidR="002D676D" w:rsidRPr="00C11CAD">
        <w:rPr>
          <w:rFonts w:ascii="Times New Roman" w:eastAsia="標楷體" w:hAnsi="Times New Roman" w:cs="Times New Roman"/>
        </w:rPr>
        <w:t>月份三個月平均報酬率為</w:t>
      </w:r>
      <w:r w:rsidR="002D676D" w:rsidRPr="00C11CAD">
        <w:rPr>
          <w:rFonts w:ascii="Times New Roman" w:eastAsia="標楷體" w:hAnsi="Times New Roman" w:cs="Times New Roman"/>
        </w:rPr>
        <w:t>0.</w:t>
      </w:r>
      <w:r w:rsidR="00640DB1" w:rsidRPr="00C11CAD">
        <w:rPr>
          <w:rFonts w:ascii="Times New Roman" w:eastAsia="標楷體" w:hAnsi="Times New Roman" w:cs="Times New Roman" w:hint="eastAsia"/>
        </w:rPr>
        <w:t>31</w:t>
      </w:r>
      <w:r w:rsidR="002D676D" w:rsidRPr="00C11CAD">
        <w:rPr>
          <w:rFonts w:ascii="Times New Roman" w:eastAsia="標楷體" w:hAnsi="Times New Roman" w:cs="Times New Roman"/>
        </w:rPr>
        <w:t>%</w:t>
      </w:r>
      <w:r w:rsidR="002D676D" w:rsidRPr="00C11CAD">
        <w:rPr>
          <w:rFonts w:ascii="Times New Roman" w:eastAsia="標楷體" w:hAnsi="Times New Roman" w:cs="Times New Roman"/>
        </w:rPr>
        <w:t>，年初至</w:t>
      </w:r>
      <w:r w:rsidR="002D676D" w:rsidRPr="00C11CAD">
        <w:rPr>
          <w:rFonts w:ascii="Times New Roman" w:eastAsia="標楷體" w:hAnsi="Times New Roman" w:cs="Times New Roman"/>
        </w:rPr>
        <w:t>7</w:t>
      </w:r>
      <w:r w:rsidR="002D676D" w:rsidRPr="00C11CAD">
        <w:rPr>
          <w:rFonts w:ascii="Times New Roman" w:eastAsia="標楷體" w:hAnsi="Times New Roman" w:cs="Times New Roman"/>
        </w:rPr>
        <w:t>月底平均報酬率為</w:t>
      </w:r>
      <w:r w:rsidR="002D676D" w:rsidRPr="00C11CAD">
        <w:rPr>
          <w:rFonts w:ascii="Times New Roman" w:eastAsia="標楷體" w:hAnsi="Times New Roman" w:cs="Times New Roman"/>
        </w:rPr>
        <w:t>14.</w:t>
      </w:r>
      <w:r w:rsidR="00640DB1" w:rsidRPr="00C11CAD">
        <w:rPr>
          <w:rFonts w:ascii="Times New Roman" w:eastAsia="標楷體" w:hAnsi="Times New Roman" w:cs="Times New Roman" w:hint="eastAsia"/>
        </w:rPr>
        <w:t>21</w:t>
      </w:r>
      <w:r w:rsidR="002D676D" w:rsidRPr="00C11CAD">
        <w:rPr>
          <w:rFonts w:ascii="Times New Roman" w:eastAsia="標楷體" w:hAnsi="Times New Roman" w:cs="Times New Roman"/>
        </w:rPr>
        <w:t>%</w:t>
      </w:r>
      <w:r w:rsidR="002D676D" w:rsidRPr="00C11CAD">
        <w:rPr>
          <w:rFonts w:ascii="Times New Roman" w:eastAsia="標楷體" w:hAnsi="Times New Roman" w:cs="Times New Roman"/>
        </w:rPr>
        <w:t>。</w:t>
      </w:r>
      <w:bookmarkEnd w:id="2"/>
      <w:r w:rsidR="002D676D" w:rsidRPr="00C11CAD">
        <w:rPr>
          <w:rFonts w:ascii="Times New Roman" w:eastAsia="標楷體" w:hAnsi="Times New Roman" w:cs="Times New Roman"/>
        </w:rPr>
        <w:t>其中</w:t>
      </w:r>
      <w:r w:rsidR="0001386E" w:rsidRPr="00C11CAD">
        <w:rPr>
          <w:rFonts w:ascii="Times New Roman" w:eastAsia="標楷體" w:hAnsi="Times New Roman" w:cs="Times New Roman"/>
        </w:rPr>
        <w:t>，</w:t>
      </w:r>
      <w:r w:rsidR="002D676D" w:rsidRPr="00C11CAD">
        <w:rPr>
          <w:rFonts w:ascii="Times New Roman" w:eastAsia="標楷體" w:hAnsi="Times New Roman" w:cs="Times New Roman"/>
        </w:rPr>
        <w:t>規模最大的</w:t>
      </w:r>
      <w:bookmarkStart w:id="3" w:name="_Hlk236920841"/>
      <w:r w:rsidR="002D676D" w:rsidRPr="00C11CAD">
        <w:rPr>
          <w:rFonts w:ascii="Times New Roman" w:eastAsia="標楷體" w:hAnsi="Times New Roman" w:cs="Times New Roman"/>
        </w:rPr>
        <w:t>全球一般股票型基金</w:t>
      </w:r>
      <w:bookmarkEnd w:id="3"/>
      <w:r w:rsidR="009328F4" w:rsidRPr="00C11CAD">
        <w:rPr>
          <w:rFonts w:ascii="Times New Roman" w:eastAsia="標楷體" w:hAnsi="Times New Roman" w:cs="Times New Roman"/>
        </w:rPr>
        <w:t>(</w:t>
      </w:r>
      <w:r w:rsidR="002D676D" w:rsidRPr="00C11CAD">
        <w:rPr>
          <w:rFonts w:ascii="Times New Roman" w:eastAsia="標楷體" w:hAnsi="Times New Roman" w:cs="Times New Roman"/>
        </w:rPr>
        <w:t>37</w:t>
      </w:r>
      <w:r w:rsidR="0001386E" w:rsidRPr="00C11CAD">
        <w:rPr>
          <w:rFonts w:ascii="Times New Roman" w:eastAsia="標楷體" w:hAnsi="Times New Roman" w:cs="Times New Roman"/>
        </w:rPr>
        <w:t>7</w:t>
      </w:r>
      <w:r w:rsidR="002D676D" w:rsidRPr="00C11CAD">
        <w:rPr>
          <w:rFonts w:ascii="Times New Roman" w:eastAsia="標楷體" w:hAnsi="Times New Roman" w:cs="Times New Roman"/>
        </w:rPr>
        <w:t>檔</w:t>
      </w:r>
      <w:r w:rsidR="009328F4" w:rsidRPr="00C11CAD">
        <w:rPr>
          <w:rFonts w:ascii="Times New Roman" w:eastAsia="標楷體" w:hAnsi="Times New Roman" w:cs="Times New Roman"/>
        </w:rPr>
        <w:t>)</w:t>
      </w:r>
      <w:r w:rsidR="002D676D" w:rsidRPr="00C11CAD">
        <w:rPr>
          <w:rFonts w:ascii="Times New Roman" w:eastAsia="標楷體" w:hAnsi="Times New Roman" w:cs="Times New Roman"/>
        </w:rPr>
        <w:t>之</w:t>
      </w:r>
      <w:r w:rsidR="0001386E" w:rsidRPr="00C11CAD">
        <w:rPr>
          <w:rFonts w:ascii="Times New Roman" w:eastAsia="標楷體" w:hAnsi="Times New Roman" w:cs="Times New Roman"/>
        </w:rPr>
        <w:t>7</w:t>
      </w:r>
      <w:r w:rsidR="0001386E" w:rsidRPr="00C11CAD">
        <w:rPr>
          <w:rFonts w:ascii="Times New Roman" w:eastAsia="標楷體" w:hAnsi="Times New Roman" w:cs="Times New Roman"/>
        </w:rPr>
        <w:t>月平均報酬率為</w:t>
      </w:r>
      <w:r w:rsidR="0001386E" w:rsidRPr="00C11CAD">
        <w:rPr>
          <w:rFonts w:ascii="Times New Roman" w:eastAsia="標楷體" w:hAnsi="Times New Roman" w:cs="Times New Roman"/>
        </w:rPr>
        <w:t xml:space="preserve"> -7.</w:t>
      </w:r>
      <w:r w:rsidR="00640DB1" w:rsidRPr="00C11CAD">
        <w:rPr>
          <w:rFonts w:ascii="Times New Roman" w:eastAsia="標楷體" w:hAnsi="Times New Roman" w:cs="Times New Roman" w:hint="eastAsia"/>
        </w:rPr>
        <w:t>69</w:t>
      </w:r>
      <w:r w:rsidR="0001386E" w:rsidRPr="00C11CAD">
        <w:rPr>
          <w:rFonts w:ascii="Times New Roman" w:eastAsia="標楷體" w:hAnsi="Times New Roman" w:cs="Times New Roman"/>
        </w:rPr>
        <w:t>%</w:t>
      </w:r>
      <w:r w:rsidR="0001386E" w:rsidRPr="00C11CAD">
        <w:rPr>
          <w:rFonts w:ascii="Times New Roman" w:eastAsia="標楷體" w:hAnsi="Times New Roman" w:cs="Times New Roman"/>
        </w:rPr>
        <w:t>，而</w:t>
      </w:r>
      <w:bookmarkStart w:id="4" w:name="_Hlk236921214"/>
      <w:r w:rsidR="0001386E" w:rsidRPr="00C11CAD">
        <w:rPr>
          <w:rFonts w:ascii="Times New Roman" w:eastAsia="標楷體" w:hAnsi="Times New Roman" w:cs="Times New Roman"/>
        </w:rPr>
        <w:t>7</w:t>
      </w:r>
      <w:r w:rsidR="0001386E" w:rsidRPr="00C11CAD">
        <w:rPr>
          <w:rFonts w:ascii="Times New Roman" w:eastAsia="標楷體" w:hAnsi="Times New Roman" w:cs="Times New Roman"/>
        </w:rPr>
        <w:t>月份</w:t>
      </w:r>
      <w:bookmarkEnd w:id="4"/>
      <w:r w:rsidR="0001386E" w:rsidRPr="00C11CAD">
        <w:rPr>
          <w:rFonts w:ascii="Times New Roman" w:eastAsia="標楷體" w:hAnsi="Times New Roman" w:cs="Times New Roman"/>
        </w:rPr>
        <w:t>三個月平均報酬率為</w:t>
      </w:r>
      <w:r w:rsidR="0001386E" w:rsidRPr="00C11CAD">
        <w:rPr>
          <w:rFonts w:ascii="Times New Roman" w:eastAsia="標楷體" w:hAnsi="Times New Roman" w:cs="Times New Roman"/>
        </w:rPr>
        <w:t>1.1</w:t>
      </w:r>
      <w:r w:rsidR="00640DB1" w:rsidRPr="00C11CAD">
        <w:rPr>
          <w:rFonts w:ascii="Times New Roman" w:eastAsia="標楷體" w:hAnsi="Times New Roman" w:cs="Times New Roman" w:hint="eastAsia"/>
        </w:rPr>
        <w:t>9</w:t>
      </w:r>
      <w:r w:rsidR="0001386E" w:rsidRPr="00C11CAD">
        <w:rPr>
          <w:rFonts w:ascii="Times New Roman" w:eastAsia="標楷體" w:hAnsi="Times New Roman" w:cs="Times New Roman"/>
        </w:rPr>
        <w:t>%</w:t>
      </w:r>
      <w:r w:rsidR="0001386E" w:rsidRPr="00C11CAD">
        <w:rPr>
          <w:rFonts w:ascii="Times New Roman" w:eastAsia="標楷體" w:hAnsi="Times New Roman" w:cs="Times New Roman"/>
        </w:rPr>
        <w:t>，年初至</w:t>
      </w:r>
      <w:r w:rsidR="0001386E" w:rsidRPr="00C11CAD">
        <w:rPr>
          <w:rFonts w:ascii="Times New Roman" w:eastAsia="標楷體" w:hAnsi="Times New Roman" w:cs="Times New Roman"/>
        </w:rPr>
        <w:t>7</w:t>
      </w:r>
      <w:r w:rsidR="0001386E" w:rsidRPr="00C11CAD">
        <w:rPr>
          <w:rFonts w:ascii="Times New Roman" w:eastAsia="標楷體" w:hAnsi="Times New Roman" w:cs="Times New Roman"/>
        </w:rPr>
        <w:t>月底</w:t>
      </w:r>
      <w:bookmarkStart w:id="5" w:name="_Hlk236921070"/>
      <w:r w:rsidR="0001386E" w:rsidRPr="00C11CAD">
        <w:rPr>
          <w:rFonts w:ascii="Times New Roman" w:eastAsia="標楷體" w:hAnsi="Times New Roman" w:cs="Times New Roman"/>
        </w:rPr>
        <w:t>平均</w:t>
      </w:r>
      <w:bookmarkEnd w:id="5"/>
      <w:r w:rsidR="0001386E" w:rsidRPr="00C11CAD">
        <w:rPr>
          <w:rFonts w:ascii="Times New Roman" w:eastAsia="標楷體" w:hAnsi="Times New Roman" w:cs="Times New Roman"/>
        </w:rPr>
        <w:t>報酬率為</w:t>
      </w:r>
      <w:r w:rsidR="0001386E" w:rsidRPr="00C11CAD">
        <w:rPr>
          <w:rFonts w:ascii="Times New Roman" w:eastAsia="標楷體" w:hAnsi="Times New Roman" w:cs="Times New Roman"/>
        </w:rPr>
        <w:t>1</w:t>
      </w:r>
      <w:r w:rsidR="00640DB1" w:rsidRPr="00C11CAD">
        <w:rPr>
          <w:rFonts w:ascii="Times New Roman" w:eastAsia="標楷體" w:hAnsi="Times New Roman" w:cs="Times New Roman" w:hint="eastAsia"/>
        </w:rPr>
        <w:t>6.05</w:t>
      </w:r>
      <w:r w:rsidR="0001386E" w:rsidRPr="00C11CAD">
        <w:rPr>
          <w:rFonts w:ascii="Times New Roman" w:eastAsia="標楷體" w:hAnsi="Times New Roman" w:cs="Times New Roman"/>
        </w:rPr>
        <w:t>%</w:t>
      </w:r>
      <w:r w:rsidR="0001386E" w:rsidRPr="00C11CAD">
        <w:rPr>
          <w:rFonts w:ascii="Times New Roman" w:eastAsia="標楷體" w:hAnsi="Times New Roman" w:cs="Times New Roman"/>
        </w:rPr>
        <w:t>；若</w:t>
      </w:r>
      <w:r w:rsidR="0001386E" w:rsidRPr="00C11CAD">
        <w:rPr>
          <w:rFonts w:ascii="Times New Roman" w:eastAsia="標楷體" w:hAnsi="Times New Roman" w:cs="Times New Roman"/>
        </w:rPr>
        <w:t xml:space="preserve"> MSCI</w:t>
      </w:r>
      <w:r w:rsidR="0001386E" w:rsidRPr="00C11CAD">
        <w:rPr>
          <w:rFonts w:ascii="Times New Roman" w:eastAsia="標楷體" w:hAnsi="Times New Roman" w:cs="Times New Roman"/>
        </w:rPr>
        <w:t>世界指數同期表現</w:t>
      </w:r>
      <w:r w:rsidR="0001386E" w:rsidRPr="00C11CAD">
        <w:rPr>
          <w:rFonts w:ascii="Times New Roman" w:eastAsia="標楷體" w:hAnsi="Times New Roman" w:cs="Times New Roman"/>
        </w:rPr>
        <w:t>(0.1 %</w:t>
      </w:r>
      <w:r w:rsidR="0001386E" w:rsidRPr="00C11CAD">
        <w:rPr>
          <w:rFonts w:ascii="Times New Roman" w:eastAsia="標楷體" w:hAnsi="Times New Roman" w:cs="Times New Roman"/>
        </w:rPr>
        <w:t>、</w:t>
      </w:r>
      <w:r w:rsidR="0001386E" w:rsidRPr="00C11CAD">
        <w:rPr>
          <w:rFonts w:ascii="Times New Roman" w:eastAsia="標楷體" w:hAnsi="Times New Roman" w:cs="Times New Roman"/>
        </w:rPr>
        <w:t>4.5%</w:t>
      </w:r>
      <w:r w:rsidR="0001386E" w:rsidRPr="00C11CAD">
        <w:rPr>
          <w:rFonts w:ascii="Times New Roman" w:eastAsia="標楷體" w:hAnsi="Times New Roman" w:cs="Times New Roman"/>
        </w:rPr>
        <w:t>、</w:t>
      </w:r>
      <w:r w:rsidR="0001386E" w:rsidRPr="00C11CAD">
        <w:rPr>
          <w:rFonts w:ascii="Times New Roman" w:eastAsia="標楷體" w:hAnsi="Times New Roman" w:cs="Times New Roman"/>
        </w:rPr>
        <w:t>11.6%)</w:t>
      </w:r>
      <w:r w:rsidR="0001386E" w:rsidRPr="00C11CAD">
        <w:rPr>
          <w:rFonts w:ascii="Times New Roman" w:eastAsia="標楷體" w:hAnsi="Times New Roman" w:cs="Times New Roman"/>
        </w:rPr>
        <w:t>，全球一般股票型基金在一個月與</w:t>
      </w:r>
      <w:bookmarkStart w:id="6" w:name="_Hlk236920984"/>
      <w:r w:rsidR="0001386E" w:rsidRPr="00C11CAD">
        <w:rPr>
          <w:rFonts w:ascii="Times New Roman" w:eastAsia="標楷體" w:hAnsi="Times New Roman" w:cs="Times New Roman"/>
        </w:rPr>
        <w:t>三個月</w:t>
      </w:r>
      <w:bookmarkEnd w:id="6"/>
      <w:r w:rsidR="0001386E" w:rsidRPr="00C11CAD">
        <w:rPr>
          <w:rFonts w:ascii="Times New Roman" w:eastAsia="標楷體" w:hAnsi="Times New Roman" w:cs="Times New Roman"/>
        </w:rPr>
        <w:t>的表現比較低，但在年初至</w:t>
      </w:r>
      <w:r w:rsidR="0001386E" w:rsidRPr="00C11CAD">
        <w:rPr>
          <w:rFonts w:ascii="Times New Roman" w:eastAsia="標楷體" w:hAnsi="Times New Roman" w:cs="Times New Roman"/>
        </w:rPr>
        <w:t>7</w:t>
      </w:r>
      <w:r w:rsidR="0001386E" w:rsidRPr="00C11CAD">
        <w:rPr>
          <w:rFonts w:ascii="Times New Roman" w:eastAsia="標楷體" w:hAnsi="Times New Roman" w:cs="Times New Roman"/>
        </w:rPr>
        <w:t>月底</w:t>
      </w:r>
      <w:r w:rsidRPr="00C11CAD">
        <w:rPr>
          <w:rFonts w:ascii="Times New Roman" w:eastAsia="標楷體" w:hAnsi="Times New Roman" w:cs="Times New Roman"/>
        </w:rPr>
        <w:t>的表現則比較高。</w:t>
      </w:r>
      <w:r w:rsidR="00367DB4" w:rsidRPr="00C11CAD">
        <w:rPr>
          <w:rFonts w:ascii="Times New Roman" w:eastAsia="標楷體" w:hAnsi="Times New Roman" w:cs="Times New Roman"/>
        </w:rPr>
        <w:t>接下來亦</w:t>
      </w:r>
      <w:proofErr w:type="gramStart"/>
      <w:r w:rsidR="00367DB4" w:rsidRPr="00C11CAD">
        <w:rPr>
          <w:rFonts w:ascii="Times New Roman" w:eastAsia="標楷體" w:hAnsi="Times New Roman" w:cs="Times New Roman"/>
        </w:rPr>
        <w:t>以全幣別</w:t>
      </w:r>
      <w:proofErr w:type="gramEnd"/>
      <w:r w:rsidRPr="00C11CAD">
        <w:rPr>
          <w:rFonts w:ascii="Times New Roman" w:eastAsia="標楷體" w:hAnsi="Times New Roman" w:cs="Times New Roman"/>
        </w:rPr>
        <w:t>分析，並著重</w:t>
      </w:r>
      <w:r w:rsidRPr="00C11CAD">
        <w:rPr>
          <w:rFonts w:ascii="Times New Roman" w:eastAsia="標楷體" w:hAnsi="Times New Roman" w:cs="Times New Roman"/>
        </w:rPr>
        <w:t>7</w:t>
      </w:r>
      <w:r w:rsidRPr="00C11CAD">
        <w:rPr>
          <w:rFonts w:ascii="Times New Roman" w:eastAsia="標楷體" w:hAnsi="Times New Roman" w:cs="Times New Roman"/>
        </w:rPr>
        <w:t>月份三個月、年初至</w:t>
      </w:r>
      <w:r w:rsidRPr="00C11CAD">
        <w:rPr>
          <w:rFonts w:ascii="Times New Roman" w:eastAsia="標楷體" w:hAnsi="Times New Roman" w:cs="Times New Roman"/>
        </w:rPr>
        <w:t>7</w:t>
      </w:r>
      <w:r w:rsidRPr="00C11CAD">
        <w:rPr>
          <w:rFonts w:ascii="Times New Roman" w:eastAsia="標楷體" w:hAnsi="Times New Roman" w:cs="Times New Roman"/>
        </w:rPr>
        <w:t>月底的平均報酬率</w:t>
      </w:r>
      <w:r w:rsidRPr="00C11CAD">
        <w:rPr>
          <w:rFonts w:ascii="Times New Roman" w:eastAsia="標楷體" w:hAnsi="Times New Roman" w:cs="Times New Roman"/>
        </w:rPr>
        <w:t>(</w:t>
      </w:r>
      <w:r w:rsidRPr="00C11CAD">
        <w:rPr>
          <w:rFonts w:ascii="Times New Roman" w:eastAsia="標楷體" w:hAnsi="Times New Roman" w:cs="Times New Roman"/>
        </w:rPr>
        <w:t>簡稱上述二個期間平均報酬率</w:t>
      </w:r>
      <w:r w:rsidRPr="00C11CAD">
        <w:rPr>
          <w:rFonts w:ascii="Times New Roman" w:eastAsia="標楷體" w:hAnsi="Times New Roman" w:cs="Times New Roman"/>
        </w:rPr>
        <w:t>)</w:t>
      </w:r>
      <w:r w:rsidRPr="00C11CAD">
        <w:rPr>
          <w:rFonts w:ascii="Times New Roman" w:eastAsia="標楷體" w:hAnsi="Times New Roman" w:cs="Times New Roman"/>
        </w:rPr>
        <w:t>表現</w:t>
      </w:r>
      <w:r w:rsidR="00367DB4" w:rsidRPr="00C11CAD">
        <w:rPr>
          <w:rFonts w:ascii="Times New Roman" w:eastAsia="標楷體" w:hAnsi="Times New Roman" w:cs="Times New Roman"/>
        </w:rPr>
        <w:t>。</w:t>
      </w:r>
    </w:p>
    <w:p w14:paraId="66CC2B11" w14:textId="6FB4127A" w:rsidR="002D676D" w:rsidRPr="00C11CAD" w:rsidRDefault="002D676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區域型基金</w:t>
      </w:r>
      <w:r w:rsidRPr="00C11CAD">
        <w:rPr>
          <w:rFonts w:ascii="Times New Roman" w:eastAsia="標楷體" w:hAnsi="Times New Roman" w:cs="Times New Roman"/>
        </w:rPr>
        <w:t>7</w:t>
      </w:r>
      <w:r w:rsidRPr="00C11CAD">
        <w:rPr>
          <w:rFonts w:ascii="Times New Roman" w:eastAsia="標楷體" w:hAnsi="Times New Roman" w:cs="Times New Roman"/>
        </w:rPr>
        <w:t>月份三個月平均報酬率，以歐洲型表現最佳</w:t>
      </w:r>
      <w:r w:rsidR="00367DB4" w:rsidRPr="00C11CAD">
        <w:rPr>
          <w:rFonts w:ascii="Times New Roman" w:eastAsia="標楷體" w:hAnsi="Times New Roman" w:cs="Times New Roman"/>
        </w:rPr>
        <w:t>(</w:t>
      </w:r>
      <w:r w:rsidRPr="00C11CAD">
        <w:rPr>
          <w:rFonts w:ascii="Times New Roman" w:eastAsia="標楷體" w:hAnsi="Times New Roman" w:cs="Times New Roman"/>
        </w:rPr>
        <w:t>5.26%</w:t>
      </w:r>
      <w:r w:rsidR="00367DB4" w:rsidRPr="00C11CAD">
        <w:rPr>
          <w:rFonts w:ascii="Times New Roman" w:eastAsia="標楷體" w:hAnsi="Times New Roman" w:cs="Times New Roman"/>
        </w:rPr>
        <w:t>)</w:t>
      </w:r>
      <w:r w:rsidRPr="00C11CAD">
        <w:rPr>
          <w:rFonts w:ascii="Times New Roman" w:eastAsia="標楷體" w:hAnsi="Times New Roman" w:cs="Times New Roman"/>
        </w:rPr>
        <w:t>，亞洲型次之</w:t>
      </w:r>
      <w:r w:rsidR="00367DB4" w:rsidRPr="00C11CAD">
        <w:rPr>
          <w:rFonts w:ascii="Times New Roman" w:eastAsia="標楷體" w:hAnsi="Times New Roman" w:cs="Times New Roman"/>
        </w:rPr>
        <w:t>(1.08%)</w:t>
      </w:r>
      <w:r w:rsidRPr="00C11CAD">
        <w:rPr>
          <w:rFonts w:ascii="Times New Roman" w:eastAsia="標楷體" w:hAnsi="Times New Roman" w:cs="Times New Roman"/>
        </w:rPr>
        <w:t>，其它類型</w:t>
      </w:r>
      <w:r w:rsidR="00367DB4" w:rsidRPr="00C11CAD">
        <w:rPr>
          <w:rFonts w:ascii="Times New Roman" w:eastAsia="標楷體" w:hAnsi="Times New Roman" w:cs="Times New Roman"/>
        </w:rPr>
        <w:t>(</w:t>
      </w:r>
      <w:r w:rsidRPr="00C11CAD">
        <w:rPr>
          <w:rFonts w:ascii="Times New Roman" w:eastAsia="標楷體" w:hAnsi="Times New Roman" w:cs="Times New Roman"/>
        </w:rPr>
        <w:t>新興市場、大中華</w:t>
      </w:r>
      <w:r w:rsidR="00367DB4" w:rsidRPr="00C11CAD">
        <w:rPr>
          <w:rFonts w:ascii="Times New Roman" w:eastAsia="標楷體" w:hAnsi="Times New Roman" w:cs="Times New Roman"/>
        </w:rPr>
        <w:t>)</w:t>
      </w:r>
      <w:r w:rsidRPr="00C11CAD">
        <w:rPr>
          <w:rFonts w:ascii="Times New Roman" w:eastAsia="標楷體" w:hAnsi="Times New Roman" w:cs="Times New Roman"/>
        </w:rPr>
        <w:t>皆為負數；顯示歐洲股市受</w:t>
      </w:r>
      <w:r w:rsidRPr="00C11CAD">
        <w:rPr>
          <w:rFonts w:ascii="Times New Roman" w:eastAsia="標楷體" w:hAnsi="Times New Roman" w:cs="Times New Roman"/>
        </w:rPr>
        <w:t>7</w:t>
      </w:r>
      <w:r w:rsidRPr="00C11CAD">
        <w:rPr>
          <w:rFonts w:ascii="Times New Roman" w:eastAsia="標楷體" w:hAnsi="Times New Roman" w:cs="Times New Roman"/>
        </w:rPr>
        <w:t>月</w:t>
      </w:r>
      <w:r w:rsidRPr="00C11CAD">
        <w:rPr>
          <w:rFonts w:ascii="Times New Roman" w:eastAsia="標楷體" w:hAnsi="Times New Roman" w:cs="Times New Roman"/>
        </w:rPr>
        <w:t>AI</w:t>
      </w:r>
      <w:r w:rsidRPr="00C11CAD">
        <w:rPr>
          <w:rFonts w:ascii="Times New Roman" w:eastAsia="標楷體" w:hAnsi="Times New Roman" w:cs="Times New Roman"/>
        </w:rPr>
        <w:lastRenderedPageBreak/>
        <w:t>股價下修的影響較少。而年初至</w:t>
      </w:r>
      <w:r w:rsidRPr="00C11CAD">
        <w:rPr>
          <w:rFonts w:ascii="Times New Roman" w:eastAsia="標楷體" w:hAnsi="Times New Roman" w:cs="Times New Roman"/>
        </w:rPr>
        <w:t>7</w:t>
      </w:r>
      <w:r w:rsidRPr="00C11CAD">
        <w:rPr>
          <w:rFonts w:ascii="Times New Roman" w:eastAsia="標楷體" w:hAnsi="Times New Roman" w:cs="Times New Roman"/>
        </w:rPr>
        <w:t>月底平均報酬率，則以亞洲型最高</w:t>
      </w:r>
      <w:r w:rsidR="00367DB4" w:rsidRPr="00C11CAD">
        <w:rPr>
          <w:rFonts w:ascii="Times New Roman" w:eastAsia="標楷體" w:hAnsi="Times New Roman" w:cs="Times New Roman"/>
        </w:rPr>
        <w:t>(</w:t>
      </w:r>
      <w:r w:rsidRPr="00C11CAD">
        <w:rPr>
          <w:rFonts w:ascii="Times New Roman" w:eastAsia="標楷體" w:hAnsi="Times New Roman" w:cs="Times New Roman"/>
        </w:rPr>
        <w:t>35.05%</w:t>
      </w:r>
      <w:r w:rsidR="00367DB4" w:rsidRPr="00C11CAD">
        <w:rPr>
          <w:rFonts w:ascii="Times New Roman" w:eastAsia="標楷體" w:hAnsi="Times New Roman" w:cs="Times New Roman"/>
        </w:rPr>
        <w:t>)</w:t>
      </w:r>
      <w:r w:rsidRPr="00C11CAD">
        <w:rPr>
          <w:rFonts w:ascii="Times New Roman" w:eastAsia="標楷體" w:hAnsi="Times New Roman" w:cs="Times New Roman"/>
        </w:rPr>
        <w:t>，歐洲型最低</w:t>
      </w:r>
      <w:r w:rsidR="00367DB4" w:rsidRPr="00C11CAD">
        <w:rPr>
          <w:rFonts w:ascii="Times New Roman" w:eastAsia="標楷體" w:hAnsi="Times New Roman" w:cs="Times New Roman"/>
        </w:rPr>
        <w:t>(</w:t>
      </w:r>
      <w:r w:rsidRPr="00C11CAD">
        <w:rPr>
          <w:rFonts w:ascii="Times New Roman" w:eastAsia="標楷體" w:hAnsi="Times New Roman" w:cs="Times New Roman"/>
        </w:rPr>
        <w:t>8.52%</w:t>
      </w:r>
      <w:r w:rsidR="00367DB4" w:rsidRPr="00C11CAD">
        <w:rPr>
          <w:rFonts w:ascii="Times New Roman" w:eastAsia="標楷體" w:hAnsi="Times New Roman" w:cs="Times New Roman"/>
        </w:rPr>
        <w:t>)</w:t>
      </w:r>
      <w:r w:rsidRPr="00C11CAD">
        <w:rPr>
          <w:rFonts w:ascii="Times New Roman" w:eastAsia="標楷體" w:hAnsi="Times New Roman" w:cs="Times New Roman"/>
        </w:rPr>
        <w:t>。國家型基金在上述兩個期間平均報酬率</w:t>
      </w:r>
      <w:r w:rsidR="006C349A" w:rsidRPr="00C11CAD">
        <w:rPr>
          <w:rFonts w:ascii="Times New Roman" w:eastAsia="標楷體" w:hAnsi="Times New Roman" w:cs="Times New Roman"/>
        </w:rPr>
        <w:t>，</w:t>
      </w:r>
      <w:r w:rsidRPr="00C11CAD">
        <w:rPr>
          <w:rFonts w:ascii="Times New Roman" w:eastAsia="標楷體" w:hAnsi="Times New Roman" w:cs="Times New Roman"/>
        </w:rPr>
        <w:t>皆以日本基金表現最佳，分別是</w:t>
      </w:r>
      <w:r w:rsidRPr="00C11CAD">
        <w:rPr>
          <w:rFonts w:ascii="Times New Roman" w:eastAsia="標楷體" w:hAnsi="Times New Roman" w:cs="Times New Roman"/>
        </w:rPr>
        <w:t>4.39%</w:t>
      </w:r>
      <w:r w:rsidRPr="00C11CAD">
        <w:rPr>
          <w:rFonts w:ascii="Times New Roman" w:eastAsia="標楷體" w:hAnsi="Times New Roman" w:cs="Times New Roman"/>
        </w:rPr>
        <w:t>、</w:t>
      </w:r>
      <w:r w:rsidRPr="00C11CAD">
        <w:rPr>
          <w:rFonts w:ascii="Times New Roman" w:eastAsia="標楷體" w:hAnsi="Times New Roman" w:cs="Times New Roman"/>
        </w:rPr>
        <w:t>24.26%</w:t>
      </w:r>
      <w:r w:rsidRPr="00C11CAD">
        <w:rPr>
          <w:rFonts w:ascii="Times New Roman" w:eastAsia="標楷體" w:hAnsi="Times New Roman" w:cs="Times New Roman"/>
        </w:rPr>
        <w:t>，領先美國、中國大陸與其它國家型。</w:t>
      </w:r>
    </w:p>
    <w:p w14:paraId="4465479E" w14:textId="23EF5850" w:rsidR="002D676D" w:rsidRPr="00C11CAD" w:rsidRDefault="002D676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而指數股票型之一般</w:t>
      </w:r>
      <w:r w:rsidRPr="00C11CAD">
        <w:rPr>
          <w:rFonts w:ascii="Times New Roman" w:eastAsia="標楷體" w:hAnsi="Times New Roman" w:cs="Times New Roman"/>
        </w:rPr>
        <w:t>ETF</w:t>
      </w:r>
      <w:r w:rsidRPr="00C11CAD">
        <w:rPr>
          <w:rFonts w:ascii="Times New Roman" w:eastAsia="標楷體" w:hAnsi="Times New Roman" w:cs="Times New Roman"/>
        </w:rPr>
        <w:t>，</w:t>
      </w:r>
      <w:r w:rsidR="00716771" w:rsidRPr="00C11CAD">
        <w:rPr>
          <w:rFonts w:ascii="Times New Roman" w:eastAsia="標楷體" w:hAnsi="Times New Roman" w:cs="Times New Roman"/>
        </w:rPr>
        <w:t>在國家型</w:t>
      </w:r>
      <w:r w:rsidR="006C349A" w:rsidRPr="00C11CAD">
        <w:rPr>
          <w:rFonts w:ascii="Times New Roman" w:eastAsia="標楷體" w:hAnsi="Times New Roman" w:cs="Times New Roman"/>
        </w:rPr>
        <w:t>亦</w:t>
      </w:r>
      <w:r w:rsidRPr="00C11CAD">
        <w:rPr>
          <w:rFonts w:ascii="Times New Roman" w:eastAsia="標楷體" w:hAnsi="Times New Roman" w:cs="Times New Roman"/>
        </w:rPr>
        <w:t>以日本型表現較佳，上述二個期間平均</w:t>
      </w:r>
      <w:proofErr w:type="gramStart"/>
      <w:r w:rsidRPr="00C11CAD">
        <w:rPr>
          <w:rFonts w:ascii="Times New Roman" w:eastAsia="標楷體" w:hAnsi="Times New Roman" w:cs="Times New Roman"/>
        </w:rPr>
        <w:t>報酬率分別是</w:t>
      </w:r>
      <w:proofErr w:type="gramEnd"/>
      <w:r w:rsidRPr="00C11CAD">
        <w:rPr>
          <w:rFonts w:ascii="Times New Roman" w:eastAsia="標楷體" w:hAnsi="Times New Roman" w:cs="Times New Roman"/>
        </w:rPr>
        <w:t>9.57%</w:t>
      </w:r>
      <w:r w:rsidRPr="00C11CAD">
        <w:rPr>
          <w:rFonts w:ascii="Times New Roman" w:eastAsia="標楷體" w:hAnsi="Times New Roman" w:cs="Times New Roman"/>
        </w:rPr>
        <w:t>、</w:t>
      </w:r>
      <w:r w:rsidRPr="00C11CAD">
        <w:rPr>
          <w:rFonts w:ascii="Times New Roman" w:eastAsia="標楷體" w:hAnsi="Times New Roman" w:cs="Times New Roman"/>
        </w:rPr>
        <w:t>24.19%</w:t>
      </w:r>
      <w:r w:rsidRPr="00C11CAD">
        <w:rPr>
          <w:rFonts w:ascii="Times New Roman" w:eastAsia="標楷體" w:hAnsi="Times New Roman" w:cs="Times New Roman"/>
        </w:rPr>
        <w:t>，亦比區域型一股</w:t>
      </w:r>
      <w:r w:rsidRPr="00C11CAD">
        <w:rPr>
          <w:rFonts w:ascii="Times New Roman" w:eastAsia="標楷體" w:hAnsi="Times New Roman" w:cs="Times New Roman"/>
        </w:rPr>
        <w:t>ETF</w:t>
      </w:r>
      <w:r w:rsidRPr="00C11CAD">
        <w:rPr>
          <w:rFonts w:ascii="Times New Roman" w:eastAsia="標楷體" w:hAnsi="Times New Roman" w:cs="Times New Roman"/>
        </w:rPr>
        <w:t>表現佳。另外，跨國投資主動式</w:t>
      </w:r>
      <w:r w:rsidRPr="00C11CAD">
        <w:rPr>
          <w:rFonts w:ascii="Times New Roman" w:eastAsia="標楷體" w:hAnsi="Times New Roman" w:cs="Times New Roman"/>
        </w:rPr>
        <w:t>ETF</w:t>
      </w:r>
      <w:r w:rsidRPr="00C11CAD">
        <w:rPr>
          <w:rFonts w:ascii="Times New Roman" w:eastAsia="標楷體" w:hAnsi="Times New Roman" w:cs="Times New Roman"/>
        </w:rPr>
        <w:t>之</w:t>
      </w:r>
      <w:r w:rsidR="00F45EF5" w:rsidRPr="00C11CAD">
        <w:rPr>
          <w:rFonts w:ascii="Times New Roman" w:eastAsia="標楷體" w:hAnsi="Times New Roman" w:cs="Times New Roman"/>
        </w:rPr>
        <w:t>上述二個期間</w:t>
      </w:r>
      <w:r w:rsidRPr="00C11CAD">
        <w:rPr>
          <w:rFonts w:ascii="Times New Roman" w:eastAsia="標楷體" w:hAnsi="Times New Roman" w:cs="Times New Roman"/>
        </w:rPr>
        <w:t>平均報酬率則分別</w:t>
      </w:r>
      <w:r w:rsidR="00690CF7" w:rsidRPr="00C11CAD">
        <w:rPr>
          <w:rFonts w:ascii="Times New Roman" w:eastAsia="標楷體" w:hAnsi="Times New Roman" w:cs="Times New Roman"/>
        </w:rPr>
        <w:t>為</w:t>
      </w:r>
      <w:r w:rsidRPr="00C11CAD">
        <w:rPr>
          <w:rFonts w:ascii="Times New Roman" w:eastAsia="標楷體" w:hAnsi="Times New Roman" w:cs="Times New Roman"/>
        </w:rPr>
        <w:t>0.01%</w:t>
      </w:r>
      <w:r w:rsidRPr="00C11CAD">
        <w:rPr>
          <w:rFonts w:ascii="Times New Roman" w:eastAsia="標楷體" w:hAnsi="Times New Roman" w:cs="Times New Roman"/>
        </w:rPr>
        <w:t>與</w:t>
      </w:r>
      <w:r w:rsidRPr="00C11CAD">
        <w:rPr>
          <w:rFonts w:ascii="Times New Roman" w:eastAsia="標楷體" w:hAnsi="Times New Roman" w:cs="Times New Roman"/>
        </w:rPr>
        <w:t>26.10%</w:t>
      </w:r>
      <w:r w:rsidRPr="00C11CAD">
        <w:rPr>
          <w:rFonts w:ascii="Times New Roman" w:eastAsia="標楷體" w:hAnsi="Times New Roman" w:cs="Times New Roman"/>
        </w:rPr>
        <w:t>。</w:t>
      </w:r>
    </w:p>
    <w:p w14:paraId="02C55822" w14:textId="39409D55" w:rsidR="002D676D" w:rsidRPr="00C11CAD" w:rsidRDefault="005368E4"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hint="eastAsia"/>
        </w:rPr>
        <w:t>接著</w:t>
      </w:r>
      <w:r w:rsidRPr="00C11CAD">
        <w:rPr>
          <w:rFonts w:ascii="新細明體" w:eastAsia="新細明體" w:hAnsi="新細明體" w:cs="Times New Roman" w:hint="eastAsia"/>
        </w:rPr>
        <w:t>，</w:t>
      </w:r>
      <w:r w:rsidRPr="00C11CAD">
        <w:rPr>
          <w:rFonts w:ascii="Times New Roman" w:eastAsia="標楷體" w:hAnsi="Times New Roman" w:cs="Times New Roman" w:hint="eastAsia"/>
        </w:rPr>
        <w:t>討論</w:t>
      </w:r>
      <w:r w:rsidR="00F71BC2" w:rsidRPr="00C11CAD">
        <w:rPr>
          <w:rFonts w:ascii="Times New Roman" w:eastAsia="標楷體" w:hAnsi="Times New Roman" w:cs="Times New Roman"/>
        </w:rPr>
        <w:t>債券型基金</w:t>
      </w:r>
      <w:r w:rsidRPr="00C11CAD">
        <w:rPr>
          <w:rFonts w:ascii="Times New Roman" w:eastAsia="標楷體" w:hAnsi="Times New Roman" w:cs="Times New Roman" w:hint="eastAsia"/>
        </w:rPr>
        <w:t>的績效</w:t>
      </w:r>
      <w:r w:rsidRPr="00C11CAD">
        <w:rPr>
          <w:rFonts w:ascii="新細明體" w:eastAsia="新細明體" w:hAnsi="新細明體" w:cs="Times New Roman" w:hint="eastAsia"/>
        </w:rPr>
        <w:t>，</w:t>
      </w:r>
      <w:r w:rsidRPr="00C11CAD">
        <w:rPr>
          <w:rFonts w:ascii="Times New Roman" w:eastAsia="標楷體" w:hAnsi="Times New Roman" w:cs="Times New Roman" w:hint="eastAsia"/>
        </w:rPr>
        <w:t>其</w:t>
      </w:r>
      <w:r w:rsidR="00F71BC2" w:rsidRPr="00C11CAD">
        <w:rPr>
          <w:rFonts w:ascii="Times New Roman" w:eastAsia="標楷體" w:hAnsi="Times New Roman" w:cs="Times New Roman"/>
        </w:rPr>
        <w:t>投資環境同樣不輕鬆。</w:t>
      </w:r>
      <w:r w:rsidR="002D676D" w:rsidRPr="00C11CAD">
        <w:rPr>
          <w:rFonts w:ascii="Times New Roman" w:eastAsia="標楷體" w:hAnsi="Times New Roman" w:cs="Times New Roman"/>
        </w:rPr>
        <w:t>海外債券型基金方面，</w:t>
      </w:r>
      <w:proofErr w:type="gramStart"/>
      <w:r w:rsidR="002D676D" w:rsidRPr="00C11CAD">
        <w:rPr>
          <w:rFonts w:ascii="Times New Roman" w:eastAsia="標楷體" w:hAnsi="Times New Roman" w:cs="Times New Roman"/>
        </w:rPr>
        <w:t>以全幣別</w:t>
      </w:r>
      <w:proofErr w:type="gramEnd"/>
      <w:r w:rsidR="002D676D" w:rsidRPr="00C11CAD">
        <w:rPr>
          <w:rFonts w:ascii="Times New Roman" w:eastAsia="標楷體" w:hAnsi="Times New Roman" w:cs="Times New Roman"/>
        </w:rPr>
        <w:t>計算，</w:t>
      </w:r>
      <w:r w:rsidR="002D676D" w:rsidRPr="00C11CAD">
        <w:rPr>
          <w:rFonts w:ascii="Times New Roman" w:eastAsia="標楷體" w:hAnsi="Times New Roman" w:cs="Times New Roman"/>
        </w:rPr>
        <w:t>314</w:t>
      </w:r>
      <w:r w:rsidR="002D676D" w:rsidRPr="00C11CAD">
        <w:rPr>
          <w:rFonts w:ascii="Times New Roman" w:eastAsia="標楷體" w:hAnsi="Times New Roman" w:cs="Times New Roman"/>
        </w:rPr>
        <w:t>檔投資等級全球債券基金</w:t>
      </w:r>
      <w:r w:rsidR="002D676D" w:rsidRPr="00C11CAD">
        <w:rPr>
          <w:rFonts w:ascii="Times New Roman" w:eastAsia="標楷體" w:hAnsi="Times New Roman" w:cs="Times New Roman"/>
        </w:rPr>
        <w:t>7</w:t>
      </w:r>
      <w:r w:rsidR="002D676D" w:rsidRPr="00C11CAD">
        <w:rPr>
          <w:rFonts w:ascii="Times New Roman" w:eastAsia="標楷體" w:hAnsi="Times New Roman" w:cs="Times New Roman"/>
        </w:rPr>
        <w:t>月份三個月</w:t>
      </w:r>
      <w:r w:rsidR="00D14FE8" w:rsidRPr="00C11CAD">
        <w:rPr>
          <w:rFonts w:ascii="Times New Roman" w:eastAsia="標楷體" w:hAnsi="Times New Roman" w:cs="Times New Roman"/>
        </w:rPr>
        <w:t>、</w:t>
      </w:r>
      <w:r w:rsidR="002D676D" w:rsidRPr="00C11CAD">
        <w:rPr>
          <w:rFonts w:ascii="Times New Roman" w:eastAsia="標楷體" w:hAnsi="Times New Roman" w:cs="Times New Roman"/>
        </w:rPr>
        <w:t>年初至</w:t>
      </w:r>
      <w:r w:rsidR="00716771" w:rsidRPr="00C11CAD">
        <w:rPr>
          <w:rFonts w:ascii="Times New Roman" w:eastAsia="標楷體" w:hAnsi="Times New Roman" w:cs="Times New Roman"/>
        </w:rPr>
        <w:t>7</w:t>
      </w:r>
      <w:r w:rsidR="002D676D" w:rsidRPr="00C11CAD">
        <w:rPr>
          <w:rFonts w:ascii="Times New Roman" w:eastAsia="標楷體" w:hAnsi="Times New Roman" w:cs="Times New Roman"/>
        </w:rPr>
        <w:t>月底平均報酬率</w:t>
      </w:r>
      <w:r w:rsidR="006C349A" w:rsidRPr="00C11CAD">
        <w:rPr>
          <w:rFonts w:ascii="Times New Roman" w:eastAsia="標楷體" w:hAnsi="Times New Roman" w:cs="Times New Roman"/>
        </w:rPr>
        <w:t>，</w:t>
      </w:r>
      <w:r w:rsidR="002D676D" w:rsidRPr="00C11CAD">
        <w:rPr>
          <w:rFonts w:ascii="Times New Roman" w:eastAsia="標楷體" w:hAnsi="Times New Roman" w:cs="Times New Roman"/>
        </w:rPr>
        <w:t>分別為</w:t>
      </w:r>
      <w:r w:rsidR="002D676D" w:rsidRPr="00C11CAD">
        <w:rPr>
          <w:rFonts w:ascii="Times New Roman" w:eastAsia="標楷體" w:hAnsi="Times New Roman" w:cs="Times New Roman"/>
        </w:rPr>
        <w:t>-0.28%</w:t>
      </w:r>
      <w:r w:rsidR="002D676D" w:rsidRPr="00C11CAD">
        <w:rPr>
          <w:rFonts w:ascii="Times New Roman" w:eastAsia="標楷體" w:hAnsi="Times New Roman" w:cs="Times New Roman"/>
        </w:rPr>
        <w:t>及</w:t>
      </w:r>
      <w:r w:rsidR="002D676D" w:rsidRPr="00C11CAD">
        <w:rPr>
          <w:rFonts w:ascii="Times New Roman" w:eastAsia="標楷體" w:hAnsi="Times New Roman" w:cs="Times New Roman"/>
        </w:rPr>
        <w:t xml:space="preserve"> -0.64%</w:t>
      </w:r>
      <w:r w:rsidR="002D676D" w:rsidRPr="00C11CAD">
        <w:rPr>
          <w:rFonts w:ascii="Times New Roman" w:eastAsia="標楷體" w:hAnsi="Times New Roman" w:cs="Times New Roman"/>
        </w:rPr>
        <w:t>，主要反映長天期利率上升對債券價格的壓力。相對而言，</w:t>
      </w:r>
      <w:r w:rsidR="002D676D" w:rsidRPr="00C11CAD">
        <w:rPr>
          <w:rFonts w:ascii="Times New Roman" w:eastAsia="標楷體" w:hAnsi="Times New Roman" w:cs="Times New Roman"/>
        </w:rPr>
        <w:t>328</w:t>
      </w:r>
      <w:proofErr w:type="gramStart"/>
      <w:r w:rsidR="002D676D" w:rsidRPr="00C11CAD">
        <w:rPr>
          <w:rFonts w:ascii="Times New Roman" w:eastAsia="標楷體" w:hAnsi="Times New Roman" w:cs="Times New Roman"/>
        </w:rPr>
        <w:t>檔非投資</w:t>
      </w:r>
      <w:proofErr w:type="gramEnd"/>
      <w:r w:rsidR="002D676D" w:rsidRPr="00C11CAD">
        <w:rPr>
          <w:rFonts w:ascii="Times New Roman" w:eastAsia="標楷體" w:hAnsi="Times New Roman" w:cs="Times New Roman"/>
        </w:rPr>
        <w:t>等級全球</w:t>
      </w:r>
      <w:bookmarkStart w:id="7" w:name="_Hlk236850508"/>
      <w:r w:rsidR="002D676D" w:rsidRPr="00C11CAD">
        <w:rPr>
          <w:rFonts w:ascii="Times New Roman" w:eastAsia="標楷體" w:hAnsi="Times New Roman" w:cs="Times New Roman"/>
        </w:rPr>
        <w:t>債券基金</w:t>
      </w:r>
      <w:bookmarkEnd w:id="7"/>
      <w:r w:rsidR="00E80728" w:rsidRPr="00C11CAD">
        <w:rPr>
          <w:rFonts w:ascii="Times New Roman" w:eastAsia="標楷體" w:hAnsi="Times New Roman" w:cs="Times New Roman"/>
        </w:rPr>
        <w:t>之上述二個期間</w:t>
      </w:r>
      <w:r w:rsidR="002D676D" w:rsidRPr="00C11CAD">
        <w:rPr>
          <w:rFonts w:ascii="Times New Roman" w:eastAsia="標楷體" w:hAnsi="Times New Roman" w:cs="Times New Roman"/>
        </w:rPr>
        <w:t>平均報酬率</w:t>
      </w:r>
      <w:r w:rsidR="00E80728" w:rsidRPr="00C11CAD">
        <w:rPr>
          <w:rFonts w:ascii="Times New Roman" w:eastAsia="標楷體" w:hAnsi="Times New Roman" w:cs="Times New Roman"/>
        </w:rPr>
        <w:t>，</w:t>
      </w:r>
      <w:r w:rsidR="002D676D" w:rsidRPr="00C11CAD">
        <w:rPr>
          <w:rFonts w:ascii="Times New Roman" w:eastAsia="標楷體" w:hAnsi="Times New Roman" w:cs="Times New Roman"/>
        </w:rPr>
        <w:t>分別為</w:t>
      </w:r>
      <w:r w:rsidR="002D676D" w:rsidRPr="00C11CAD">
        <w:rPr>
          <w:rFonts w:ascii="Times New Roman" w:eastAsia="標楷體" w:hAnsi="Times New Roman" w:cs="Times New Roman"/>
        </w:rPr>
        <w:t>0.67%</w:t>
      </w:r>
      <w:r w:rsidR="002D676D" w:rsidRPr="00C11CAD">
        <w:rPr>
          <w:rFonts w:ascii="Times New Roman" w:eastAsia="標楷體" w:hAnsi="Times New Roman" w:cs="Times New Roman"/>
        </w:rPr>
        <w:t>及</w:t>
      </w:r>
      <w:r w:rsidR="002D676D" w:rsidRPr="00C11CAD">
        <w:rPr>
          <w:rFonts w:ascii="Times New Roman" w:eastAsia="標楷體" w:hAnsi="Times New Roman" w:cs="Times New Roman"/>
        </w:rPr>
        <w:t>0.89%</w:t>
      </w:r>
      <w:r w:rsidR="002D676D" w:rsidRPr="00C11CAD">
        <w:rPr>
          <w:rFonts w:ascii="Times New Roman" w:eastAsia="標楷體" w:hAnsi="Times New Roman" w:cs="Times New Roman"/>
        </w:rPr>
        <w:t>，高於投資等級債券基金，反映信用</w:t>
      </w:r>
      <w:proofErr w:type="gramStart"/>
      <w:r w:rsidR="002D676D" w:rsidRPr="00C11CAD">
        <w:rPr>
          <w:rFonts w:ascii="Times New Roman" w:eastAsia="標楷體" w:hAnsi="Times New Roman" w:cs="Times New Roman"/>
        </w:rPr>
        <w:t>風險溢酬帶來</w:t>
      </w:r>
      <w:proofErr w:type="gramEnd"/>
      <w:r w:rsidR="002D676D" w:rsidRPr="00C11CAD">
        <w:rPr>
          <w:rFonts w:ascii="Times New Roman" w:eastAsia="標楷體" w:hAnsi="Times New Roman" w:cs="Times New Roman"/>
        </w:rPr>
        <w:t>的支撐效果。</w:t>
      </w:r>
    </w:p>
    <w:p w14:paraId="19006C9A" w14:textId="6A9E29C1" w:rsidR="002D676D" w:rsidRPr="00C11CAD" w:rsidRDefault="002D676D" w:rsidP="0082257D">
      <w:pPr>
        <w:spacing w:line="360" w:lineRule="auto"/>
        <w:ind w:firstLineChars="200" w:firstLine="480"/>
        <w:jc w:val="both"/>
        <w:rPr>
          <w:rFonts w:ascii="Times New Roman" w:eastAsia="標楷體" w:hAnsi="Times New Roman" w:cs="Times New Roman"/>
        </w:rPr>
      </w:pPr>
      <w:proofErr w:type="gramStart"/>
      <w:r w:rsidRPr="00C11CAD">
        <w:rPr>
          <w:rFonts w:ascii="Times New Roman" w:eastAsia="標楷體" w:hAnsi="Times New Roman" w:cs="Times New Roman"/>
        </w:rPr>
        <w:t>再者，</w:t>
      </w:r>
      <w:proofErr w:type="gramEnd"/>
      <w:r w:rsidRPr="00C11CAD">
        <w:rPr>
          <w:rFonts w:ascii="Times New Roman" w:eastAsia="標楷體" w:hAnsi="Times New Roman" w:cs="Times New Roman"/>
        </w:rPr>
        <w:t>由於短期利率水準較沒有上升的現象，因此投資等級短期型之上述兩個期間的平均報酬率，分別是</w:t>
      </w:r>
      <w:r w:rsidRPr="00C11CAD">
        <w:rPr>
          <w:rFonts w:ascii="Times New Roman" w:eastAsia="標楷體" w:hAnsi="Times New Roman" w:cs="Times New Roman"/>
        </w:rPr>
        <w:t>1%</w:t>
      </w:r>
      <w:r w:rsidRPr="00C11CAD">
        <w:rPr>
          <w:rFonts w:ascii="Times New Roman" w:eastAsia="標楷體" w:hAnsi="Times New Roman" w:cs="Times New Roman"/>
        </w:rPr>
        <w:t>、</w:t>
      </w:r>
      <w:r w:rsidRPr="00C11CAD">
        <w:rPr>
          <w:rFonts w:ascii="Times New Roman" w:eastAsia="標楷體" w:hAnsi="Times New Roman" w:cs="Times New Roman"/>
        </w:rPr>
        <w:t>1.55%</w:t>
      </w:r>
      <w:r w:rsidRPr="00C11CAD">
        <w:rPr>
          <w:rFonts w:ascii="Times New Roman" w:eastAsia="標楷體" w:hAnsi="Times New Roman" w:cs="Times New Roman"/>
        </w:rPr>
        <w:t>。而投資等級的目標到期型亦有不錯的表現，上述兩個期間的平均報酬率為</w:t>
      </w:r>
      <w:r w:rsidRPr="00C11CAD">
        <w:rPr>
          <w:rFonts w:ascii="Times New Roman" w:eastAsia="標楷體" w:hAnsi="Times New Roman" w:cs="Times New Roman"/>
        </w:rPr>
        <w:t>1.1</w:t>
      </w:r>
      <w:r w:rsidR="00EC4CB4" w:rsidRPr="00C11CAD">
        <w:rPr>
          <w:rFonts w:ascii="Times New Roman" w:eastAsia="標楷體" w:hAnsi="Times New Roman" w:cs="Times New Roman" w:hint="eastAsia"/>
        </w:rPr>
        <w:t>4</w:t>
      </w:r>
      <w:r w:rsidRPr="00C11CAD">
        <w:rPr>
          <w:rFonts w:ascii="Times New Roman" w:eastAsia="標楷體" w:hAnsi="Times New Roman" w:cs="Times New Roman"/>
        </w:rPr>
        <w:t>%</w:t>
      </w:r>
      <w:r w:rsidRPr="00C11CAD">
        <w:rPr>
          <w:rFonts w:ascii="Times New Roman" w:eastAsia="標楷體" w:hAnsi="Times New Roman" w:cs="Times New Roman"/>
        </w:rPr>
        <w:t>、</w:t>
      </w:r>
      <w:r w:rsidRPr="00C11CAD">
        <w:rPr>
          <w:rFonts w:ascii="Times New Roman" w:eastAsia="標楷體" w:hAnsi="Times New Roman" w:cs="Times New Roman"/>
        </w:rPr>
        <w:t>2.32%</w:t>
      </w:r>
      <w:r w:rsidRPr="00C11CAD">
        <w:rPr>
          <w:rFonts w:ascii="Times New Roman" w:eastAsia="標楷體" w:hAnsi="Times New Roman" w:cs="Times New Roman"/>
        </w:rPr>
        <w:t>。由於美國首當其衝地受到長天期利率上升的影響，因此投資等級的美國</w:t>
      </w:r>
      <w:r w:rsidR="00690CF7" w:rsidRPr="00C11CAD">
        <w:rPr>
          <w:rFonts w:ascii="Times New Roman" w:eastAsia="標楷體" w:hAnsi="Times New Roman" w:cs="Times New Roman"/>
        </w:rPr>
        <w:t>債券型基金</w:t>
      </w:r>
      <w:bookmarkStart w:id="8" w:name="_Hlk236850624"/>
      <w:r w:rsidR="00D14FE8" w:rsidRPr="00C11CAD">
        <w:rPr>
          <w:rFonts w:ascii="Times New Roman" w:eastAsia="標楷體" w:hAnsi="Times New Roman" w:cs="Times New Roman"/>
        </w:rPr>
        <w:t>，</w:t>
      </w:r>
      <w:r w:rsidRPr="00C11CAD">
        <w:rPr>
          <w:rFonts w:ascii="Times New Roman" w:eastAsia="標楷體" w:hAnsi="Times New Roman" w:cs="Times New Roman"/>
        </w:rPr>
        <w:t>7</w:t>
      </w:r>
      <w:r w:rsidRPr="00C11CAD">
        <w:rPr>
          <w:rFonts w:ascii="Times New Roman" w:eastAsia="標楷體" w:hAnsi="Times New Roman" w:cs="Times New Roman"/>
        </w:rPr>
        <w:t>月份</w:t>
      </w:r>
      <w:bookmarkEnd w:id="8"/>
      <w:r w:rsidRPr="00C11CAD">
        <w:rPr>
          <w:rFonts w:ascii="Times New Roman" w:eastAsia="標楷體" w:hAnsi="Times New Roman" w:cs="Times New Roman"/>
        </w:rPr>
        <w:t>三個月的平均報酬率為</w:t>
      </w:r>
      <w:r w:rsidRPr="00C11CAD">
        <w:rPr>
          <w:rFonts w:ascii="Times New Roman" w:eastAsia="標楷體" w:hAnsi="Times New Roman" w:cs="Times New Roman"/>
        </w:rPr>
        <w:t>-</w:t>
      </w:r>
      <w:r w:rsidR="00640DB1" w:rsidRPr="00C11CAD">
        <w:rPr>
          <w:rFonts w:ascii="Times New Roman" w:eastAsia="標楷體" w:hAnsi="Times New Roman" w:cs="Times New Roman" w:hint="eastAsia"/>
        </w:rPr>
        <w:t>1</w:t>
      </w:r>
      <w:r w:rsidRPr="00C11CAD">
        <w:rPr>
          <w:rFonts w:ascii="Times New Roman" w:eastAsia="標楷體" w:hAnsi="Times New Roman" w:cs="Times New Roman"/>
        </w:rPr>
        <w:t>.</w:t>
      </w:r>
      <w:r w:rsidR="00640DB1" w:rsidRPr="00C11CAD">
        <w:rPr>
          <w:rFonts w:ascii="Times New Roman" w:eastAsia="標楷體" w:hAnsi="Times New Roman" w:cs="Times New Roman" w:hint="eastAsia"/>
        </w:rPr>
        <w:t>07</w:t>
      </w:r>
      <w:r w:rsidRPr="00C11CAD">
        <w:rPr>
          <w:rFonts w:ascii="Times New Roman" w:eastAsia="標楷體" w:hAnsi="Times New Roman" w:cs="Times New Roman"/>
        </w:rPr>
        <w:t>%</w:t>
      </w:r>
      <w:r w:rsidRPr="00C11CAD">
        <w:rPr>
          <w:rFonts w:ascii="Times New Roman" w:eastAsia="標楷體" w:hAnsi="Times New Roman" w:cs="Times New Roman"/>
        </w:rPr>
        <w:t>，低於區域</w:t>
      </w:r>
      <w:r w:rsidR="00D14FE8" w:rsidRPr="00C11CAD">
        <w:rPr>
          <w:rFonts w:ascii="Times New Roman" w:eastAsia="標楷體" w:hAnsi="Times New Roman" w:cs="Times New Roman"/>
        </w:rPr>
        <w:t>型</w:t>
      </w:r>
      <w:r w:rsidRPr="00C11CAD">
        <w:rPr>
          <w:rFonts w:ascii="Times New Roman" w:eastAsia="標楷體" w:hAnsi="Times New Roman" w:cs="Times New Roman"/>
        </w:rPr>
        <w:t>與</w:t>
      </w:r>
      <w:r w:rsidR="00690CF7" w:rsidRPr="00C11CAD">
        <w:rPr>
          <w:rFonts w:ascii="Times New Roman" w:eastAsia="標楷體" w:hAnsi="Times New Roman" w:cs="Times New Roman"/>
        </w:rPr>
        <w:t>其他</w:t>
      </w:r>
      <w:r w:rsidRPr="00C11CAD">
        <w:rPr>
          <w:rFonts w:ascii="Times New Roman" w:eastAsia="標楷體" w:hAnsi="Times New Roman" w:cs="Times New Roman"/>
        </w:rPr>
        <w:t>國家型。另外，非投資等級之新興市場與亞洲型</w:t>
      </w:r>
      <w:r w:rsidR="00D14FE8" w:rsidRPr="00C11CAD">
        <w:rPr>
          <w:rFonts w:ascii="Times New Roman" w:eastAsia="標楷體" w:hAnsi="Times New Roman" w:cs="Times New Roman"/>
        </w:rPr>
        <w:t>，</w:t>
      </w:r>
      <w:r w:rsidRPr="00C11CAD">
        <w:rPr>
          <w:rFonts w:ascii="Times New Roman" w:eastAsia="標楷體" w:hAnsi="Times New Roman" w:cs="Times New Roman"/>
        </w:rPr>
        <w:t>7</w:t>
      </w:r>
      <w:r w:rsidRPr="00C11CAD">
        <w:rPr>
          <w:rFonts w:ascii="Times New Roman" w:eastAsia="標楷體" w:hAnsi="Times New Roman" w:cs="Times New Roman"/>
        </w:rPr>
        <w:t>月份三個月平均報酬率為</w:t>
      </w:r>
      <w:r w:rsidRPr="00C11CAD">
        <w:rPr>
          <w:rFonts w:ascii="Times New Roman" w:eastAsia="標楷體" w:hAnsi="Times New Roman" w:cs="Times New Roman"/>
        </w:rPr>
        <w:t>1.3%</w:t>
      </w:r>
      <w:r w:rsidRPr="00C11CAD">
        <w:rPr>
          <w:rFonts w:ascii="Times New Roman" w:eastAsia="標楷體" w:hAnsi="Times New Roman" w:cs="Times New Roman"/>
        </w:rPr>
        <w:t>、</w:t>
      </w:r>
      <w:r w:rsidRPr="00C11CAD">
        <w:rPr>
          <w:rFonts w:ascii="Times New Roman" w:eastAsia="標楷體" w:hAnsi="Times New Roman" w:cs="Times New Roman"/>
        </w:rPr>
        <w:t>1.4</w:t>
      </w:r>
      <w:r w:rsidR="00640DB1" w:rsidRPr="00C11CAD">
        <w:rPr>
          <w:rFonts w:ascii="Times New Roman" w:eastAsia="標楷體" w:hAnsi="Times New Roman" w:cs="Times New Roman" w:hint="eastAsia"/>
        </w:rPr>
        <w:t>4</w:t>
      </w:r>
      <w:r w:rsidRPr="00C11CAD">
        <w:rPr>
          <w:rFonts w:ascii="Times New Roman" w:eastAsia="標楷體" w:hAnsi="Times New Roman" w:cs="Times New Roman"/>
        </w:rPr>
        <w:t>%</w:t>
      </w:r>
      <w:r w:rsidR="00690CF7" w:rsidRPr="00C11CAD">
        <w:rPr>
          <w:rFonts w:ascii="Times New Roman" w:eastAsia="標楷體" w:hAnsi="Times New Roman" w:cs="Times New Roman"/>
        </w:rPr>
        <w:t>，</w:t>
      </w:r>
      <w:r w:rsidRPr="00C11CAD">
        <w:rPr>
          <w:rFonts w:ascii="Times New Roman" w:eastAsia="標楷體" w:hAnsi="Times New Roman" w:cs="Times New Roman"/>
        </w:rPr>
        <w:t>亦高於同地區之投資等級債券基金。</w:t>
      </w:r>
    </w:p>
    <w:p w14:paraId="4D384693" w14:textId="6AB8E9FF" w:rsidR="002D676D" w:rsidRPr="00C11CAD" w:rsidRDefault="00690CF7"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就</w:t>
      </w:r>
      <w:r w:rsidR="002D676D" w:rsidRPr="00C11CAD">
        <w:rPr>
          <w:rFonts w:ascii="Times New Roman" w:eastAsia="標楷體" w:hAnsi="Times New Roman" w:cs="Times New Roman"/>
        </w:rPr>
        <w:t>一般型債券</w:t>
      </w:r>
      <w:r w:rsidR="002D676D" w:rsidRPr="00C11CAD">
        <w:rPr>
          <w:rFonts w:ascii="Times New Roman" w:eastAsia="標楷體" w:hAnsi="Times New Roman" w:cs="Times New Roman"/>
        </w:rPr>
        <w:t>ETF</w:t>
      </w:r>
      <w:r w:rsidRPr="00C11CAD">
        <w:rPr>
          <w:rFonts w:ascii="Times New Roman" w:eastAsia="標楷體" w:hAnsi="Times New Roman" w:cs="Times New Roman"/>
        </w:rPr>
        <w:t>，</w:t>
      </w:r>
      <w:r w:rsidRPr="00C11CAD">
        <w:rPr>
          <w:rFonts w:ascii="Times New Roman" w:eastAsia="標楷體" w:hAnsi="Times New Roman" w:cs="Times New Roman"/>
        </w:rPr>
        <w:t>7</w:t>
      </w:r>
      <w:r w:rsidRPr="00C11CAD">
        <w:rPr>
          <w:rFonts w:ascii="Times New Roman" w:eastAsia="標楷體" w:hAnsi="Times New Roman" w:cs="Times New Roman"/>
        </w:rPr>
        <w:t>月份</w:t>
      </w:r>
      <w:r w:rsidR="002D676D" w:rsidRPr="00C11CAD">
        <w:rPr>
          <w:rFonts w:ascii="Times New Roman" w:eastAsia="標楷體" w:hAnsi="Times New Roman" w:cs="Times New Roman"/>
        </w:rPr>
        <w:t>三個月平均報酬率為</w:t>
      </w:r>
      <w:r w:rsidR="002D676D" w:rsidRPr="00C11CAD">
        <w:rPr>
          <w:rFonts w:ascii="Times New Roman" w:eastAsia="標楷體" w:hAnsi="Times New Roman" w:cs="Times New Roman"/>
        </w:rPr>
        <w:t xml:space="preserve"> -0.01%</w:t>
      </w:r>
      <w:r w:rsidR="002D676D" w:rsidRPr="00C11CAD">
        <w:rPr>
          <w:rFonts w:ascii="Times New Roman" w:eastAsia="標楷體" w:hAnsi="Times New Roman" w:cs="Times New Roman"/>
        </w:rPr>
        <w:t>，年初至</w:t>
      </w:r>
      <w:r w:rsidR="002D676D" w:rsidRPr="00C11CAD">
        <w:rPr>
          <w:rFonts w:ascii="Times New Roman" w:eastAsia="標楷體" w:hAnsi="Times New Roman" w:cs="Times New Roman"/>
        </w:rPr>
        <w:t>7</w:t>
      </w:r>
      <w:r w:rsidR="002D676D" w:rsidRPr="00C11CAD">
        <w:rPr>
          <w:rFonts w:ascii="Times New Roman" w:eastAsia="標楷體" w:hAnsi="Times New Roman" w:cs="Times New Roman"/>
        </w:rPr>
        <w:t>月底平均報酬率為</w:t>
      </w:r>
      <w:r w:rsidR="002D676D" w:rsidRPr="00C11CAD">
        <w:rPr>
          <w:rFonts w:ascii="Times New Roman" w:eastAsia="標楷體" w:hAnsi="Times New Roman" w:cs="Times New Roman"/>
        </w:rPr>
        <w:t>0.14%</w:t>
      </w:r>
      <w:r w:rsidR="002D676D" w:rsidRPr="00C11CAD">
        <w:rPr>
          <w:rFonts w:ascii="Times New Roman" w:eastAsia="標楷體" w:hAnsi="Times New Roman" w:cs="Times New Roman"/>
        </w:rPr>
        <w:t>；主動式海外債券</w:t>
      </w:r>
      <w:r w:rsidR="002D676D" w:rsidRPr="00C11CAD">
        <w:rPr>
          <w:rFonts w:ascii="Times New Roman" w:eastAsia="標楷體" w:hAnsi="Times New Roman" w:cs="Times New Roman"/>
        </w:rPr>
        <w:t>ETF</w:t>
      </w:r>
      <w:r w:rsidR="002D676D" w:rsidRPr="00C11CAD">
        <w:rPr>
          <w:rFonts w:ascii="Times New Roman" w:eastAsia="標楷體" w:hAnsi="Times New Roman" w:cs="Times New Roman"/>
        </w:rPr>
        <w:t>則分別為</w:t>
      </w:r>
      <w:r w:rsidR="002D676D" w:rsidRPr="00C11CAD">
        <w:rPr>
          <w:rFonts w:ascii="Times New Roman" w:eastAsia="標楷體" w:hAnsi="Times New Roman" w:cs="Times New Roman"/>
        </w:rPr>
        <w:t>1.01%</w:t>
      </w:r>
      <w:r w:rsidR="002D676D" w:rsidRPr="00C11CAD">
        <w:rPr>
          <w:rFonts w:ascii="Times New Roman" w:eastAsia="標楷體" w:hAnsi="Times New Roman" w:cs="Times New Roman"/>
        </w:rPr>
        <w:t>與</w:t>
      </w:r>
      <w:r w:rsidR="002D676D" w:rsidRPr="00C11CAD">
        <w:rPr>
          <w:rFonts w:ascii="Times New Roman" w:eastAsia="標楷體" w:hAnsi="Times New Roman" w:cs="Times New Roman"/>
        </w:rPr>
        <w:t>2.04%</w:t>
      </w:r>
      <w:r w:rsidR="002D676D" w:rsidRPr="00C11CAD">
        <w:rPr>
          <w:rFonts w:ascii="Times New Roman" w:eastAsia="標楷體" w:hAnsi="Times New Roman" w:cs="Times New Roman"/>
        </w:rPr>
        <w:t>，相對表現較佳。至於海外貨幣市場基金，三個月平均報酬率為</w:t>
      </w:r>
      <w:r w:rsidR="002D676D" w:rsidRPr="00C11CAD">
        <w:rPr>
          <w:rFonts w:ascii="Times New Roman" w:eastAsia="標楷體" w:hAnsi="Times New Roman" w:cs="Times New Roman"/>
        </w:rPr>
        <w:t>1.46%</w:t>
      </w:r>
      <w:r w:rsidR="002D676D" w:rsidRPr="00C11CAD">
        <w:rPr>
          <w:rFonts w:ascii="Times New Roman" w:eastAsia="標楷體" w:hAnsi="Times New Roman" w:cs="Times New Roman"/>
        </w:rPr>
        <w:t>，年初至</w:t>
      </w:r>
      <w:r w:rsidR="002D676D" w:rsidRPr="00C11CAD">
        <w:rPr>
          <w:rFonts w:ascii="Times New Roman" w:eastAsia="標楷體" w:hAnsi="Times New Roman" w:cs="Times New Roman"/>
        </w:rPr>
        <w:t>7</w:t>
      </w:r>
      <w:r w:rsidR="002D676D" w:rsidRPr="00C11CAD">
        <w:rPr>
          <w:rFonts w:ascii="Times New Roman" w:eastAsia="標楷體" w:hAnsi="Times New Roman" w:cs="Times New Roman"/>
        </w:rPr>
        <w:t>月底平均報酬率</w:t>
      </w:r>
      <w:r w:rsidRPr="00C11CAD">
        <w:rPr>
          <w:rFonts w:ascii="Times New Roman" w:eastAsia="標楷體" w:hAnsi="Times New Roman" w:cs="Times New Roman"/>
        </w:rPr>
        <w:t>為</w:t>
      </w:r>
      <w:r w:rsidR="002D676D" w:rsidRPr="00C11CAD">
        <w:rPr>
          <w:rFonts w:ascii="Times New Roman" w:eastAsia="標楷體" w:hAnsi="Times New Roman" w:cs="Times New Roman"/>
        </w:rPr>
        <w:t>2.87%</w:t>
      </w:r>
      <w:r w:rsidR="002D676D" w:rsidRPr="00C11CAD">
        <w:rPr>
          <w:rFonts w:ascii="Times New Roman" w:eastAsia="標楷體" w:hAnsi="Times New Roman" w:cs="Times New Roman"/>
        </w:rPr>
        <w:t>，成為固定收益產品中表現較為穩定的類型。</w:t>
      </w:r>
    </w:p>
    <w:p w14:paraId="0E6EA7E2" w14:textId="304F8562" w:rsidR="002D676D" w:rsidRPr="00C11CAD" w:rsidRDefault="002D676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平衡型基金方面，國內債券股票平衡型基金</w:t>
      </w:r>
      <w:r w:rsidR="00D14FE8" w:rsidRPr="00C11CAD">
        <w:rPr>
          <w:rFonts w:ascii="Times New Roman" w:eastAsia="標楷體" w:hAnsi="Times New Roman" w:cs="Times New Roman"/>
        </w:rPr>
        <w:t>之</w:t>
      </w:r>
      <w:r w:rsidR="00D14FE8" w:rsidRPr="00C11CAD">
        <w:rPr>
          <w:rFonts w:ascii="Times New Roman" w:eastAsia="標楷體" w:hAnsi="Times New Roman" w:cs="Times New Roman"/>
        </w:rPr>
        <w:t>7</w:t>
      </w:r>
      <w:r w:rsidR="00D14FE8" w:rsidRPr="00C11CAD">
        <w:rPr>
          <w:rFonts w:ascii="Times New Roman" w:eastAsia="標楷體" w:hAnsi="Times New Roman" w:cs="Times New Roman"/>
        </w:rPr>
        <w:t>月份</w:t>
      </w:r>
      <w:r w:rsidRPr="00C11CAD">
        <w:rPr>
          <w:rFonts w:ascii="Times New Roman" w:eastAsia="標楷體" w:hAnsi="Times New Roman" w:cs="Times New Roman"/>
        </w:rPr>
        <w:t>三個月平均報酬率為</w:t>
      </w:r>
      <w:r w:rsidR="00D14FE8" w:rsidRPr="00C11CAD">
        <w:rPr>
          <w:rFonts w:ascii="Times New Roman" w:eastAsia="標楷體" w:hAnsi="Times New Roman" w:cs="Times New Roman"/>
        </w:rPr>
        <w:t xml:space="preserve">  </w:t>
      </w:r>
      <w:r w:rsidRPr="00C11CAD">
        <w:rPr>
          <w:rFonts w:ascii="Times New Roman" w:eastAsia="標楷體" w:hAnsi="Times New Roman" w:cs="Times New Roman"/>
        </w:rPr>
        <w:t>-5.22%</w:t>
      </w:r>
      <w:r w:rsidRPr="00C11CAD">
        <w:rPr>
          <w:rFonts w:ascii="Times New Roman" w:eastAsia="標楷體" w:hAnsi="Times New Roman" w:cs="Times New Roman"/>
        </w:rPr>
        <w:t>，年初至</w:t>
      </w:r>
      <w:r w:rsidRPr="00C11CAD">
        <w:rPr>
          <w:rFonts w:ascii="Times New Roman" w:eastAsia="標楷體" w:hAnsi="Times New Roman" w:cs="Times New Roman"/>
        </w:rPr>
        <w:t>7</w:t>
      </w:r>
      <w:r w:rsidRPr="00C11CAD">
        <w:rPr>
          <w:rFonts w:ascii="Times New Roman" w:eastAsia="標楷體" w:hAnsi="Times New Roman" w:cs="Times New Roman"/>
        </w:rPr>
        <w:t>月底平均報酬率為</w:t>
      </w:r>
      <w:r w:rsidRPr="00C11CAD">
        <w:rPr>
          <w:rFonts w:ascii="Times New Roman" w:eastAsia="標楷體" w:hAnsi="Times New Roman" w:cs="Times New Roman"/>
        </w:rPr>
        <w:t>40.25%</w:t>
      </w:r>
      <w:r w:rsidRPr="00C11CAD">
        <w:rPr>
          <w:rFonts w:ascii="Times New Roman" w:eastAsia="標楷體" w:hAnsi="Times New Roman" w:cs="Times New Roman"/>
        </w:rPr>
        <w:t>，顯示前者深受台股</w:t>
      </w:r>
      <w:bookmarkStart w:id="9" w:name="_Hlk236851551"/>
      <w:r w:rsidRPr="00C11CAD">
        <w:rPr>
          <w:rFonts w:ascii="Times New Roman" w:eastAsia="標楷體" w:hAnsi="Times New Roman" w:cs="Times New Roman"/>
        </w:rPr>
        <w:t>7</w:t>
      </w:r>
      <w:r w:rsidRPr="00C11CAD">
        <w:rPr>
          <w:rFonts w:ascii="Times New Roman" w:eastAsia="標楷體" w:hAnsi="Times New Roman" w:cs="Times New Roman"/>
        </w:rPr>
        <w:t>月份</w:t>
      </w:r>
      <w:bookmarkEnd w:id="9"/>
      <w:r w:rsidRPr="00C11CAD">
        <w:rPr>
          <w:rFonts w:ascii="Times New Roman" w:eastAsia="標楷體" w:hAnsi="Times New Roman" w:cs="Times New Roman"/>
        </w:rPr>
        <w:t>大幅振</w:t>
      </w:r>
      <w:r w:rsidRPr="00C11CAD">
        <w:rPr>
          <w:rFonts w:ascii="Times New Roman" w:eastAsia="標楷體" w:hAnsi="Times New Roman" w:cs="Times New Roman"/>
        </w:rPr>
        <w:lastRenderedPageBreak/>
        <w:t>盪的衝擊。跨國投資平衡型基金則以亞洲區域型表現最佳，</w:t>
      </w:r>
      <w:r w:rsidR="00690CF7" w:rsidRPr="00C11CAD">
        <w:rPr>
          <w:rFonts w:ascii="Times New Roman" w:eastAsia="標楷體" w:hAnsi="Times New Roman" w:cs="Times New Roman"/>
        </w:rPr>
        <w:t>7</w:t>
      </w:r>
      <w:r w:rsidR="00690CF7" w:rsidRPr="00C11CAD">
        <w:rPr>
          <w:rFonts w:ascii="Times New Roman" w:eastAsia="標楷體" w:hAnsi="Times New Roman" w:cs="Times New Roman"/>
        </w:rPr>
        <w:t>月份</w:t>
      </w:r>
      <w:r w:rsidRPr="00C11CAD">
        <w:rPr>
          <w:rFonts w:ascii="Times New Roman" w:eastAsia="標楷體" w:hAnsi="Times New Roman" w:cs="Times New Roman"/>
        </w:rPr>
        <w:t>三個月平均報酬率為</w:t>
      </w:r>
      <w:r w:rsidRPr="00C11CAD">
        <w:rPr>
          <w:rFonts w:ascii="Times New Roman" w:eastAsia="標楷體" w:hAnsi="Times New Roman" w:cs="Times New Roman"/>
        </w:rPr>
        <w:t>5.34%</w:t>
      </w:r>
      <w:r w:rsidRPr="00C11CAD">
        <w:rPr>
          <w:rFonts w:ascii="Times New Roman" w:eastAsia="標楷體" w:hAnsi="Times New Roman" w:cs="Times New Roman"/>
        </w:rPr>
        <w:t>，年初至</w:t>
      </w:r>
      <w:r w:rsidRPr="00C11CAD">
        <w:rPr>
          <w:rFonts w:ascii="Times New Roman" w:eastAsia="標楷體" w:hAnsi="Times New Roman" w:cs="Times New Roman"/>
        </w:rPr>
        <w:t>7</w:t>
      </w:r>
      <w:r w:rsidRPr="00C11CAD">
        <w:rPr>
          <w:rFonts w:ascii="Times New Roman" w:eastAsia="標楷體" w:hAnsi="Times New Roman" w:cs="Times New Roman"/>
        </w:rPr>
        <w:t>月底平均報酬率為</w:t>
      </w:r>
      <w:r w:rsidRPr="00C11CAD">
        <w:rPr>
          <w:rFonts w:ascii="Times New Roman" w:eastAsia="標楷體" w:hAnsi="Times New Roman" w:cs="Times New Roman"/>
        </w:rPr>
        <w:t>27.65%</w:t>
      </w:r>
      <w:r w:rsidRPr="00C11CAD">
        <w:rPr>
          <w:rFonts w:ascii="Times New Roman" w:eastAsia="標楷體" w:hAnsi="Times New Roman" w:cs="Times New Roman"/>
        </w:rPr>
        <w:t>。另外，平衡型之指數股票型，上述兩個期間的平均報酬率分別為</w:t>
      </w:r>
      <w:r w:rsidRPr="00C11CAD">
        <w:rPr>
          <w:rFonts w:ascii="Times New Roman" w:eastAsia="標楷體" w:hAnsi="Times New Roman" w:cs="Times New Roman"/>
        </w:rPr>
        <w:t>6.42%</w:t>
      </w:r>
      <w:r w:rsidRPr="00C11CAD">
        <w:rPr>
          <w:rFonts w:ascii="Times New Roman" w:eastAsia="標楷體" w:hAnsi="Times New Roman" w:cs="Times New Roman"/>
        </w:rPr>
        <w:t>、</w:t>
      </w:r>
      <w:r w:rsidRPr="00C11CAD">
        <w:rPr>
          <w:rFonts w:ascii="Times New Roman" w:eastAsia="標楷體" w:hAnsi="Times New Roman" w:cs="Times New Roman"/>
        </w:rPr>
        <w:t>21.85%</w:t>
      </w:r>
      <w:r w:rsidRPr="00C11CAD">
        <w:rPr>
          <w:rFonts w:ascii="Times New Roman" w:eastAsia="標楷體" w:hAnsi="Times New Roman" w:cs="Times New Roman"/>
        </w:rPr>
        <w:t>。</w:t>
      </w:r>
    </w:p>
    <w:p w14:paraId="49734965" w14:textId="5B21E1C3" w:rsidR="002D676D" w:rsidRPr="00C11CAD" w:rsidRDefault="002D676D"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至於組合型基金，國內型之</w:t>
      </w:r>
      <w:r w:rsidRPr="00C11CAD">
        <w:rPr>
          <w:rFonts w:ascii="Times New Roman" w:eastAsia="標楷體" w:hAnsi="Times New Roman" w:cs="Times New Roman"/>
        </w:rPr>
        <w:t>7</w:t>
      </w:r>
      <w:r w:rsidRPr="00C11CAD">
        <w:rPr>
          <w:rFonts w:ascii="Times New Roman" w:eastAsia="標楷體" w:hAnsi="Times New Roman" w:cs="Times New Roman"/>
        </w:rPr>
        <w:t>月份三個月表現</w:t>
      </w:r>
      <w:r w:rsidR="00690CF7" w:rsidRPr="00C11CAD">
        <w:rPr>
          <w:rFonts w:ascii="Times New Roman" w:eastAsia="標楷體" w:hAnsi="Times New Roman" w:cs="Times New Roman"/>
        </w:rPr>
        <w:t>，</w:t>
      </w:r>
      <w:r w:rsidRPr="00C11CAD">
        <w:rPr>
          <w:rFonts w:ascii="Times New Roman" w:eastAsia="標楷體" w:hAnsi="Times New Roman" w:cs="Times New Roman"/>
        </w:rPr>
        <w:t>因</w:t>
      </w:r>
      <w:r w:rsidRPr="00C11CAD">
        <w:rPr>
          <w:rFonts w:ascii="Times New Roman" w:eastAsia="標楷體" w:hAnsi="Times New Roman" w:cs="Times New Roman"/>
        </w:rPr>
        <w:t>7</w:t>
      </w:r>
      <w:r w:rsidRPr="00C11CAD">
        <w:rPr>
          <w:rFonts w:ascii="Times New Roman" w:eastAsia="標楷體" w:hAnsi="Times New Roman" w:cs="Times New Roman"/>
        </w:rPr>
        <w:t>月股市亂流，平均報酬率為</w:t>
      </w:r>
      <w:r w:rsidR="00D14FE8" w:rsidRPr="00C11CAD">
        <w:rPr>
          <w:rFonts w:ascii="Times New Roman" w:eastAsia="標楷體" w:hAnsi="Times New Roman" w:cs="Times New Roman"/>
        </w:rPr>
        <w:t xml:space="preserve"> </w:t>
      </w:r>
      <w:r w:rsidRPr="00C11CAD">
        <w:rPr>
          <w:rFonts w:ascii="Times New Roman" w:eastAsia="標楷體" w:hAnsi="Times New Roman" w:cs="Times New Roman"/>
        </w:rPr>
        <w:t>-2.28%</w:t>
      </w:r>
      <w:r w:rsidRPr="00C11CAD">
        <w:rPr>
          <w:rFonts w:ascii="Times New Roman" w:eastAsia="標楷體" w:hAnsi="Times New Roman" w:cs="Times New Roman"/>
        </w:rPr>
        <w:t>；</w:t>
      </w:r>
      <w:r w:rsidRPr="00C11CAD">
        <w:rPr>
          <w:rFonts w:ascii="Times New Roman" w:eastAsia="標楷體" w:hAnsi="Times New Roman" w:cs="Times New Roman"/>
        </w:rPr>
        <w:t>7</w:t>
      </w:r>
      <w:r w:rsidRPr="00C11CAD">
        <w:rPr>
          <w:rFonts w:ascii="Times New Roman" w:eastAsia="標楷體" w:hAnsi="Times New Roman" w:cs="Times New Roman"/>
        </w:rPr>
        <w:t>月底至今的平均報酬率則為</w:t>
      </w:r>
      <w:r w:rsidRPr="00C11CAD">
        <w:rPr>
          <w:rFonts w:ascii="Times New Roman" w:eastAsia="標楷體" w:hAnsi="Times New Roman" w:cs="Times New Roman"/>
        </w:rPr>
        <w:t>37.82%</w:t>
      </w:r>
      <w:r w:rsidRPr="00C11CAD">
        <w:rPr>
          <w:rFonts w:ascii="Times New Roman" w:eastAsia="標楷體" w:hAnsi="Times New Roman" w:cs="Times New Roman"/>
        </w:rPr>
        <w:t>，</w:t>
      </w:r>
      <w:r w:rsidR="00690CF7" w:rsidRPr="00C11CAD">
        <w:rPr>
          <w:rFonts w:ascii="Times New Roman" w:eastAsia="標楷體" w:hAnsi="Times New Roman" w:cs="Times New Roman"/>
        </w:rPr>
        <w:t>也有</w:t>
      </w:r>
      <w:r w:rsidRPr="00C11CAD">
        <w:rPr>
          <w:rFonts w:ascii="Times New Roman" w:eastAsia="標楷體" w:hAnsi="Times New Roman" w:cs="Times New Roman"/>
        </w:rPr>
        <w:t>台股的表現有相似</w:t>
      </w:r>
      <w:r w:rsidR="00690CF7" w:rsidRPr="00C11CAD">
        <w:rPr>
          <w:rFonts w:ascii="Times New Roman" w:eastAsia="標楷體" w:hAnsi="Times New Roman" w:cs="Times New Roman"/>
        </w:rPr>
        <w:t>的趨勢</w:t>
      </w:r>
      <w:r w:rsidRPr="00C11CAD">
        <w:rPr>
          <w:rFonts w:ascii="Times New Roman" w:eastAsia="標楷體" w:hAnsi="Times New Roman" w:cs="Times New Roman"/>
        </w:rPr>
        <w:t>。而跨國投資股票組合型</w:t>
      </w:r>
      <w:r w:rsidRPr="00C11CAD">
        <w:rPr>
          <w:rFonts w:ascii="Times New Roman" w:eastAsia="標楷體" w:hAnsi="Times New Roman" w:cs="Times New Roman"/>
        </w:rPr>
        <w:t>7</w:t>
      </w:r>
      <w:r w:rsidRPr="00C11CAD">
        <w:rPr>
          <w:rFonts w:ascii="Times New Roman" w:eastAsia="標楷體" w:hAnsi="Times New Roman" w:cs="Times New Roman"/>
        </w:rPr>
        <w:t>月</w:t>
      </w:r>
      <w:r w:rsidR="00690CF7" w:rsidRPr="00C11CAD">
        <w:rPr>
          <w:rFonts w:ascii="Times New Roman" w:eastAsia="標楷體" w:hAnsi="Times New Roman" w:cs="Times New Roman"/>
        </w:rPr>
        <w:t>份</w:t>
      </w:r>
      <w:r w:rsidRPr="00C11CAD">
        <w:rPr>
          <w:rFonts w:ascii="Times New Roman" w:eastAsia="標楷體" w:hAnsi="Times New Roman" w:cs="Times New Roman"/>
        </w:rPr>
        <w:t>三個月的平均報酬率</w:t>
      </w:r>
      <w:r w:rsidR="00FC22DA" w:rsidRPr="00C11CAD">
        <w:rPr>
          <w:rFonts w:ascii="Times New Roman" w:eastAsia="標楷體" w:hAnsi="Times New Roman" w:cs="Times New Roman"/>
        </w:rPr>
        <w:t>，僅</w:t>
      </w:r>
      <w:r w:rsidRPr="00C11CAD">
        <w:rPr>
          <w:rFonts w:ascii="Times New Roman" w:eastAsia="標楷體" w:hAnsi="Times New Roman" w:cs="Times New Roman"/>
        </w:rPr>
        <w:t>略高於債券組合型</w:t>
      </w:r>
      <w:r w:rsidR="00FC22DA" w:rsidRPr="00C11CAD">
        <w:rPr>
          <w:rFonts w:ascii="Times New Roman" w:eastAsia="標楷體" w:hAnsi="Times New Roman" w:cs="Times New Roman"/>
        </w:rPr>
        <w:t>；</w:t>
      </w:r>
      <w:r w:rsidRPr="00C11CAD">
        <w:rPr>
          <w:rFonts w:ascii="Times New Roman" w:eastAsia="標楷體" w:hAnsi="Times New Roman" w:cs="Times New Roman"/>
        </w:rPr>
        <w:t>但</w:t>
      </w:r>
      <w:r w:rsidRPr="00C11CAD">
        <w:rPr>
          <w:rFonts w:ascii="Times New Roman" w:eastAsia="標楷體" w:hAnsi="Times New Roman" w:cs="Times New Roman"/>
        </w:rPr>
        <w:t>7</w:t>
      </w:r>
      <w:r w:rsidRPr="00C11CAD">
        <w:rPr>
          <w:rFonts w:ascii="Times New Roman" w:eastAsia="標楷體" w:hAnsi="Times New Roman" w:cs="Times New Roman"/>
        </w:rPr>
        <w:t>月底至今的平均報酬率，</w:t>
      </w:r>
      <w:r w:rsidR="006E7F27" w:rsidRPr="00C11CAD">
        <w:rPr>
          <w:rFonts w:ascii="Times New Roman" w:eastAsia="標楷體" w:hAnsi="Times New Roman" w:cs="Times New Roman" w:hint="eastAsia"/>
        </w:rPr>
        <w:t>股票</w:t>
      </w:r>
      <w:r w:rsidRPr="00C11CAD">
        <w:rPr>
          <w:rFonts w:ascii="Times New Roman" w:eastAsia="標楷體" w:hAnsi="Times New Roman" w:cs="Times New Roman"/>
        </w:rPr>
        <w:t>組合型則明顯高出債券組合型。最後，不動產證券化型基金</w:t>
      </w:r>
      <w:r w:rsidRPr="00C11CAD">
        <w:rPr>
          <w:rFonts w:ascii="Times New Roman" w:eastAsia="標楷體" w:hAnsi="Times New Roman" w:cs="Times New Roman"/>
        </w:rPr>
        <w:t>7</w:t>
      </w:r>
      <w:r w:rsidRPr="00C11CAD">
        <w:rPr>
          <w:rFonts w:ascii="Times New Roman" w:eastAsia="標楷體" w:hAnsi="Times New Roman" w:cs="Times New Roman"/>
        </w:rPr>
        <w:t>月份三個月平均報酬率為</w:t>
      </w:r>
      <w:r w:rsidRPr="00C11CAD">
        <w:rPr>
          <w:rFonts w:ascii="Times New Roman" w:eastAsia="標楷體" w:hAnsi="Times New Roman" w:cs="Times New Roman"/>
        </w:rPr>
        <w:t xml:space="preserve"> 1.65%</w:t>
      </w:r>
      <w:r w:rsidRPr="00C11CAD">
        <w:rPr>
          <w:rFonts w:ascii="Times New Roman" w:eastAsia="標楷體" w:hAnsi="Times New Roman" w:cs="Times New Roman"/>
        </w:rPr>
        <w:t>，</w:t>
      </w:r>
      <w:r w:rsidRPr="00C11CAD">
        <w:rPr>
          <w:rFonts w:ascii="Times New Roman" w:eastAsia="標楷體" w:hAnsi="Times New Roman" w:cs="Times New Roman"/>
        </w:rPr>
        <w:t>7</w:t>
      </w:r>
      <w:r w:rsidRPr="00C11CAD">
        <w:rPr>
          <w:rFonts w:ascii="Times New Roman" w:eastAsia="標楷體" w:hAnsi="Times New Roman" w:cs="Times New Roman"/>
        </w:rPr>
        <w:t>月底至今的平均報酬率</w:t>
      </w:r>
      <w:r w:rsidRPr="00C11CAD">
        <w:rPr>
          <w:rFonts w:ascii="Times New Roman" w:eastAsia="標楷體" w:hAnsi="Times New Roman" w:cs="Times New Roman"/>
        </w:rPr>
        <w:t>7.97%</w:t>
      </w:r>
      <w:r w:rsidRPr="00C11CAD">
        <w:rPr>
          <w:rFonts w:ascii="Times New Roman" w:eastAsia="標楷體" w:hAnsi="Times New Roman" w:cs="Times New Roman"/>
        </w:rPr>
        <w:t>，反映近來不動產市場表現有轉好的現象。</w:t>
      </w:r>
    </w:p>
    <w:p w14:paraId="7F57C07D" w14:textId="77777777" w:rsidR="009875D1" w:rsidRPr="00C11CAD" w:rsidRDefault="009875D1" w:rsidP="0082257D">
      <w:pPr>
        <w:spacing w:line="360" w:lineRule="auto"/>
        <w:ind w:firstLineChars="200" w:firstLine="480"/>
        <w:jc w:val="both"/>
        <w:rPr>
          <w:rFonts w:ascii="Times New Roman" w:eastAsia="標楷體" w:hAnsi="Times New Roman" w:cs="Times New Roman"/>
        </w:rPr>
      </w:pPr>
      <w:r w:rsidRPr="00C11CAD">
        <w:rPr>
          <w:rFonts w:ascii="Times New Roman" w:eastAsia="標楷體" w:hAnsi="Times New Roman" w:cs="Times New Roman"/>
        </w:rPr>
        <w:t>綜合而言，</w:t>
      </w:r>
      <w:r w:rsidRPr="00C11CAD">
        <w:rPr>
          <w:rFonts w:ascii="Times New Roman" w:eastAsia="標楷體" w:hAnsi="Times New Roman" w:cs="Times New Roman"/>
        </w:rPr>
        <w:t>7</w:t>
      </w:r>
      <w:r w:rsidRPr="00C11CAD">
        <w:rPr>
          <w:rFonts w:ascii="Times New Roman" w:eastAsia="標楷體" w:hAnsi="Times New Roman" w:cs="Times New Roman"/>
        </w:rPr>
        <w:t>月的市場波動主要集中於</w:t>
      </w:r>
      <w:r w:rsidRPr="00C11CAD">
        <w:rPr>
          <w:rFonts w:ascii="Times New Roman" w:eastAsia="標楷體" w:hAnsi="Times New Roman" w:cs="Times New Roman"/>
        </w:rPr>
        <w:t>AI</w:t>
      </w:r>
      <w:r w:rsidRPr="00C11CAD">
        <w:rPr>
          <w:rFonts w:ascii="Times New Roman" w:eastAsia="標楷體" w:hAnsi="Times New Roman" w:cs="Times New Roman"/>
        </w:rPr>
        <w:t>科技股、半導體及高槓桿交易。</w:t>
      </w:r>
      <w:proofErr w:type="gramStart"/>
      <w:r w:rsidRPr="00C11CAD">
        <w:rPr>
          <w:rFonts w:ascii="Times New Roman" w:eastAsia="標楷體" w:hAnsi="Times New Roman" w:cs="Times New Roman"/>
        </w:rPr>
        <w:t>當估值</w:t>
      </w:r>
      <w:proofErr w:type="gramEnd"/>
      <w:r w:rsidRPr="00C11CAD">
        <w:rPr>
          <w:rFonts w:ascii="Times New Roman" w:eastAsia="標楷體" w:hAnsi="Times New Roman" w:cs="Times New Roman"/>
        </w:rPr>
        <w:t>偏高、部位集中並結合槓桿</w:t>
      </w:r>
      <w:r w:rsidRPr="00C11CAD">
        <w:rPr>
          <w:rFonts w:ascii="Times New Roman" w:eastAsia="標楷體" w:hAnsi="Times New Roman" w:cs="Times New Roman"/>
        </w:rPr>
        <w:t>ETF</w:t>
      </w:r>
      <w:r w:rsidRPr="00C11CAD">
        <w:rPr>
          <w:rFonts w:ascii="Times New Roman" w:eastAsia="標楷體" w:hAnsi="Times New Roman" w:cs="Times New Roman"/>
        </w:rPr>
        <w:t>與信用融資時，價格下跌容易透過被迫平倉而進一步放大。基金績效也顯示，價值型、高股息及短天期固定收益產品在震盪期間相對穩健。儘管月底強勁反彈顯示</w:t>
      </w:r>
      <w:r w:rsidRPr="00C11CAD">
        <w:rPr>
          <w:rFonts w:ascii="Times New Roman" w:eastAsia="標楷體" w:hAnsi="Times New Roman" w:cs="Times New Roman"/>
        </w:rPr>
        <w:t>AI</w:t>
      </w:r>
      <w:r w:rsidRPr="00C11CAD">
        <w:rPr>
          <w:rFonts w:ascii="Times New Roman" w:eastAsia="標楷體" w:hAnsi="Times New Roman" w:cs="Times New Roman"/>
        </w:rPr>
        <w:t>投資趨勢尚未逆轉，這波震盪也顯示，基金績效不僅取決於資產基本面，更受到投資風格、產業配置、存續期間及市場交易結構的影響。</w:t>
      </w:r>
    </w:p>
    <w:p w14:paraId="06305D9F" w14:textId="77777777" w:rsidR="002D676D" w:rsidRPr="00C11CAD" w:rsidRDefault="002D676D" w:rsidP="0082257D">
      <w:pPr>
        <w:spacing w:line="360" w:lineRule="auto"/>
        <w:ind w:firstLineChars="200" w:firstLine="480"/>
        <w:jc w:val="both"/>
        <w:rPr>
          <w:rFonts w:ascii="Times New Roman" w:eastAsia="標楷體" w:hAnsi="Times New Roman" w:cs="Times New Roman"/>
        </w:rPr>
      </w:pPr>
    </w:p>
    <w:p w14:paraId="3DFCC3A4" w14:textId="77777777" w:rsidR="00DE6ACD" w:rsidRPr="00C11CAD" w:rsidRDefault="00DE6ACD" w:rsidP="0082257D">
      <w:pPr>
        <w:spacing w:line="360" w:lineRule="auto"/>
        <w:ind w:firstLineChars="200" w:firstLine="480"/>
        <w:jc w:val="both"/>
        <w:rPr>
          <w:rFonts w:ascii="Times New Roman" w:eastAsia="標楷體" w:hAnsi="Times New Roman" w:cs="Times New Roman"/>
        </w:rPr>
      </w:pPr>
    </w:p>
    <w:sectPr w:rsidR="00DE6ACD" w:rsidRPr="00C11CAD">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BE8F4" w14:textId="77777777" w:rsidR="00805066" w:rsidRDefault="00805066" w:rsidP="001C1D17">
      <w:r>
        <w:separator/>
      </w:r>
    </w:p>
  </w:endnote>
  <w:endnote w:type="continuationSeparator" w:id="0">
    <w:p w14:paraId="2D53425B" w14:textId="77777777" w:rsidR="00805066" w:rsidRDefault="00805066" w:rsidP="001C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53373"/>
      <w:docPartObj>
        <w:docPartGallery w:val="Page Numbers (Bottom of Page)"/>
        <w:docPartUnique/>
      </w:docPartObj>
    </w:sdtPr>
    <w:sdtEndPr/>
    <w:sdtContent>
      <w:p w14:paraId="69ECBD34" w14:textId="7805099E" w:rsidR="001C1D17" w:rsidRDefault="001C1D17">
        <w:pPr>
          <w:pStyle w:val="a5"/>
          <w:jc w:val="center"/>
        </w:pPr>
        <w:r>
          <w:fldChar w:fldCharType="begin"/>
        </w:r>
        <w:r>
          <w:instrText>PAGE   \* MERGEFORMAT</w:instrText>
        </w:r>
        <w:r>
          <w:fldChar w:fldCharType="separate"/>
        </w:r>
        <w:r>
          <w:rPr>
            <w:lang w:val="zh-TW"/>
          </w:rPr>
          <w:t>2</w:t>
        </w:r>
        <w:r>
          <w:fldChar w:fldCharType="end"/>
        </w:r>
      </w:p>
    </w:sdtContent>
  </w:sdt>
  <w:p w14:paraId="5C2C1519" w14:textId="4EF00BB3" w:rsidR="001C1D17" w:rsidRDefault="001C1D1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7C1E" w14:textId="77777777" w:rsidR="00805066" w:rsidRDefault="00805066" w:rsidP="001C1D17">
      <w:r>
        <w:separator/>
      </w:r>
    </w:p>
  </w:footnote>
  <w:footnote w:type="continuationSeparator" w:id="0">
    <w:p w14:paraId="7FB9570D" w14:textId="77777777" w:rsidR="00805066" w:rsidRDefault="00805066" w:rsidP="001C1D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47"/>
    <w:rsid w:val="0001386E"/>
    <w:rsid w:val="00195E4C"/>
    <w:rsid w:val="001C1D17"/>
    <w:rsid w:val="001E738E"/>
    <w:rsid w:val="00237E17"/>
    <w:rsid w:val="002B5901"/>
    <w:rsid w:val="002D676D"/>
    <w:rsid w:val="002F509C"/>
    <w:rsid w:val="003032A4"/>
    <w:rsid w:val="00367DB4"/>
    <w:rsid w:val="005368E4"/>
    <w:rsid w:val="00546487"/>
    <w:rsid w:val="00592BD7"/>
    <w:rsid w:val="005A450A"/>
    <w:rsid w:val="00612F1B"/>
    <w:rsid w:val="00640DB1"/>
    <w:rsid w:val="00690CF7"/>
    <w:rsid w:val="006C349A"/>
    <w:rsid w:val="006D37B9"/>
    <w:rsid w:val="006E7F27"/>
    <w:rsid w:val="00716771"/>
    <w:rsid w:val="00733816"/>
    <w:rsid w:val="007E7660"/>
    <w:rsid w:val="00805066"/>
    <w:rsid w:val="0082257D"/>
    <w:rsid w:val="00917B45"/>
    <w:rsid w:val="009328F4"/>
    <w:rsid w:val="00942E06"/>
    <w:rsid w:val="00954C8B"/>
    <w:rsid w:val="009875D1"/>
    <w:rsid w:val="00990358"/>
    <w:rsid w:val="009A102B"/>
    <w:rsid w:val="009F2689"/>
    <w:rsid w:val="00A13E77"/>
    <w:rsid w:val="00B44F9B"/>
    <w:rsid w:val="00C11CAD"/>
    <w:rsid w:val="00D05DBE"/>
    <w:rsid w:val="00D14FE8"/>
    <w:rsid w:val="00D437C8"/>
    <w:rsid w:val="00D578B8"/>
    <w:rsid w:val="00DA434B"/>
    <w:rsid w:val="00DE6ACD"/>
    <w:rsid w:val="00E80728"/>
    <w:rsid w:val="00E83287"/>
    <w:rsid w:val="00E94847"/>
    <w:rsid w:val="00EC4CB4"/>
    <w:rsid w:val="00EF5479"/>
    <w:rsid w:val="00F259AF"/>
    <w:rsid w:val="00F45EF5"/>
    <w:rsid w:val="00F71BC2"/>
    <w:rsid w:val="00F72767"/>
    <w:rsid w:val="00FC22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D4DC8"/>
  <w15:chartTrackingRefBased/>
  <w15:docId w15:val="{132ECA46-DF19-49B3-A7D3-AB0C868C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1D17"/>
    <w:pPr>
      <w:tabs>
        <w:tab w:val="center" w:pos="4153"/>
        <w:tab w:val="right" w:pos="8306"/>
      </w:tabs>
      <w:snapToGrid w:val="0"/>
    </w:pPr>
    <w:rPr>
      <w:sz w:val="20"/>
      <w:szCs w:val="20"/>
    </w:rPr>
  </w:style>
  <w:style w:type="character" w:customStyle="1" w:styleId="a4">
    <w:name w:val="頁首 字元"/>
    <w:basedOn w:val="a0"/>
    <w:link w:val="a3"/>
    <w:uiPriority w:val="99"/>
    <w:rsid w:val="001C1D17"/>
    <w:rPr>
      <w:sz w:val="20"/>
      <w:szCs w:val="20"/>
    </w:rPr>
  </w:style>
  <w:style w:type="paragraph" w:styleId="a5">
    <w:name w:val="footer"/>
    <w:basedOn w:val="a"/>
    <w:link w:val="a6"/>
    <w:uiPriority w:val="99"/>
    <w:unhideWhenUsed/>
    <w:rsid w:val="001C1D17"/>
    <w:pPr>
      <w:tabs>
        <w:tab w:val="center" w:pos="4153"/>
        <w:tab w:val="right" w:pos="8306"/>
      </w:tabs>
      <w:snapToGrid w:val="0"/>
    </w:pPr>
    <w:rPr>
      <w:sz w:val="20"/>
      <w:szCs w:val="20"/>
    </w:rPr>
  </w:style>
  <w:style w:type="character" w:customStyle="1" w:styleId="a6">
    <w:name w:val="頁尾 字元"/>
    <w:basedOn w:val="a0"/>
    <w:link w:val="a5"/>
    <w:uiPriority w:val="99"/>
    <w:rsid w:val="001C1D1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92BD9-9BEB-4989-ADF5-5CCE4497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593</Words>
  <Characters>3384</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2026-08-06T07:19:00Z</dcterms:created>
  <dcterms:modified xsi:type="dcterms:W3CDTF">2026-08-07T01:38:00Z</dcterms:modified>
</cp:coreProperties>
</file>