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15CE4" w14:textId="798119D0" w:rsidR="00A36C33" w:rsidRPr="006512EA" w:rsidRDefault="00A36C33" w:rsidP="006512EA">
      <w:pPr>
        <w:jc w:val="center"/>
        <w:rPr>
          <w:rFonts w:ascii="Times New Roman" w:eastAsia="標楷體" w:hAnsi="Times New Roman" w:cs="Times New Roman"/>
          <w:sz w:val="36"/>
          <w:szCs w:val="36"/>
        </w:rPr>
      </w:pPr>
      <w:r w:rsidRPr="006512EA">
        <w:rPr>
          <w:rFonts w:ascii="Times New Roman" w:eastAsia="標楷體" w:hAnsi="Times New Roman" w:cs="Times New Roman"/>
          <w:sz w:val="36"/>
          <w:szCs w:val="36"/>
        </w:rPr>
        <w:t>AI</w:t>
      </w:r>
      <w:r w:rsidRPr="006512EA">
        <w:rPr>
          <w:rFonts w:ascii="Times New Roman" w:eastAsia="標楷體" w:hAnsi="Times New Roman" w:cs="Times New Roman"/>
          <w:sz w:val="36"/>
          <w:szCs w:val="36"/>
        </w:rPr>
        <w:t>股市續強</w:t>
      </w:r>
      <w:r w:rsidRPr="006512EA">
        <w:rPr>
          <w:rFonts w:ascii="Times New Roman" w:eastAsia="標楷體" w:hAnsi="Times New Roman" w:cs="Times New Roman"/>
          <w:sz w:val="36"/>
          <w:szCs w:val="36"/>
        </w:rPr>
        <w:t xml:space="preserve"> </w:t>
      </w:r>
      <w:r w:rsidRPr="006512EA">
        <w:rPr>
          <w:rFonts w:ascii="Times New Roman" w:eastAsia="標楷體" w:hAnsi="Times New Roman" w:cs="Times New Roman"/>
          <w:sz w:val="36"/>
          <w:szCs w:val="36"/>
        </w:rPr>
        <w:t>債市卻拉起警報</w:t>
      </w:r>
    </w:p>
    <w:p w14:paraId="0CF1F034" w14:textId="77777777" w:rsidR="006512EA" w:rsidRPr="006512EA" w:rsidRDefault="006512EA" w:rsidP="006512EA">
      <w:pPr>
        <w:jc w:val="center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葉銀華</w:t>
      </w:r>
      <w:r w:rsidRPr="006512EA">
        <w:rPr>
          <w:rFonts w:ascii="Times New Roman" w:eastAsia="標楷體" w:hAnsi="Times New Roman" w:cs="Times New Roman"/>
        </w:rPr>
        <w:t xml:space="preserve"> </w:t>
      </w:r>
      <w:r w:rsidRPr="006512EA">
        <w:rPr>
          <w:rFonts w:ascii="Times New Roman" w:eastAsia="標楷體" w:hAnsi="Times New Roman" w:cs="Times New Roman"/>
        </w:rPr>
        <w:t>陽明交通大學資管與財金系教授</w:t>
      </w:r>
    </w:p>
    <w:p w14:paraId="65051449" w14:textId="3898BBEE" w:rsidR="00A36C33" w:rsidRPr="006512EA" w:rsidRDefault="006512EA" w:rsidP="006512EA">
      <w:pPr>
        <w:jc w:val="center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邱顯比</w:t>
      </w:r>
      <w:r w:rsidRPr="006512EA">
        <w:rPr>
          <w:rFonts w:ascii="Times New Roman" w:eastAsia="標楷體" w:hAnsi="Times New Roman" w:cs="Times New Roman"/>
        </w:rPr>
        <w:t xml:space="preserve"> </w:t>
      </w:r>
      <w:r w:rsidRPr="006512EA">
        <w:rPr>
          <w:rFonts w:ascii="Times New Roman" w:eastAsia="標楷體" w:hAnsi="Times New Roman" w:cs="Times New Roman"/>
        </w:rPr>
        <w:t>台灣大學財務金融學系</w:t>
      </w:r>
      <w:r w:rsidRPr="006512EA">
        <w:rPr>
          <w:rFonts w:ascii="Times New Roman" w:eastAsia="標楷體" w:hAnsi="Times New Roman" w:cs="Times New Roman"/>
        </w:rPr>
        <w:t>(</w:t>
      </w:r>
      <w:r w:rsidRPr="006512EA">
        <w:rPr>
          <w:rFonts w:ascii="Times New Roman" w:eastAsia="標楷體" w:hAnsi="Times New Roman" w:cs="Times New Roman"/>
        </w:rPr>
        <w:t>所</w:t>
      </w:r>
      <w:r w:rsidRPr="006512EA">
        <w:rPr>
          <w:rFonts w:ascii="Times New Roman" w:eastAsia="標楷體" w:hAnsi="Times New Roman" w:cs="Times New Roman"/>
        </w:rPr>
        <w:t>)</w:t>
      </w:r>
      <w:r w:rsidRPr="006512EA">
        <w:rPr>
          <w:rFonts w:ascii="Times New Roman" w:eastAsia="標楷體" w:hAnsi="Times New Roman" w:cs="Times New Roman"/>
        </w:rPr>
        <w:t>名譽教授</w:t>
      </w:r>
    </w:p>
    <w:p w14:paraId="44EA4B62" w14:textId="77777777" w:rsidR="006512EA" w:rsidRPr="006512EA" w:rsidRDefault="006512EA" w:rsidP="00A36C33">
      <w:pPr>
        <w:jc w:val="both"/>
        <w:rPr>
          <w:rFonts w:ascii="Times New Roman" w:eastAsia="標楷體" w:hAnsi="Times New Roman" w:cs="Times New Roman"/>
        </w:rPr>
      </w:pPr>
    </w:p>
    <w:p w14:paraId="5E76054F" w14:textId="74F3B817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今年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月全球金融市場呈現明顯分化。一方面，</w:t>
      </w:r>
      <w:r w:rsidRPr="006512EA">
        <w:rPr>
          <w:rFonts w:ascii="Times New Roman" w:eastAsia="標楷體" w:hAnsi="Times New Roman" w:cs="Times New Roman"/>
        </w:rPr>
        <w:t>AI</w:t>
      </w:r>
      <w:r w:rsidRPr="006512EA">
        <w:rPr>
          <w:rFonts w:ascii="Times New Roman" w:eastAsia="標楷體" w:hAnsi="Times New Roman" w:cs="Times New Roman"/>
        </w:rPr>
        <w:t>與半導體熱潮仍支撐部分科技與亞洲股市；另一方面，全球主要股市普遍轉弱，美國公債</w:t>
      </w:r>
      <w:proofErr w:type="gramStart"/>
      <w:r w:rsidRPr="006512EA">
        <w:rPr>
          <w:rFonts w:ascii="Times New Roman" w:eastAsia="標楷體" w:hAnsi="Times New Roman" w:cs="Times New Roman"/>
        </w:rPr>
        <w:t>殖</w:t>
      </w:r>
      <w:proofErr w:type="gramEnd"/>
      <w:r w:rsidRPr="006512EA">
        <w:rPr>
          <w:rFonts w:ascii="Times New Roman" w:eastAsia="標楷體" w:hAnsi="Times New Roman" w:cs="Times New Roman"/>
        </w:rPr>
        <w:t>利率更大幅攀升。這顯示市場仍看好</w:t>
      </w:r>
      <w:r w:rsidRPr="006512EA">
        <w:rPr>
          <w:rFonts w:ascii="Times New Roman" w:eastAsia="標楷體" w:hAnsi="Times New Roman" w:cs="Times New Roman"/>
        </w:rPr>
        <w:t>AI</w:t>
      </w:r>
      <w:r w:rsidRPr="006512EA">
        <w:rPr>
          <w:rFonts w:ascii="Times New Roman" w:eastAsia="標楷體" w:hAnsi="Times New Roman" w:cs="Times New Roman"/>
        </w:rPr>
        <w:t>帶來的成長與獲利，但對通膨、貨幣政策與資金成本的看法已明顯轉趨保守。</w:t>
      </w:r>
    </w:p>
    <w:p w14:paraId="2879CFEE" w14:textId="77777777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美國股市的內部分化尤其明顯。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月費城半導體指數大漲</w:t>
      </w:r>
      <w:r w:rsidRPr="006512EA">
        <w:rPr>
          <w:rFonts w:ascii="Times New Roman" w:eastAsia="標楷體" w:hAnsi="Times New Roman" w:cs="Times New Roman"/>
        </w:rPr>
        <w:t>9.48%</w:t>
      </w:r>
      <w:r w:rsidRPr="006512EA">
        <w:rPr>
          <w:rFonts w:ascii="Times New Roman" w:eastAsia="標楷體" w:hAnsi="Times New Roman" w:cs="Times New Roman"/>
        </w:rPr>
        <w:t>，那斯達克綜合指數上漲</w:t>
      </w:r>
      <w:r w:rsidRPr="006512EA">
        <w:rPr>
          <w:rFonts w:ascii="Times New Roman" w:eastAsia="標楷體" w:hAnsi="Times New Roman" w:cs="Times New Roman"/>
        </w:rPr>
        <w:t>1.86%</w:t>
      </w:r>
      <w:r w:rsidRPr="006512EA">
        <w:rPr>
          <w:rFonts w:ascii="Times New Roman" w:eastAsia="標楷體" w:hAnsi="Times New Roman" w:cs="Times New Roman"/>
        </w:rPr>
        <w:t>，但</w:t>
      </w:r>
      <w:r w:rsidRPr="006512EA">
        <w:rPr>
          <w:rFonts w:ascii="Times New Roman" w:eastAsia="標楷體" w:hAnsi="Times New Roman" w:cs="Times New Roman"/>
        </w:rPr>
        <w:t>S&amp;P 500</w:t>
      </w:r>
      <w:r w:rsidRPr="006512EA">
        <w:rPr>
          <w:rFonts w:ascii="Times New Roman" w:eastAsia="標楷體" w:hAnsi="Times New Roman" w:cs="Times New Roman"/>
        </w:rPr>
        <w:t>指數下跌</w:t>
      </w:r>
      <w:r w:rsidRPr="006512EA">
        <w:rPr>
          <w:rFonts w:ascii="Times New Roman" w:eastAsia="標楷體" w:hAnsi="Times New Roman" w:cs="Times New Roman"/>
        </w:rPr>
        <w:t>0.45%</w:t>
      </w:r>
      <w:r w:rsidRPr="006512EA">
        <w:rPr>
          <w:rFonts w:ascii="Times New Roman" w:eastAsia="標楷體" w:hAnsi="Times New Roman" w:cs="Times New Roman"/>
        </w:rPr>
        <w:t>，道瓊工業指數更下跌</w:t>
      </w:r>
      <w:r w:rsidRPr="006512EA">
        <w:rPr>
          <w:rFonts w:ascii="Times New Roman" w:eastAsia="標楷體" w:hAnsi="Times New Roman" w:cs="Times New Roman"/>
        </w:rPr>
        <w:t>4.29%</w:t>
      </w:r>
      <w:r w:rsidRPr="006512EA">
        <w:rPr>
          <w:rFonts w:ascii="Times New Roman" w:eastAsia="標楷體" w:hAnsi="Times New Roman" w:cs="Times New Roman"/>
        </w:rPr>
        <w:t>。這顯示美股並非全面維持多頭，而是漲勢明顯集中於半導體及科技產業。即使長期利率快速上升，</w:t>
      </w:r>
      <w:r w:rsidRPr="006512EA">
        <w:rPr>
          <w:rFonts w:ascii="Times New Roman" w:eastAsia="標楷體" w:hAnsi="Times New Roman" w:cs="Times New Roman"/>
        </w:rPr>
        <w:t>AI</w:t>
      </w:r>
      <w:r w:rsidRPr="006512EA">
        <w:rPr>
          <w:rFonts w:ascii="Times New Roman" w:eastAsia="標楷體" w:hAnsi="Times New Roman" w:cs="Times New Roman"/>
        </w:rPr>
        <w:t>相關企業的資本支出與獲利成長預期目前仍足以支撐股價；相較之下，其他產業較直接面對融資成本與能源價格上升的壓力。</w:t>
      </w:r>
    </w:p>
    <w:p w14:paraId="54232986" w14:textId="68F79D5E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亞洲股市表現也不一致。台灣加權指數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月上漲</w:t>
      </w:r>
      <w:r w:rsidRPr="006512EA">
        <w:rPr>
          <w:rFonts w:ascii="Times New Roman" w:eastAsia="標楷體" w:hAnsi="Times New Roman" w:cs="Times New Roman"/>
        </w:rPr>
        <w:t>3.93%</w:t>
      </w:r>
      <w:r w:rsidRPr="006512EA">
        <w:rPr>
          <w:rFonts w:ascii="Times New Roman" w:eastAsia="標楷體" w:hAnsi="Times New Roman" w:cs="Times New Roman"/>
        </w:rPr>
        <w:t>，台灣</w:t>
      </w:r>
      <w:r w:rsidRPr="006512EA">
        <w:rPr>
          <w:rFonts w:ascii="Times New Roman" w:eastAsia="標楷體" w:hAnsi="Times New Roman" w:cs="Times New Roman"/>
        </w:rPr>
        <w:t>50</w:t>
      </w:r>
      <w:r w:rsidRPr="006512EA">
        <w:rPr>
          <w:rFonts w:ascii="Times New Roman" w:eastAsia="標楷體" w:hAnsi="Times New Roman" w:cs="Times New Roman"/>
        </w:rPr>
        <w:t>指數上漲</w:t>
      </w:r>
      <w:r w:rsidRPr="006512EA">
        <w:rPr>
          <w:rFonts w:ascii="Times New Roman" w:eastAsia="標楷體" w:hAnsi="Times New Roman" w:cs="Times New Roman"/>
        </w:rPr>
        <w:t>4.55%</w:t>
      </w:r>
      <w:r w:rsidRPr="006512EA">
        <w:rPr>
          <w:rFonts w:ascii="Times New Roman" w:eastAsia="標楷體" w:hAnsi="Times New Roman" w:cs="Times New Roman"/>
        </w:rPr>
        <w:t>；韓國指數與日經</w:t>
      </w:r>
      <w:r w:rsidRPr="006512EA">
        <w:rPr>
          <w:rFonts w:ascii="Times New Roman" w:eastAsia="標楷體" w:hAnsi="Times New Roman" w:cs="Times New Roman"/>
        </w:rPr>
        <w:t>225</w:t>
      </w:r>
      <w:r w:rsidRPr="006512EA">
        <w:rPr>
          <w:rFonts w:ascii="Times New Roman" w:eastAsia="標楷體" w:hAnsi="Times New Roman" w:cs="Times New Roman"/>
        </w:rPr>
        <w:t>指數則僅小漲</w:t>
      </w:r>
      <w:r w:rsidRPr="006512EA">
        <w:rPr>
          <w:rFonts w:ascii="Times New Roman" w:eastAsia="標楷體" w:hAnsi="Times New Roman" w:cs="Times New Roman"/>
        </w:rPr>
        <w:t>0.26%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0.67%</w:t>
      </w:r>
      <w:r w:rsidRPr="006512EA">
        <w:rPr>
          <w:rFonts w:ascii="Times New Roman" w:eastAsia="標楷體" w:hAnsi="Times New Roman" w:cs="Times New Roman"/>
        </w:rPr>
        <w:t>，印度</w:t>
      </w:r>
      <w:r w:rsidRPr="006512EA">
        <w:rPr>
          <w:rFonts w:ascii="Times New Roman" w:eastAsia="標楷體" w:hAnsi="Times New Roman" w:cs="Times New Roman"/>
        </w:rPr>
        <w:t>Nifty</w:t>
      </w:r>
      <w:r w:rsidRPr="006512EA">
        <w:rPr>
          <w:rFonts w:ascii="Times New Roman" w:eastAsia="標楷體" w:hAnsi="Times New Roman" w:cs="Times New Roman"/>
        </w:rPr>
        <w:t>指數甚至下跌</w:t>
      </w:r>
      <w:r w:rsidRPr="006512EA">
        <w:rPr>
          <w:rFonts w:ascii="Times New Roman" w:eastAsia="標楷體" w:hAnsi="Times New Roman" w:cs="Times New Roman"/>
        </w:rPr>
        <w:t>6.06%</w:t>
      </w:r>
      <w:r w:rsidRPr="006512EA">
        <w:rPr>
          <w:rFonts w:ascii="Times New Roman" w:eastAsia="標楷體" w:hAnsi="Times New Roman" w:cs="Times New Roman"/>
        </w:rPr>
        <w:t>，</w:t>
      </w:r>
      <w:r w:rsidR="00AD0199">
        <w:rPr>
          <w:rFonts w:ascii="Times New Roman" w:eastAsia="標楷體" w:hAnsi="Times New Roman" w:cs="Times New Roman" w:hint="eastAsia"/>
        </w:rPr>
        <w:t>而</w:t>
      </w:r>
      <w:r w:rsidRPr="006512EA">
        <w:rPr>
          <w:rFonts w:ascii="Times New Roman" w:eastAsia="標楷體" w:hAnsi="Times New Roman" w:cs="Times New Roman"/>
        </w:rPr>
        <w:t>上海綜合指數下跌</w:t>
      </w:r>
      <w:r w:rsidRPr="006512EA">
        <w:rPr>
          <w:rFonts w:ascii="Times New Roman" w:eastAsia="標楷體" w:hAnsi="Times New Roman" w:cs="Times New Roman"/>
        </w:rPr>
        <w:t>3.62%</w:t>
      </w:r>
      <w:r w:rsidRPr="006512EA">
        <w:rPr>
          <w:rFonts w:ascii="Times New Roman" w:eastAsia="標楷體" w:hAnsi="Times New Roman" w:cs="Times New Roman"/>
        </w:rPr>
        <w:t>，深圳成份指數則</w:t>
      </w:r>
      <w:r w:rsidR="00AD0199" w:rsidRPr="00AD0199">
        <w:rPr>
          <w:rFonts w:ascii="Times New Roman" w:eastAsia="標楷體" w:hAnsi="Times New Roman" w:cs="Times New Roman" w:hint="eastAsia"/>
        </w:rPr>
        <w:t>更</w:t>
      </w:r>
      <w:r w:rsidR="00FB1656" w:rsidRPr="00AD0199">
        <w:rPr>
          <w:rFonts w:ascii="Times New Roman" w:eastAsia="標楷體" w:hAnsi="Times New Roman" w:cs="Times New Roman" w:hint="eastAsia"/>
        </w:rPr>
        <w:t>下跌</w:t>
      </w:r>
      <w:r w:rsidR="00FB1656" w:rsidRPr="00AD0199">
        <w:rPr>
          <w:rFonts w:ascii="Times New Roman" w:eastAsia="標楷體" w:hAnsi="Times New Roman" w:cs="Times New Roman" w:hint="eastAsia"/>
        </w:rPr>
        <w:t>8.04</w:t>
      </w:r>
      <w:r w:rsidR="00AD0199" w:rsidRPr="00AD0199">
        <w:rPr>
          <w:rFonts w:ascii="Times New Roman" w:eastAsia="標楷體" w:hAnsi="Times New Roman" w:cs="Times New Roman" w:hint="eastAsia"/>
        </w:rPr>
        <w:t>%</w:t>
      </w:r>
      <w:r w:rsidRPr="006512EA">
        <w:rPr>
          <w:rFonts w:ascii="Times New Roman" w:eastAsia="標楷體" w:hAnsi="Times New Roman" w:cs="Times New Roman"/>
        </w:rPr>
        <w:t>。若由全球市場觀察，</w:t>
      </w:r>
      <w:r w:rsidRPr="006512EA">
        <w:rPr>
          <w:rFonts w:ascii="Times New Roman" w:eastAsia="標楷體" w:hAnsi="Times New Roman" w:cs="Times New Roman"/>
        </w:rPr>
        <w:t>MSCI</w:t>
      </w:r>
      <w:r w:rsidRPr="006512EA">
        <w:rPr>
          <w:rFonts w:ascii="Times New Roman" w:eastAsia="標楷體" w:hAnsi="Times New Roman" w:cs="Times New Roman"/>
        </w:rPr>
        <w:t>全球指數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月下跌</w:t>
      </w:r>
      <w:r w:rsidRPr="006512EA">
        <w:rPr>
          <w:rFonts w:ascii="Times New Roman" w:eastAsia="標楷體" w:hAnsi="Times New Roman" w:cs="Times New Roman"/>
        </w:rPr>
        <w:t>1.08%</w:t>
      </w:r>
      <w:r w:rsidRPr="006512EA">
        <w:rPr>
          <w:rFonts w:ascii="Times New Roman" w:eastAsia="標楷體" w:hAnsi="Times New Roman" w:cs="Times New Roman"/>
        </w:rPr>
        <w:t>，</w:t>
      </w:r>
      <w:r w:rsidRPr="006512EA">
        <w:rPr>
          <w:rFonts w:ascii="Times New Roman" w:eastAsia="標楷體" w:hAnsi="Times New Roman" w:cs="Times New Roman"/>
        </w:rPr>
        <w:t>MSCI</w:t>
      </w:r>
      <w:r w:rsidRPr="006512EA">
        <w:rPr>
          <w:rFonts w:ascii="Times New Roman" w:eastAsia="標楷體" w:hAnsi="Times New Roman" w:cs="Times New Roman"/>
        </w:rPr>
        <w:t>歐洲指數下跌</w:t>
      </w:r>
      <w:r w:rsidRPr="006512EA">
        <w:rPr>
          <w:rFonts w:ascii="Times New Roman" w:eastAsia="標楷體" w:hAnsi="Times New Roman" w:cs="Times New Roman"/>
        </w:rPr>
        <w:t>4.2%</w:t>
      </w:r>
      <w:r w:rsidRPr="006512EA">
        <w:rPr>
          <w:rFonts w:ascii="Times New Roman" w:eastAsia="標楷體" w:hAnsi="Times New Roman" w:cs="Times New Roman"/>
        </w:rPr>
        <w:t>，</w:t>
      </w:r>
      <w:r w:rsidRPr="006512EA">
        <w:rPr>
          <w:rFonts w:ascii="Times New Roman" w:eastAsia="標楷體" w:hAnsi="Times New Roman" w:cs="Times New Roman"/>
        </w:rPr>
        <w:t>MSCI</w:t>
      </w:r>
      <w:r w:rsidRPr="006512EA">
        <w:rPr>
          <w:rFonts w:ascii="Times New Roman" w:eastAsia="標楷體" w:hAnsi="Times New Roman" w:cs="Times New Roman"/>
        </w:rPr>
        <w:t>新興市場指數也下跌</w:t>
      </w:r>
      <w:r w:rsidRPr="006512EA">
        <w:rPr>
          <w:rFonts w:ascii="Times New Roman" w:eastAsia="標楷體" w:hAnsi="Times New Roman" w:cs="Times New Roman"/>
        </w:rPr>
        <w:t>0.5%</w:t>
      </w:r>
      <w:r w:rsidRPr="006512EA">
        <w:rPr>
          <w:rFonts w:ascii="Times New Roman" w:eastAsia="標楷體" w:hAnsi="Times New Roman" w:cs="Times New Roman"/>
        </w:rPr>
        <w:t>。因此，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月並不是全球性的股市多頭，而是</w:t>
      </w:r>
      <w:r w:rsidRPr="006512EA">
        <w:rPr>
          <w:rFonts w:ascii="Times New Roman" w:eastAsia="標楷體" w:hAnsi="Times New Roman" w:cs="Times New Roman"/>
        </w:rPr>
        <w:t>AI</w:t>
      </w:r>
      <w:r w:rsidRPr="006512EA">
        <w:rPr>
          <w:rFonts w:ascii="Times New Roman" w:eastAsia="標楷體" w:hAnsi="Times New Roman" w:cs="Times New Roman"/>
        </w:rPr>
        <w:t>與半導體相關市場相對突出的結構性行情。</w:t>
      </w:r>
    </w:p>
    <w:p w14:paraId="79283A7F" w14:textId="23B4C509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相較於股市，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月更值得注意的變化其實發生在債券市場。美國</w:t>
      </w:r>
      <w:r w:rsidRPr="006512EA">
        <w:rPr>
          <w:rFonts w:ascii="Times New Roman" w:eastAsia="標楷體" w:hAnsi="Times New Roman" w:cs="Times New Roman"/>
        </w:rPr>
        <w:t>10</w:t>
      </w:r>
      <w:r w:rsidRPr="006512EA">
        <w:rPr>
          <w:rFonts w:ascii="Times New Roman" w:eastAsia="標楷體" w:hAnsi="Times New Roman" w:cs="Times New Roman"/>
        </w:rPr>
        <w:t>年期公債</w:t>
      </w:r>
      <w:proofErr w:type="gramStart"/>
      <w:r w:rsidRPr="006512EA">
        <w:rPr>
          <w:rFonts w:ascii="Times New Roman" w:eastAsia="標楷體" w:hAnsi="Times New Roman" w:cs="Times New Roman"/>
        </w:rPr>
        <w:t>殖</w:t>
      </w:r>
      <w:proofErr w:type="gramEnd"/>
      <w:r w:rsidRPr="006512EA">
        <w:rPr>
          <w:rFonts w:ascii="Times New Roman" w:eastAsia="標楷體" w:hAnsi="Times New Roman" w:cs="Times New Roman"/>
        </w:rPr>
        <w:t>利率由</w:t>
      </w:r>
      <w:r w:rsidRPr="006512EA">
        <w:rPr>
          <w:rFonts w:ascii="Times New Roman" w:eastAsia="標楷體" w:hAnsi="Times New Roman" w:cs="Times New Roman"/>
        </w:rPr>
        <w:t>8</w:t>
      </w:r>
      <w:r w:rsidRPr="006512EA">
        <w:rPr>
          <w:rFonts w:ascii="Times New Roman" w:eastAsia="標楷體" w:hAnsi="Times New Roman" w:cs="Times New Roman"/>
        </w:rPr>
        <w:t>月底約</w:t>
      </w:r>
      <w:r w:rsidRPr="006512EA">
        <w:rPr>
          <w:rFonts w:ascii="Times New Roman" w:eastAsia="標楷體" w:hAnsi="Times New Roman" w:cs="Times New Roman"/>
        </w:rPr>
        <w:t>4.75%</w:t>
      </w:r>
      <w:r w:rsidRPr="006512EA">
        <w:rPr>
          <w:rFonts w:ascii="Times New Roman" w:eastAsia="標楷體" w:hAnsi="Times New Roman" w:cs="Times New Roman"/>
        </w:rPr>
        <w:t>大幅升至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</w:t>
      </w:r>
      <w:r w:rsidRPr="006512EA">
        <w:rPr>
          <w:rFonts w:ascii="Times New Roman" w:eastAsia="標楷體" w:hAnsi="Times New Roman" w:cs="Times New Roman"/>
        </w:rPr>
        <w:t>5.29%</w:t>
      </w:r>
      <w:r w:rsidRPr="006512EA">
        <w:rPr>
          <w:rFonts w:ascii="Times New Roman" w:eastAsia="標楷體" w:hAnsi="Times New Roman" w:cs="Times New Roman"/>
        </w:rPr>
        <w:t>，</w:t>
      </w:r>
      <w:r w:rsidRPr="006512EA">
        <w:rPr>
          <w:rFonts w:ascii="Times New Roman" w:eastAsia="標楷體" w:hAnsi="Times New Roman" w:cs="Times New Roman"/>
        </w:rPr>
        <w:t>2</w:t>
      </w:r>
      <w:r w:rsidRPr="006512EA">
        <w:rPr>
          <w:rFonts w:ascii="Times New Roman" w:eastAsia="標楷體" w:hAnsi="Times New Roman" w:cs="Times New Roman"/>
        </w:rPr>
        <w:t>年期</w:t>
      </w:r>
      <w:proofErr w:type="gramStart"/>
      <w:r w:rsidRPr="006512EA">
        <w:rPr>
          <w:rFonts w:ascii="Times New Roman" w:eastAsia="標楷體" w:hAnsi="Times New Roman" w:cs="Times New Roman"/>
        </w:rPr>
        <w:t>殖</w:t>
      </w:r>
      <w:proofErr w:type="gramEnd"/>
      <w:r w:rsidRPr="006512EA">
        <w:rPr>
          <w:rFonts w:ascii="Times New Roman" w:eastAsia="標楷體" w:hAnsi="Times New Roman" w:cs="Times New Roman"/>
        </w:rPr>
        <w:t>利率也由</w:t>
      </w:r>
      <w:r w:rsidRPr="006512EA">
        <w:rPr>
          <w:rFonts w:ascii="Times New Roman" w:eastAsia="標楷體" w:hAnsi="Times New Roman" w:cs="Times New Roman"/>
        </w:rPr>
        <w:t>4.34%</w:t>
      </w:r>
      <w:r w:rsidRPr="006512EA">
        <w:rPr>
          <w:rFonts w:ascii="Times New Roman" w:eastAsia="標楷體" w:hAnsi="Times New Roman" w:cs="Times New Roman"/>
        </w:rPr>
        <w:t>升至</w:t>
      </w:r>
      <w:r w:rsidRPr="006512EA">
        <w:rPr>
          <w:rFonts w:ascii="Times New Roman" w:eastAsia="標楷體" w:hAnsi="Times New Roman" w:cs="Times New Roman"/>
        </w:rPr>
        <w:t>4.88%</w:t>
      </w:r>
      <w:r w:rsidRPr="006512EA">
        <w:rPr>
          <w:rFonts w:ascii="Times New Roman" w:eastAsia="標楷體" w:hAnsi="Times New Roman" w:cs="Times New Roman"/>
        </w:rPr>
        <w:t>，一個月</w:t>
      </w:r>
      <w:r w:rsidRPr="00AD0199">
        <w:rPr>
          <w:rFonts w:ascii="Times New Roman" w:eastAsia="標楷體" w:hAnsi="Times New Roman" w:cs="Times New Roman"/>
        </w:rPr>
        <w:t>均上升約</w:t>
      </w:r>
      <w:r w:rsidRPr="00AD0199">
        <w:rPr>
          <w:rFonts w:ascii="Times New Roman" w:eastAsia="標楷體" w:hAnsi="Times New Roman" w:cs="Times New Roman"/>
        </w:rPr>
        <w:t>54</w:t>
      </w:r>
      <w:r w:rsidRPr="00AD0199">
        <w:rPr>
          <w:rFonts w:ascii="Times New Roman" w:eastAsia="標楷體" w:hAnsi="Times New Roman" w:cs="Times New Roman"/>
        </w:rPr>
        <w:t>個基點。油價上升也是推動利率重新定價的因素之</w:t>
      </w:r>
      <w:proofErr w:type="gramStart"/>
      <w:r w:rsidRPr="00AD0199">
        <w:rPr>
          <w:rFonts w:ascii="Times New Roman" w:eastAsia="標楷體" w:hAnsi="Times New Roman" w:cs="Times New Roman"/>
        </w:rPr>
        <w:t>一</w:t>
      </w:r>
      <w:proofErr w:type="gramEnd"/>
      <w:r w:rsidRPr="00AD0199">
        <w:rPr>
          <w:rFonts w:ascii="Times New Roman" w:eastAsia="標楷體" w:hAnsi="Times New Roman" w:cs="Times New Roman"/>
        </w:rPr>
        <w:t>。紐約西德州原油由每桶</w:t>
      </w:r>
      <w:r w:rsidR="00FB1656" w:rsidRPr="00AD0199">
        <w:rPr>
          <w:rFonts w:ascii="Times New Roman" w:eastAsia="標楷體" w:hAnsi="Times New Roman" w:cs="Times New Roman" w:hint="eastAsia"/>
        </w:rPr>
        <w:t>86.31</w:t>
      </w:r>
      <w:r w:rsidRPr="00AD0199">
        <w:rPr>
          <w:rFonts w:ascii="Times New Roman" w:eastAsia="標楷體" w:hAnsi="Times New Roman" w:cs="Times New Roman"/>
        </w:rPr>
        <w:t>美元一度升至</w:t>
      </w:r>
      <w:r w:rsidRPr="00AD0199">
        <w:rPr>
          <w:rFonts w:ascii="Times New Roman" w:eastAsia="標楷體" w:hAnsi="Times New Roman" w:cs="Times New Roman"/>
        </w:rPr>
        <w:t>103.93</w:t>
      </w:r>
      <w:r w:rsidRPr="00AD0199">
        <w:rPr>
          <w:rFonts w:ascii="Times New Roman" w:eastAsia="標楷體" w:hAnsi="Times New Roman" w:cs="Times New Roman"/>
        </w:rPr>
        <w:t>美元，月底雖回落至</w:t>
      </w:r>
      <w:r w:rsidR="00FB1656" w:rsidRPr="00AD0199">
        <w:rPr>
          <w:rFonts w:ascii="Times New Roman" w:eastAsia="標楷體" w:hAnsi="Times New Roman" w:cs="Times New Roman" w:hint="eastAsia"/>
        </w:rPr>
        <w:t>90.34</w:t>
      </w:r>
      <w:r w:rsidRPr="00AD0199">
        <w:rPr>
          <w:rFonts w:ascii="Times New Roman" w:eastAsia="標楷體" w:hAnsi="Times New Roman" w:cs="Times New Roman"/>
        </w:rPr>
        <w:t>美元，但月中的急</w:t>
      </w:r>
      <w:r w:rsidRPr="006512EA">
        <w:rPr>
          <w:rFonts w:ascii="Times New Roman" w:eastAsia="標楷體" w:hAnsi="Times New Roman" w:cs="Times New Roman"/>
        </w:rPr>
        <w:t>升已一度加深市場對通膨的疑慮。</w:t>
      </w:r>
    </w:p>
    <w:p w14:paraId="50880B06" w14:textId="77777777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Fed</w:t>
      </w:r>
      <w:r w:rsidRPr="006512EA">
        <w:rPr>
          <w:rFonts w:ascii="Times New Roman" w:eastAsia="標楷體" w:hAnsi="Times New Roman" w:cs="Times New Roman"/>
        </w:rPr>
        <w:t>於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月升息一碼，將聯邦基金利率目標區間提高至</w:t>
      </w:r>
      <w:r w:rsidRPr="006512EA">
        <w:rPr>
          <w:rFonts w:ascii="Times New Roman" w:eastAsia="標楷體" w:hAnsi="Times New Roman" w:cs="Times New Roman"/>
        </w:rPr>
        <w:t>3.75%</w:t>
      </w:r>
      <w:r w:rsidRPr="006512EA">
        <w:rPr>
          <w:rFonts w:ascii="Times New Roman" w:eastAsia="標楷體" w:hAnsi="Times New Roman" w:cs="Times New Roman"/>
        </w:rPr>
        <w:t>至</w:t>
      </w:r>
      <w:r w:rsidRPr="006512EA">
        <w:rPr>
          <w:rFonts w:ascii="Times New Roman" w:eastAsia="標楷體" w:hAnsi="Times New Roman" w:cs="Times New Roman"/>
        </w:rPr>
        <w:t>4%</w:t>
      </w:r>
      <w:r w:rsidRPr="006512EA">
        <w:rPr>
          <w:rFonts w:ascii="Times New Roman" w:eastAsia="標楷體" w:hAnsi="Times New Roman" w:cs="Times New Roman"/>
        </w:rPr>
        <w:t>，進一步推升市場對政策利率維持高檔的預期。</w:t>
      </w:r>
      <w:r w:rsidRPr="006512EA">
        <w:rPr>
          <w:rFonts w:ascii="Times New Roman" w:eastAsia="標楷體" w:hAnsi="Times New Roman" w:cs="Times New Roman"/>
        </w:rPr>
        <w:t xml:space="preserve"> </w:t>
      </w:r>
      <w:r w:rsidRPr="006512EA">
        <w:rPr>
          <w:rFonts w:ascii="Times New Roman" w:eastAsia="標楷體" w:hAnsi="Times New Roman" w:cs="Times New Roman"/>
        </w:rPr>
        <w:t>除此之外，</w:t>
      </w:r>
      <w:r w:rsidRPr="006512EA">
        <w:rPr>
          <w:rFonts w:ascii="Times New Roman" w:eastAsia="標楷體" w:hAnsi="Times New Roman" w:cs="Times New Roman"/>
        </w:rPr>
        <w:t>AI</w:t>
      </w:r>
      <w:r w:rsidRPr="006512EA">
        <w:rPr>
          <w:rFonts w:ascii="Times New Roman" w:eastAsia="標楷體" w:hAnsi="Times New Roman" w:cs="Times New Roman"/>
        </w:rPr>
        <w:t>相關產業投資持續擴張所增加的資金需求，加上美國財政赤字與公債供給增加等因素，也對長期</w:t>
      </w:r>
      <w:proofErr w:type="gramStart"/>
      <w:r w:rsidRPr="006512EA">
        <w:rPr>
          <w:rFonts w:ascii="Times New Roman" w:eastAsia="標楷體" w:hAnsi="Times New Roman" w:cs="Times New Roman"/>
        </w:rPr>
        <w:t>殖</w:t>
      </w:r>
      <w:proofErr w:type="gramEnd"/>
      <w:r w:rsidRPr="006512EA">
        <w:rPr>
          <w:rFonts w:ascii="Times New Roman" w:eastAsia="標楷體" w:hAnsi="Times New Roman" w:cs="Times New Roman"/>
        </w:rPr>
        <w:t>利率形成向上壓力。因此，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月美債</w:t>
      </w:r>
      <w:proofErr w:type="gramStart"/>
      <w:r w:rsidRPr="006512EA">
        <w:rPr>
          <w:rFonts w:ascii="Times New Roman" w:eastAsia="標楷體" w:hAnsi="Times New Roman" w:cs="Times New Roman"/>
        </w:rPr>
        <w:t>殖</w:t>
      </w:r>
      <w:proofErr w:type="gramEnd"/>
      <w:r w:rsidRPr="006512EA">
        <w:rPr>
          <w:rFonts w:ascii="Times New Roman" w:eastAsia="標楷體" w:hAnsi="Times New Roman" w:cs="Times New Roman"/>
        </w:rPr>
        <w:t>利率大幅上升，反映的不只是</w:t>
      </w:r>
      <w:r w:rsidRPr="006512EA">
        <w:rPr>
          <w:rFonts w:ascii="Times New Roman" w:eastAsia="標楷體" w:hAnsi="Times New Roman" w:cs="Times New Roman"/>
        </w:rPr>
        <w:t>Fed</w:t>
      </w:r>
      <w:r w:rsidRPr="006512EA">
        <w:rPr>
          <w:rFonts w:ascii="Times New Roman" w:eastAsia="標楷體" w:hAnsi="Times New Roman" w:cs="Times New Roman"/>
        </w:rPr>
        <w:t>一次升息，而是市場同時重新評估通膨、貨幣政策與長期資金供需。</w:t>
      </w:r>
    </w:p>
    <w:p w14:paraId="5AD7C4D7" w14:textId="77777777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美元也隨之轉強。美元指數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月上漲</w:t>
      </w:r>
      <w:r w:rsidRPr="006512EA">
        <w:rPr>
          <w:rFonts w:ascii="Times New Roman" w:eastAsia="標楷體" w:hAnsi="Times New Roman" w:cs="Times New Roman"/>
        </w:rPr>
        <w:t>2.06%</w:t>
      </w:r>
      <w:r w:rsidRPr="006512EA">
        <w:rPr>
          <w:rFonts w:ascii="Times New Roman" w:eastAsia="標楷體" w:hAnsi="Times New Roman" w:cs="Times New Roman"/>
        </w:rPr>
        <w:t>，今年以來上漲</w:t>
      </w:r>
      <w:r w:rsidRPr="006512EA">
        <w:rPr>
          <w:rFonts w:ascii="Times New Roman" w:eastAsia="標楷體" w:hAnsi="Times New Roman" w:cs="Times New Roman"/>
        </w:rPr>
        <w:t>3.26%</w:t>
      </w:r>
      <w:r w:rsidRPr="006512EA">
        <w:rPr>
          <w:rFonts w:ascii="Times New Roman" w:eastAsia="標楷體" w:hAnsi="Times New Roman" w:cs="Times New Roman"/>
        </w:rPr>
        <w:t>。美國公</w:t>
      </w:r>
      <w:r w:rsidRPr="006512EA">
        <w:rPr>
          <w:rFonts w:ascii="Times New Roman" w:eastAsia="標楷體" w:hAnsi="Times New Roman" w:cs="Times New Roman"/>
        </w:rPr>
        <w:lastRenderedPageBreak/>
        <w:t>債</w:t>
      </w:r>
      <w:proofErr w:type="gramStart"/>
      <w:r w:rsidRPr="006512EA">
        <w:rPr>
          <w:rFonts w:ascii="Times New Roman" w:eastAsia="標楷體" w:hAnsi="Times New Roman" w:cs="Times New Roman"/>
        </w:rPr>
        <w:t>殖</w:t>
      </w:r>
      <w:proofErr w:type="gramEnd"/>
      <w:r w:rsidRPr="006512EA">
        <w:rPr>
          <w:rFonts w:ascii="Times New Roman" w:eastAsia="標楷體" w:hAnsi="Times New Roman" w:cs="Times New Roman"/>
        </w:rPr>
        <w:t>利率快速上升，提高美元資產的相對收益率，也使美元重新獲得支撐。美元升值進一步增加其他國家貨幣與金融政策的壓力，尤其對同時需要兼顧匯率、通膨與經濟成長的亞洲央行而言，政策選擇更加困難。</w:t>
      </w:r>
    </w:p>
    <w:p w14:paraId="0624C73D" w14:textId="77777777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黃金則呈現相反走勢。金價由</w:t>
      </w:r>
      <w:r w:rsidRPr="006512EA">
        <w:rPr>
          <w:rFonts w:ascii="Times New Roman" w:eastAsia="標楷體" w:hAnsi="Times New Roman" w:cs="Times New Roman"/>
        </w:rPr>
        <w:t>8</w:t>
      </w:r>
      <w:r w:rsidRPr="006512EA">
        <w:rPr>
          <w:rFonts w:ascii="Times New Roman" w:eastAsia="標楷體" w:hAnsi="Times New Roman" w:cs="Times New Roman"/>
        </w:rPr>
        <w:t>月底每盎司</w:t>
      </w:r>
      <w:r w:rsidRPr="006512EA">
        <w:rPr>
          <w:rFonts w:ascii="Times New Roman" w:eastAsia="標楷體" w:hAnsi="Times New Roman" w:cs="Times New Roman"/>
        </w:rPr>
        <w:t>4,449.1</w:t>
      </w:r>
      <w:r w:rsidRPr="006512EA">
        <w:rPr>
          <w:rFonts w:ascii="Times New Roman" w:eastAsia="標楷體" w:hAnsi="Times New Roman" w:cs="Times New Roman"/>
        </w:rPr>
        <w:t>美元降至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</w:t>
      </w:r>
      <w:r w:rsidRPr="006512EA">
        <w:rPr>
          <w:rFonts w:ascii="Times New Roman" w:eastAsia="標楷體" w:hAnsi="Times New Roman" w:cs="Times New Roman"/>
        </w:rPr>
        <w:t>4,158.1</w:t>
      </w:r>
      <w:r w:rsidRPr="006512EA">
        <w:rPr>
          <w:rFonts w:ascii="Times New Roman" w:eastAsia="標楷體" w:hAnsi="Times New Roman" w:cs="Times New Roman"/>
        </w:rPr>
        <w:t>美元，跌幅</w:t>
      </w:r>
      <w:r w:rsidRPr="006512EA">
        <w:rPr>
          <w:rFonts w:ascii="Times New Roman" w:eastAsia="標楷體" w:hAnsi="Times New Roman" w:cs="Times New Roman"/>
        </w:rPr>
        <w:t>6.54%</w:t>
      </w:r>
      <w:r w:rsidRPr="006512EA">
        <w:rPr>
          <w:rFonts w:ascii="Times New Roman" w:eastAsia="標楷體" w:hAnsi="Times New Roman" w:cs="Times New Roman"/>
        </w:rPr>
        <w:t>。即使地緣政治風險與油價上升原本有利於避險需求，但美元升值及美債</w:t>
      </w:r>
      <w:proofErr w:type="gramStart"/>
      <w:r w:rsidRPr="006512EA">
        <w:rPr>
          <w:rFonts w:ascii="Times New Roman" w:eastAsia="標楷體" w:hAnsi="Times New Roman" w:cs="Times New Roman"/>
        </w:rPr>
        <w:t>殖</w:t>
      </w:r>
      <w:proofErr w:type="gramEnd"/>
      <w:r w:rsidRPr="006512EA">
        <w:rPr>
          <w:rFonts w:ascii="Times New Roman" w:eastAsia="標楷體" w:hAnsi="Times New Roman" w:cs="Times New Roman"/>
        </w:rPr>
        <w:t>利率大幅提高，使持有</w:t>
      </w:r>
      <w:proofErr w:type="gramStart"/>
      <w:r w:rsidRPr="006512EA">
        <w:rPr>
          <w:rFonts w:ascii="Times New Roman" w:eastAsia="標楷體" w:hAnsi="Times New Roman" w:cs="Times New Roman"/>
        </w:rPr>
        <w:t>不</w:t>
      </w:r>
      <w:proofErr w:type="gramEnd"/>
      <w:r w:rsidRPr="006512EA">
        <w:rPr>
          <w:rFonts w:ascii="Times New Roman" w:eastAsia="標楷體" w:hAnsi="Times New Roman" w:cs="Times New Roman"/>
        </w:rPr>
        <w:t>孳息黃金的機會成本上升，最終</w:t>
      </w:r>
      <w:proofErr w:type="gramStart"/>
      <w:r w:rsidRPr="006512EA">
        <w:rPr>
          <w:rFonts w:ascii="Times New Roman" w:eastAsia="標楷體" w:hAnsi="Times New Roman" w:cs="Times New Roman"/>
        </w:rPr>
        <w:t>壓過避險</w:t>
      </w:r>
      <w:proofErr w:type="gramEnd"/>
      <w:r w:rsidRPr="006512EA">
        <w:rPr>
          <w:rFonts w:ascii="Times New Roman" w:eastAsia="標楷體" w:hAnsi="Times New Roman" w:cs="Times New Roman"/>
        </w:rPr>
        <w:t>因素。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月美元、債券與黃金的價格變化，因此大致指向同一項市場調整：全球金融市場正在重新定價利率。</w:t>
      </w:r>
    </w:p>
    <w:p w14:paraId="200F1851" w14:textId="77777777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亞洲主要央行的貨幣政策則呈現明顯差異。日本銀行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月升息一碼至</w:t>
      </w:r>
      <w:r w:rsidRPr="006512EA">
        <w:rPr>
          <w:rFonts w:ascii="Times New Roman" w:eastAsia="標楷體" w:hAnsi="Times New Roman" w:cs="Times New Roman"/>
        </w:rPr>
        <w:t>1.25%</w:t>
      </w:r>
      <w:r w:rsidRPr="006512EA">
        <w:rPr>
          <w:rFonts w:ascii="Times New Roman" w:eastAsia="標楷體" w:hAnsi="Times New Roman" w:cs="Times New Roman"/>
        </w:rPr>
        <w:t>；韓國央行則已於</w:t>
      </w:r>
      <w:r w:rsidRPr="006512EA">
        <w:rPr>
          <w:rFonts w:ascii="Times New Roman" w:eastAsia="標楷體" w:hAnsi="Times New Roman" w:cs="Times New Roman"/>
        </w:rPr>
        <w:t>8</w:t>
      </w:r>
      <w:r w:rsidRPr="006512EA">
        <w:rPr>
          <w:rFonts w:ascii="Times New Roman" w:eastAsia="標楷體" w:hAnsi="Times New Roman" w:cs="Times New Roman"/>
        </w:rPr>
        <w:t>月底升息一碼至</w:t>
      </w:r>
      <w:r w:rsidRPr="006512EA">
        <w:rPr>
          <w:rFonts w:ascii="Times New Roman" w:eastAsia="標楷體" w:hAnsi="Times New Roman" w:cs="Times New Roman"/>
        </w:rPr>
        <w:t>3%</w:t>
      </w:r>
      <w:r w:rsidRPr="006512EA">
        <w:rPr>
          <w:rFonts w:ascii="Times New Roman" w:eastAsia="標楷體" w:hAnsi="Times New Roman" w:cs="Times New Roman"/>
        </w:rPr>
        <w:t>。</w:t>
      </w:r>
      <w:r w:rsidRPr="006512EA">
        <w:rPr>
          <w:rFonts w:ascii="Times New Roman" w:eastAsia="標楷體" w:hAnsi="Times New Roman" w:cs="Times New Roman"/>
        </w:rPr>
        <w:t xml:space="preserve"> </w:t>
      </w:r>
      <w:r w:rsidRPr="006512EA">
        <w:rPr>
          <w:rFonts w:ascii="Times New Roman" w:eastAsia="標楷體" w:hAnsi="Times New Roman" w:cs="Times New Roman"/>
        </w:rPr>
        <w:t>相較之下，台灣央行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月維持重貼現率</w:t>
      </w:r>
      <w:r w:rsidRPr="006512EA">
        <w:rPr>
          <w:rFonts w:ascii="Times New Roman" w:eastAsia="標楷體" w:hAnsi="Times New Roman" w:cs="Times New Roman"/>
        </w:rPr>
        <w:t>2%</w:t>
      </w:r>
      <w:r w:rsidRPr="006512EA">
        <w:rPr>
          <w:rFonts w:ascii="Times New Roman" w:eastAsia="標楷體" w:hAnsi="Times New Roman" w:cs="Times New Roman"/>
        </w:rPr>
        <w:t>不變，主要考量國內通膨仍相對可控。</w:t>
      </w:r>
      <w:r w:rsidRPr="006512EA">
        <w:rPr>
          <w:rFonts w:ascii="Times New Roman" w:eastAsia="標楷體" w:hAnsi="Times New Roman" w:cs="Times New Roman"/>
        </w:rPr>
        <w:t xml:space="preserve"> </w:t>
      </w:r>
      <w:r w:rsidRPr="006512EA">
        <w:rPr>
          <w:rFonts w:ascii="Times New Roman" w:eastAsia="標楷體" w:hAnsi="Times New Roman" w:cs="Times New Roman"/>
        </w:rPr>
        <w:t>不過，</w:t>
      </w:r>
      <w:r w:rsidRPr="006512EA">
        <w:rPr>
          <w:rFonts w:ascii="Times New Roman" w:eastAsia="標楷體" w:hAnsi="Times New Roman" w:cs="Times New Roman"/>
        </w:rPr>
        <w:t>AI</w:t>
      </w:r>
      <w:r w:rsidRPr="006512EA">
        <w:rPr>
          <w:rFonts w:ascii="Times New Roman" w:eastAsia="標楷體" w:hAnsi="Times New Roman" w:cs="Times New Roman"/>
        </w:rPr>
        <w:t>及半導體投資持續擴張，帶動企業資金需求，股市大幅上漲也可能推升金融投資相關融資需求。在全球長期利率走高與國內資金需求同步擴大的情況下，即使政策利率維持不變，企業實際面對的市場利率與融資條件是否趨緊，仍值得持續觀察。</w:t>
      </w:r>
    </w:p>
    <w:p w14:paraId="7E24926B" w14:textId="77777777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</w:p>
    <w:p w14:paraId="13F31784" w14:textId="19B2B00A" w:rsidR="00A36C33" w:rsidRPr="006512EA" w:rsidRDefault="00441030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這種股債走勢與不同</w:t>
      </w:r>
      <w:proofErr w:type="gramStart"/>
      <w:r w:rsidRPr="006512EA">
        <w:rPr>
          <w:rFonts w:ascii="Times New Roman" w:eastAsia="標楷體" w:hAnsi="Times New Roman" w:cs="Times New Roman"/>
        </w:rPr>
        <w:t>市場間的明顯</w:t>
      </w:r>
      <w:proofErr w:type="gramEnd"/>
      <w:r w:rsidRPr="006512EA">
        <w:rPr>
          <w:rFonts w:ascii="Times New Roman" w:eastAsia="標楷體" w:hAnsi="Times New Roman" w:cs="Times New Roman"/>
        </w:rPr>
        <w:t>分化，也進一步反映在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月各類基金的績效表現上。</w:t>
      </w:r>
      <w:r w:rsidR="00A36C33" w:rsidRPr="006512EA">
        <w:rPr>
          <w:rFonts w:ascii="Times New Roman" w:eastAsia="標楷體" w:hAnsi="Times New Roman" w:cs="Times New Roman"/>
        </w:rPr>
        <w:t>就國內股票型基金而言，</w:t>
      </w:r>
      <w:r w:rsidR="00A36C33" w:rsidRPr="006512EA">
        <w:rPr>
          <w:rFonts w:ascii="Times New Roman" w:eastAsia="標楷體" w:hAnsi="Times New Roman" w:cs="Times New Roman"/>
        </w:rPr>
        <w:t>339</w:t>
      </w:r>
      <w:r w:rsidR="00A36C33" w:rsidRPr="006512EA">
        <w:rPr>
          <w:rFonts w:ascii="Times New Roman" w:eastAsia="標楷體" w:hAnsi="Times New Roman" w:cs="Times New Roman"/>
        </w:rPr>
        <w:t>檔投資國內股票基金</w:t>
      </w:r>
      <w:r w:rsidR="00A36C33" w:rsidRPr="006512EA">
        <w:rPr>
          <w:rFonts w:ascii="Times New Roman" w:eastAsia="標楷體" w:hAnsi="Times New Roman" w:cs="Times New Roman"/>
        </w:rPr>
        <w:t>9</w:t>
      </w:r>
      <w:r w:rsidR="00A36C33" w:rsidRPr="006512EA">
        <w:rPr>
          <w:rFonts w:ascii="Times New Roman" w:eastAsia="標楷體" w:hAnsi="Times New Roman" w:cs="Times New Roman"/>
        </w:rPr>
        <w:t>月平均報酬率為</w:t>
      </w:r>
      <w:r w:rsidR="00A36C33" w:rsidRPr="006512EA">
        <w:rPr>
          <w:rFonts w:ascii="Times New Roman" w:eastAsia="標楷體" w:hAnsi="Times New Roman" w:cs="Times New Roman"/>
        </w:rPr>
        <w:t>3.21%</w:t>
      </w:r>
      <w:r w:rsidR="00A36C33" w:rsidRPr="006512EA">
        <w:rPr>
          <w:rFonts w:ascii="Times New Roman" w:eastAsia="標楷體" w:hAnsi="Times New Roman" w:cs="Times New Roman"/>
        </w:rPr>
        <w:t>，其中</w:t>
      </w:r>
      <w:r w:rsidR="00A36C33" w:rsidRPr="006512EA">
        <w:rPr>
          <w:rFonts w:ascii="Times New Roman" w:eastAsia="標楷體" w:hAnsi="Times New Roman" w:cs="Times New Roman"/>
        </w:rPr>
        <w:t>37.76%</w:t>
      </w:r>
      <w:r w:rsidR="00A36C33" w:rsidRPr="006512EA">
        <w:rPr>
          <w:rFonts w:ascii="Times New Roman" w:eastAsia="標楷體" w:hAnsi="Times New Roman" w:cs="Times New Roman"/>
        </w:rPr>
        <w:t>的基金優於台灣加權指數</w:t>
      </w:r>
      <w:r w:rsidR="00A36C33" w:rsidRPr="006512EA">
        <w:rPr>
          <w:rFonts w:ascii="Times New Roman" w:eastAsia="標楷體" w:hAnsi="Times New Roman" w:cs="Times New Roman"/>
        </w:rPr>
        <w:t>3.93%</w:t>
      </w:r>
      <w:r w:rsidR="00A36C33" w:rsidRPr="006512EA">
        <w:rPr>
          <w:rFonts w:ascii="Times New Roman" w:eastAsia="標楷體" w:hAnsi="Times New Roman" w:cs="Times New Roman"/>
        </w:rPr>
        <w:t>的漲幅；近三</w:t>
      </w:r>
      <w:proofErr w:type="gramStart"/>
      <w:r w:rsidR="00A36C33" w:rsidRPr="006512EA">
        <w:rPr>
          <w:rFonts w:ascii="Times New Roman" w:eastAsia="標楷體" w:hAnsi="Times New Roman" w:cs="Times New Roman"/>
        </w:rPr>
        <w:t>個</w:t>
      </w:r>
      <w:proofErr w:type="gramEnd"/>
      <w:r w:rsidR="00A36C33" w:rsidRPr="006512EA">
        <w:rPr>
          <w:rFonts w:ascii="Times New Roman" w:eastAsia="標楷體" w:hAnsi="Times New Roman" w:cs="Times New Roman"/>
        </w:rPr>
        <w:t>月平均報酬率為</w:t>
      </w:r>
      <w:r w:rsidR="00A36C33" w:rsidRPr="006512EA">
        <w:rPr>
          <w:rFonts w:ascii="Times New Roman" w:eastAsia="標楷體" w:hAnsi="Times New Roman" w:cs="Times New Roman"/>
        </w:rPr>
        <w:t>2.27%</w:t>
      </w:r>
      <w:r w:rsidR="00A36C33" w:rsidRPr="006512EA">
        <w:rPr>
          <w:rFonts w:ascii="Times New Roman" w:eastAsia="標楷體" w:hAnsi="Times New Roman" w:cs="Times New Roman"/>
        </w:rPr>
        <w:t>，有</w:t>
      </w:r>
      <w:r w:rsidR="00A36C33" w:rsidRPr="006512EA">
        <w:rPr>
          <w:rFonts w:ascii="Times New Roman" w:eastAsia="標楷體" w:hAnsi="Times New Roman" w:cs="Times New Roman"/>
        </w:rPr>
        <w:t>30.18%</w:t>
      </w:r>
      <w:r w:rsidR="00A36C33" w:rsidRPr="006512EA">
        <w:rPr>
          <w:rFonts w:ascii="Times New Roman" w:eastAsia="標楷體" w:hAnsi="Times New Roman" w:cs="Times New Roman"/>
        </w:rPr>
        <w:t>的基金優於大盤。若將期間拉長至年初至</w:t>
      </w:r>
      <w:r w:rsidR="00A36C33" w:rsidRPr="006512EA">
        <w:rPr>
          <w:rFonts w:ascii="Times New Roman" w:eastAsia="標楷體" w:hAnsi="Times New Roman" w:cs="Times New Roman"/>
        </w:rPr>
        <w:t>9</w:t>
      </w:r>
      <w:r w:rsidR="00A36C33" w:rsidRPr="006512EA">
        <w:rPr>
          <w:rFonts w:ascii="Times New Roman" w:eastAsia="標楷體" w:hAnsi="Times New Roman" w:cs="Times New Roman"/>
        </w:rPr>
        <w:t>月底，平均報酬率則達</w:t>
      </w:r>
      <w:r w:rsidR="00A36C33" w:rsidRPr="006512EA">
        <w:rPr>
          <w:rFonts w:ascii="Times New Roman" w:eastAsia="標楷體" w:hAnsi="Times New Roman" w:cs="Times New Roman"/>
        </w:rPr>
        <w:t>83.41%</w:t>
      </w:r>
      <w:r w:rsidR="00A36C33" w:rsidRPr="006512EA">
        <w:rPr>
          <w:rFonts w:ascii="Times New Roman" w:eastAsia="標楷體" w:hAnsi="Times New Roman" w:cs="Times New Roman"/>
        </w:rPr>
        <w:t>，有</w:t>
      </w:r>
      <w:r w:rsidR="00A36C33" w:rsidRPr="006512EA">
        <w:rPr>
          <w:rFonts w:ascii="Times New Roman" w:eastAsia="標楷體" w:hAnsi="Times New Roman" w:cs="Times New Roman"/>
        </w:rPr>
        <w:t>78.11%</w:t>
      </w:r>
      <w:r w:rsidR="00A36C33" w:rsidRPr="006512EA">
        <w:rPr>
          <w:rFonts w:ascii="Times New Roman" w:eastAsia="標楷體" w:hAnsi="Times New Roman" w:cs="Times New Roman"/>
        </w:rPr>
        <w:t>的基金優於同期大盤</w:t>
      </w:r>
      <w:r w:rsidR="00A36C33" w:rsidRPr="006512EA">
        <w:rPr>
          <w:rFonts w:ascii="Times New Roman" w:eastAsia="標楷體" w:hAnsi="Times New Roman" w:cs="Times New Roman"/>
        </w:rPr>
        <w:t>65.52%</w:t>
      </w:r>
      <w:r w:rsidR="00A36C33" w:rsidRPr="006512EA">
        <w:rPr>
          <w:rFonts w:ascii="Times New Roman" w:eastAsia="標楷體" w:hAnsi="Times New Roman" w:cs="Times New Roman"/>
        </w:rPr>
        <w:t>的漲幅。由於</w:t>
      </w:r>
      <w:r w:rsidR="00A36C33" w:rsidRPr="006512EA">
        <w:rPr>
          <w:rFonts w:ascii="Times New Roman" w:eastAsia="標楷體" w:hAnsi="Times New Roman" w:cs="Times New Roman"/>
        </w:rPr>
        <w:t>9</w:t>
      </w:r>
      <w:r w:rsidR="00A36C33" w:rsidRPr="006512EA">
        <w:rPr>
          <w:rFonts w:ascii="Times New Roman" w:eastAsia="標楷體" w:hAnsi="Times New Roman" w:cs="Times New Roman"/>
        </w:rPr>
        <w:t>月與近三</w:t>
      </w:r>
      <w:proofErr w:type="gramStart"/>
      <w:r w:rsidR="00A36C33" w:rsidRPr="006512EA">
        <w:rPr>
          <w:rFonts w:ascii="Times New Roman" w:eastAsia="標楷體" w:hAnsi="Times New Roman" w:cs="Times New Roman"/>
        </w:rPr>
        <w:t>個</w:t>
      </w:r>
      <w:proofErr w:type="gramEnd"/>
      <w:r w:rsidR="00A36C33" w:rsidRPr="006512EA">
        <w:rPr>
          <w:rFonts w:ascii="Times New Roman" w:eastAsia="標楷體" w:hAnsi="Times New Roman" w:cs="Times New Roman"/>
        </w:rPr>
        <w:t>月基金相對大盤的表現相近，以下主要比較</w:t>
      </w:r>
      <w:r w:rsidR="00A36C33" w:rsidRPr="006512EA">
        <w:rPr>
          <w:rFonts w:ascii="Times New Roman" w:eastAsia="標楷體" w:hAnsi="Times New Roman" w:cs="Times New Roman"/>
        </w:rPr>
        <w:t>9</w:t>
      </w:r>
      <w:r w:rsidR="00A36C33" w:rsidRPr="006512EA">
        <w:rPr>
          <w:rFonts w:ascii="Times New Roman" w:eastAsia="標楷體" w:hAnsi="Times New Roman" w:cs="Times New Roman"/>
        </w:rPr>
        <w:t>月與年初至</w:t>
      </w:r>
      <w:r w:rsidR="00A36C33" w:rsidRPr="006512EA">
        <w:rPr>
          <w:rFonts w:ascii="Times New Roman" w:eastAsia="標楷體" w:hAnsi="Times New Roman" w:cs="Times New Roman"/>
        </w:rPr>
        <w:t>9</w:t>
      </w:r>
      <w:r w:rsidR="00A36C33" w:rsidRPr="006512EA">
        <w:rPr>
          <w:rFonts w:ascii="Times New Roman" w:eastAsia="標楷體" w:hAnsi="Times New Roman" w:cs="Times New Roman"/>
        </w:rPr>
        <w:t>月底兩個期間的績效。</w:t>
      </w:r>
    </w:p>
    <w:p w14:paraId="081A19EC" w14:textId="77777777" w:rsidR="00106E46" w:rsidRDefault="00A36C33" w:rsidP="00106E46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進一步觀察主動型台股基金六個子類別，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月平均報酬率以中</w:t>
      </w:r>
      <w:proofErr w:type="gramStart"/>
      <w:r w:rsidRPr="006512EA">
        <w:rPr>
          <w:rFonts w:ascii="Times New Roman" w:eastAsia="標楷體" w:hAnsi="Times New Roman" w:cs="Times New Roman"/>
        </w:rPr>
        <w:t>概股型及</w:t>
      </w:r>
      <w:proofErr w:type="gramEnd"/>
      <w:r w:rsidRPr="006512EA">
        <w:rPr>
          <w:rFonts w:ascii="Times New Roman" w:eastAsia="標楷體" w:hAnsi="Times New Roman" w:cs="Times New Roman"/>
        </w:rPr>
        <w:t>上櫃股票型表現較佳，分別為</w:t>
      </w:r>
      <w:r w:rsidRPr="006512EA">
        <w:rPr>
          <w:rFonts w:ascii="Times New Roman" w:eastAsia="標楷體" w:hAnsi="Times New Roman" w:cs="Times New Roman"/>
        </w:rPr>
        <w:t>4.8%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4.36%</w:t>
      </w:r>
      <w:r w:rsidRPr="006512EA">
        <w:rPr>
          <w:rFonts w:ascii="Times New Roman" w:eastAsia="標楷體" w:hAnsi="Times New Roman" w:cs="Times New Roman"/>
        </w:rPr>
        <w:t>，其餘類型則大致介於</w:t>
      </w:r>
      <w:r w:rsidRPr="006512EA">
        <w:rPr>
          <w:rFonts w:ascii="Times New Roman" w:eastAsia="標楷體" w:hAnsi="Times New Roman" w:cs="Times New Roman"/>
        </w:rPr>
        <w:t>2%</w:t>
      </w:r>
      <w:r w:rsidRPr="006512EA">
        <w:rPr>
          <w:rFonts w:ascii="Times New Roman" w:eastAsia="標楷體" w:hAnsi="Times New Roman" w:cs="Times New Roman"/>
        </w:rPr>
        <w:t>至</w:t>
      </w:r>
      <w:r w:rsidRPr="006512EA">
        <w:rPr>
          <w:rFonts w:ascii="Times New Roman" w:eastAsia="標楷體" w:hAnsi="Times New Roman" w:cs="Times New Roman"/>
        </w:rPr>
        <w:t>3%</w:t>
      </w:r>
      <w:r w:rsidRPr="006512EA">
        <w:rPr>
          <w:rFonts w:ascii="Times New Roman" w:eastAsia="標楷體" w:hAnsi="Times New Roman" w:cs="Times New Roman"/>
        </w:rPr>
        <w:t>，差異並不大。年初至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月底的差異則</w:t>
      </w:r>
      <w:r w:rsidR="00DF03D4" w:rsidRPr="006512EA">
        <w:rPr>
          <w:rFonts w:ascii="Times New Roman" w:eastAsia="標楷體" w:hAnsi="Times New Roman" w:cs="Times New Roman"/>
        </w:rPr>
        <w:t>較</w:t>
      </w:r>
      <w:r w:rsidRPr="006512EA">
        <w:rPr>
          <w:rFonts w:ascii="Times New Roman" w:eastAsia="標楷體" w:hAnsi="Times New Roman" w:cs="Times New Roman"/>
        </w:rPr>
        <w:t>大，其中中小型與中</w:t>
      </w:r>
      <w:proofErr w:type="gramStart"/>
      <w:r w:rsidRPr="006512EA">
        <w:rPr>
          <w:rFonts w:ascii="Times New Roman" w:eastAsia="標楷體" w:hAnsi="Times New Roman" w:cs="Times New Roman"/>
        </w:rPr>
        <w:t>概股型平均</w:t>
      </w:r>
      <w:proofErr w:type="gramEnd"/>
      <w:r w:rsidRPr="006512EA">
        <w:rPr>
          <w:rFonts w:ascii="Times New Roman" w:eastAsia="標楷體" w:hAnsi="Times New Roman" w:cs="Times New Roman"/>
        </w:rPr>
        <w:t>報酬率均超過</w:t>
      </w:r>
      <w:r w:rsidRPr="006512EA">
        <w:rPr>
          <w:rFonts w:ascii="Times New Roman" w:eastAsia="標楷體" w:hAnsi="Times New Roman" w:cs="Times New Roman"/>
        </w:rPr>
        <w:t>100%</w:t>
      </w:r>
      <w:r w:rsidRPr="006512EA">
        <w:rPr>
          <w:rFonts w:ascii="Times New Roman" w:eastAsia="標楷體" w:hAnsi="Times New Roman" w:cs="Times New Roman"/>
        </w:rPr>
        <w:t>，上櫃股票型與價值型則相對較低，分別為</w:t>
      </w:r>
      <w:r w:rsidRPr="006512EA">
        <w:rPr>
          <w:rFonts w:ascii="Times New Roman" w:eastAsia="標楷體" w:hAnsi="Times New Roman" w:cs="Times New Roman"/>
        </w:rPr>
        <w:t>78.34%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71.06%</w:t>
      </w:r>
      <w:r w:rsidRPr="006512EA">
        <w:rPr>
          <w:rFonts w:ascii="Times New Roman" w:eastAsia="標楷體" w:hAnsi="Times New Roman" w:cs="Times New Roman"/>
        </w:rPr>
        <w:t>。</w:t>
      </w:r>
    </w:p>
    <w:p w14:paraId="2B0E9AC6" w14:textId="57DE5971" w:rsidR="00CA019B" w:rsidRPr="00106E46" w:rsidRDefault="00CA019B" w:rsidP="00106E46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106E46">
        <w:rPr>
          <w:rFonts w:ascii="Times New Roman" w:eastAsia="標楷體" w:hAnsi="Times New Roman" w:cs="Times New Roman"/>
        </w:rPr>
        <w:t>整體而言，主動式台股基金</w:t>
      </w:r>
      <w:r w:rsidRPr="00106E46">
        <w:rPr>
          <w:rFonts w:ascii="Times New Roman" w:eastAsia="標楷體" w:hAnsi="Times New Roman" w:cs="Times New Roman"/>
        </w:rPr>
        <w:t>9</w:t>
      </w:r>
      <w:r w:rsidRPr="00106E46">
        <w:rPr>
          <w:rFonts w:ascii="Times New Roman" w:eastAsia="標楷體" w:hAnsi="Times New Roman" w:cs="Times New Roman"/>
        </w:rPr>
        <w:t>月雖維持正報酬，但多數基金未能超越大盤，在</w:t>
      </w:r>
      <w:r w:rsidRPr="00106E46">
        <w:rPr>
          <w:rFonts w:ascii="Times New Roman" w:eastAsia="標楷體" w:hAnsi="Times New Roman" w:cs="Times New Roman"/>
        </w:rPr>
        <w:t>AI</w:t>
      </w:r>
      <w:r w:rsidRPr="00106E46">
        <w:rPr>
          <w:rFonts w:ascii="Times New Roman" w:eastAsia="標楷體" w:hAnsi="Times New Roman" w:cs="Times New Roman"/>
        </w:rPr>
        <w:t>相關股票主導的行情下，主動選股未必容易取得超額報酬。若將期間拉長至今年前九</w:t>
      </w:r>
      <w:proofErr w:type="gramStart"/>
      <w:r w:rsidRPr="00106E46">
        <w:rPr>
          <w:rFonts w:ascii="Times New Roman" w:eastAsia="標楷體" w:hAnsi="Times New Roman" w:cs="Times New Roman"/>
        </w:rPr>
        <w:t>個</w:t>
      </w:r>
      <w:proofErr w:type="gramEnd"/>
      <w:r w:rsidRPr="00106E46">
        <w:rPr>
          <w:rFonts w:ascii="Times New Roman" w:eastAsia="標楷體" w:hAnsi="Times New Roman" w:cs="Times New Roman"/>
        </w:rPr>
        <w:t>月，情況則明顯不同，不僅整體平均報酬率高於大盤，而且近八成基金擊敗大盤。這顯示主動式台股基金短期未必能跟上大盤，但拉長投資期間後，</w:t>
      </w:r>
      <w:r w:rsidRPr="00106E46">
        <w:rPr>
          <w:rFonts w:ascii="Times New Roman" w:eastAsia="標楷體" w:hAnsi="Times New Roman" w:cs="Times New Roman"/>
        </w:rPr>
        <w:lastRenderedPageBreak/>
        <w:t>相對績效明顯改善，不同類型基金之間的績效差異也更加顯著。</w:t>
      </w:r>
    </w:p>
    <w:p w14:paraId="22011B38" w14:textId="77777777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64</w:t>
      </w:r>
      <w:r w:rsidRPr="006512EA">
        <w:rPr>
          <w:rFonts w:ascii="Times New Roman" w:eastAsia="標楷體" w:hAnsi="Times New Roman" w:cs="Times New Roman"/>
        </w:rPr>
        <w:t>檔一般型</w:t>
      </w:r>
      <w:r w:rsidRPr="006512EA">
        <w:rPr>
          <w:rFonts w:ascii="Times New Roman" w:eastAsia="標楷體" w:hAnsi="Times New Roman" w:cs="Times New Roman"/>
        </w:rPr>
        <w:t>ETF</w:t>
      </w:r>
      <w:r w:rsidRPr="006512EA">
        <w:rPr>
          <w:rFonts w:ascii="Times New Roman" w:eastAsia="標楷體" w:hAnsi="Times New Roman" w:cs="Times New Roman"/>
        </w:rPr>
        <w:t>方面，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月平均報酬率為</w:t>
      </w:r>
      <w:r w:rsidRPr="006512EA">
        <w:rPr>
          <w:rFonts w:ascii="Times New Roman" w:eastAsia="標楷體" w:hAnsi="Times New Roman" w:cs="Times New Roman"/>
        </w:rPr>
        <w:t>4.16%</w:t>
      </w:r>
      <w:r w:rsidRPr="006512EA">
        <w:rPr>
          <w:rFonts w:ascii="Times New Roman" w:eastAsia="標楷體" w:hAnsi="Times New Roman" w:cs="Times New Roman"/>
        </w:rPr>
        <w:t>，略高於大盤，有</w:t>
      </w:r>
      <w:r w:rsidRPr="006512EA">
        <w:rPr>
          <w:rFonts w:ascii="Times New Roman" w:eastAsia="標楷體" w:hAnsi="Times New Roman" w:cs="Times New Roman"/>
        </w:rPr>
        <w:t>59.38%</w:t>
      </w:r>
      <w:r w:rsidRPr="006512EA">
        <w:rPr>
          <w:rFonts w:ascii="Times New Roman" w:eastAsia="標楷體" w:hAnsi="Times New Roman" w:cs="Times New Roman"/>
        </w:rPr>
        <w:t>的</w:t>
      </w:r>
      <w:r w:rsidRPr="006512EA">
        <w:rPr>
          <w:rFonts w:ascii="Times New Roman" w:eastAsia="標楷體" w:hAnsi="Times New Roman" w:cs="Times New Roman"/>
        </w:rPr>
        <w:t>ETF</w:t>
      </w:r>
      <w:r w:rsidRPr="006512EA">
        <w:rPr>
          <w:rFonts w:ascii="Times New Roman" w:eastAsia="標楷體" w:hAnsi="Times New Roman" w:cs="Times New Roman"/>
        </w:rPr>
        <w:t>優於大盤；年初至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月底平均報酬率為</w:t>
      </w:r>
      <w:r w:rsidRPr="006512EA">
        <w:rPr>
          <w:rFonts w:ascii="Times New Roman" w:eastAsia="標楷體" w:hAnsi="Times New Roman" w:cs="Times New Roman"/>
        </w:rPr>
        <w:t>70.56%</w:t>
      </w:r>
      <w:r w:rsidRPr="006512EA">
        <w:rPr>
          <w:rFonts w:ascii="Times New Roman" w:eastAsia="標楷體" w:hAnsi="Times New Roman" w:cs="Times New Roman"/>
        </w:rPr>
        <w:t>，其中</w:t>
      </w:r>
      <w:r w:rsidRPr="006512EA">
        <w:rPr>
          <w:rFonts w:ascii="Times New Roman" w:eastAsia="標楷體" w:hAnsi="Times New Roman" w:cs="Times New Roman"/>
        </w:rPr>
        <w:t>57.14%</w:t>
      </w:r>
      <w:r w:rsidRPr="006512EA">
        <w:rPr>
          <w:rFonts w:ascii="Times New Roman" w:eastAsia="標楷體" w:hAnsi="Times New Roman" w:cs="Times New Roman"/>
        </w:rPr>
        <w:t>優於大盤。各子類中，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月以主題式／產業型</w:t>
      </w:r>
      <w:r w:rsidRPr="006512EA">
        <w:rPr>
          <w:rFonts w:ascii="Times New Roman" w:eastAsia="標楷體" w:hAnsi="Times New Roman" w:cs="Times New Roman"/>
        </w:rPr>
        <w:t>ETF</w:t>
      </w:r>
      <w:r w:rsidRPr="006512EA">
        <w:rPr>
          <w:rFonts w:ascii="Times New Roman" w:eastAsia="標楷體" w:hAnsi="Times New Roman" w:cs="Times New Roman"/>
        </w:rPr>
        <w:t>平均報酬率</w:t>
      </w:r>
      <w:r w:rsidRPr="006512EA">
        <w:rPr>
          <w:rFonts w:ascii="Times New Roman" w:eastAsia="標楷體" w:hAnsi="Times New Roman" w:cs="Times New Roman"/>
        </w:rPr>
        <w:t>5.31%</w:t>
      </w:r>
      <w:r w:rsidRPr="006512EA">
        <w:rPr>
          <w:rFonts w:ascii="Times New Roman" w:eastAsia="標楷體" w:hAnsi="Times New Roman" w:cs="Times New Roman"/>
        </w:rPr>
        <w:t>表現最佳，高股息</w:t>
      </w:r>
      <w:r w:rsidRPr="006512EA">
        <w:rPr>
          <w:rFonts w:ascii="Times New Roman" w:eastAsia="標楷體" w:hAnsi="Times New Roman" w:cs="Times New Roman"/>
        </w:rPr>
        <w:t>ETF</w:t>
      </w:r>
      <w:r w:rsidRPr="006512EA">
        <w:rPr>
          <w:rFonts w:ascii="Times New Roman" w:eastAsia="標楷體" w:hAnsi="Times New Roman" w:cs="Times New Roman"/>
        </w:rPr>
        <w:t>的</w:t>
      </w:r>
      <w:r w:rsidRPr="006512EA">
        <w:rPr>
          <w:rFonts w:ascii="Times New Roman" w:eastAsia="標楷體" w:hAnsi="Times New Roman" w:cs="Times New Roman"/>
        </w:rPr>
        <w:t>2.39%</w:t>
      </w:r>
      <w:r w:rsidRPr="006512EA">
        <w:rPr>
          <w:rFonts w:ascii="Times New Roman" w:eastAsia="標楷體" w:hAnsi="Times New Roman" w:cs="Times New Roman"/>
        </w:rPr>
        <w:t>最低；年初至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月底仍以主題式／產業型</w:t>
      </w:r>
      <w:r w:rsidRPr="006512EA">
        <w:rPr>
          <w:rFonts w:ascii="Times New Roman" w:eastAsia="標楷體" w:hAnsi="Times New Roman" w:cs="Times New Roman"/>
        </w:rPr>
        <w:t>ETF</w:t>
      </w:r>
      <w:r w:rsidRPr="006512EA">
        <w:rPr>
          <w:rFonts w:ascii="Times New Roman" w:eastAsia="標楷體" w:hAnsi="Times New Roman" w:cs="Times New Roman"/>
        </w:rPr>
        <w:t>的</w:t>
      </w:r>
      <w:r w:rsidRPr="006512EA">
        <w:rPr>
          <w:rFonts w:ascii="Times New Roman" w:eastAsia="標楷體" w:hAnsi="Times New Roman" w:cs="Times New Roman"/>
        </w:rPr>
        <w:t>82.25%</w:t>
      </w:r>
      <w:r w:rsidRPr="006512EA">
        <w:rPr>
          <w:rFonts w:ascii="Times New Roman" w:eastAsia="標楷體" w:hAnsi="Times New Roman" w:cs="Times New Roman"/>
        </w:rPr>
        <w:t>最高，高股息</w:t>
      </w:r>
      <w:r w:rsidRPr="006512EA">
        <w:rPr>
          <w:rFonts w:ascii="Times New Roman" w:eastAsia="標楷體" w:hAnsi="Times New Roman" w:cs="Times New Roman"/>
        </w:rPr>
        <w:t>ETF</w:t>
      </w:r>
      <w:r w:rsidRPr="006512EA">
        <w:rPr>
          <w:rFonts w:ascii="Times New Roman" w:eastAsia="標楷體" w:hAnsi="Times New Roman" w:cs="Times New Roman"/>
        </w:rPr>
        <w:t>則僅</w:t>
      </w:r>
      <w:r w:rsidRPr="006512EA">
        <w:rPr>
          <w:rFonts w:ascii="Times New Roman" w:eastAsia="標楷體" w:hAnsi="Times New Roman" w:cs="Times New Roman"/>
        </w:rPr>
        <w:t>52.89%</w:t>
      </w:r>
      <w:r w:rsidRPr="006512EA">
        <w:rPr>
          <w:rFonts w:ascii="Times New Roman" w:eastAsia="標楷體" w:hAnsi="Times New Roman" w:cs="Times New Roman"/>
        </w:rPr>
        <w:t>。這與今年股市漲勢集中於</w:t>
      </w:r>
      <w:r w:rsidRPr="006512EA">
        <w:rPr>
          <w:rFonts w:ascii="Times New Roman" w:eastAsia="標楷體" w:hAnsi="Times New Roman" w:cs="Times New Roman"/>
        </w:rPr>
        <w:t>AI</w:t>
      </w:r>
      <w:r w:rsidRPr="006512EA">
        <w:rPr>
          <w:rFonts w:ascii="Times New Roman" w:eastAsia="標楷體" w:hAnsi="Times New Roman" w:cs="Times New Roman"/>
        </w:rPr>
        <w:t>、半導體及成長產業的市場結構相符。至於</w:t>
      </w:r>
      <w:r w:rsidRPr="006512EA">
        <w:rPr>
          <w:rFonts w:ascii="Times New Roman" w:eastAsia="標楷體" w:hAnsi="Times New Roman" w:cs="Times New Roman"/>
        </w:rPr>
        <w:t>21</w:t>
      </w:r>
      <w:r w:rsidRPr="006512EA">
        <w:rPr>
          <w:rFonts w:ascii="Times New Roman" w:eastAsia="標楷體" w:hAnsi="Times New Roman" w:cs="Times New Roman"/>
        </w:rPr>
        <w:t>檔指數型非</w:t>
      </w:r>
      <w:r w:rsidRPr="006512EA">
        <w:rPr>
          <w:rFonts w:ascii="Times New Roman" w:eastAsia="標楷體" w:hAnsi="Times New Roman" w:cs="Times New Roman"/>
        </w:rPr>
        <w:t>ETF</w:t>
      </w:r>
      <w:r w:rsidRPr="006512EA">
        <w:rPr>
          <w:rFonts w:ascii="Times New Roman" w:eastAsia="標楷體" w:hAnsi="Times New Roman" w:cs="Times New Roman"/>
        </w:rPr>
        <w:t>基金，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月及年初至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月底平均報酬率分別為</w:t>
      </w:r>
      <w:r w:rsidRPr="006512EA">
        <w:rPr>
          <w:rFonts w:ascii="Times New Roman" w:eastAsia="標楷體" w:hAnsi="Times New Roman" w:cs="Times New Roman"/>
        </w:rPr>
        <w:t>3.95%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60.44%</w:t>
      </w:r>
      <w:r w:rsidRPr="006512EA">
        <w:rPr>
          <w:rFonts w:ascii="Times New Roman" w:eastAsia="標楷體" w:hAnsi="Times New Roman" w:cs="Times New Roman"/>
        </w:rPr>
        <w:t>，均低於一般型</w:t>
      </w:r>
      <w:r w:rsidRPr="006512EA">
        <w:rPr>
          <w:rFonts w:ascii="Times New Roman" w:eastAsia="標楷體" w:hAnsi="Times New Roman" w:cs="Times New Roman"/>
        </w:rPr>
        <w:t>ETF</w:t>
      </w:r>
      <w:r w:rsidRPr="006512EA">
        <w:rPr>
          <w:rFonts w:ascii="Times New Roman" w:eastAsia="標楷體" w:hAnsi="Times New Roman" w:cs="Times New Roman"/>
        </w:rPr>
        <w:t>。</w:t>
      </w:r>
    </w:p>
    <w:p w14:paraId="3EAA99D4" w14:textId="77777777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另外，</w:t>
      </w:r>
      <w:r w:rsidRPr="006512EA">
        <w:rPr>
          <w:rFonts w:ascii="Times New Roman" w:eastAsia="標楷體" w:hAnsi="Times New Roman" w:cs="Times New Roman"/>
        </w:rPr>
        <w:t>22</w:t>
      </w:r>
      <w:r w:rsidRPr="006512EA">
        <w:rPr>
          <w:rFonts w:ascii="Times New Roman" w:eastAsia="標楷體" w:hAnsi="Times New Roman" w:cs="Times New Roman"/>
        </w:rPr>
        <w:t>檔國內主動式</w:t>
      </w:r>
      <w:r w:rsidRPr="006512EA">
        <w:rPr>
          <w:rFonts w:ascii="Times New Roman" w:eastAsia="標楷體" w:hAnsi="Times New Roman" w:cs="Times New Roman"/>
        </w:rPr>
        <w:t>ETF</w:t>
      </w:r>
      <w:r w:rsidRPr="006512EA">
        <w:rPr>
          <w:rFonts w:ascii="Times New Roman" w:eastAsia="標楷體" w:hAnsi="Times New Roman" w:cs="Times New Roman"/>
        </w:rPr>
        <w:t>的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月平均報酬率為</w:t>
      </w:r>
      <w:r w:rsidRPr="006512EA">
        <w:rPr>
          <w:rFonts w:ascii="Times New Roman" w:eastAsia="標楷體" w:hAnsi="Times New Roman" w:cs="Times New Roman"/>
        </w:rPr>
        <w:t>2.93%</w:t>
      </w:r>
      <w:r w:rsidRPr="006512EA">
        <w:rPr>
          <w:rFonts w:ascii="Times New Roman" w:eastAsia="標楷體" w:hAnsi="Times New Roman" w:cs="Times New Roman"/>
        </w:rPr>
        <w:t>，僅</w:t>
      </w:r>
      <w:r w:rsidRPr="006512EA">
        <w:rPr>
          <w:rFonts w:ascii="Times New Roman" w:eastAsia="標楷體" w:hAnsi="Times New Roman" w:cs="Times New Roman"/>
        </w:rPr>
        <w:t>22.73%</w:t>
      </w:r>
      <w:r w:rsidRPr="006512EA">
        <w:rPr>
          <w:rFonts w:ascii="Times New Roman" w:eastAsia="標楷體" w:hAnsi="Times New Roman" w:cs="Times New Roman"/>
        </w:rPr>
        <w:t>優於大盤；近三</w:t>
      </w:r>
      <w:proofErr w:type="gramStart"/>
      <w:r w:rsidRPr="006512EA">
        <w:rPr>
          <w:rFonts w:ascii="Times New Roman" w:eastAsia="標楷體" w:hAnsi="Times New Roman" w:cs="Times New Roman"/>
        </w:rPr>
        <w:t>個</w:t>
      </w:r>
      <w:proofErr w:type="gramEnd"/>
      <w:r w:rsidRPr="006512EA">
        <w:rPr>
          <w:rFonts w:ascii="Times New Roman" w:eastAsia="標楷體" w:hAnsi="Times New Roman" w:cs="Times New Roman"/>
        </w:rPr>
        <w:t>月也僅</w:t>
      </w:r>
      <w:r w:rsidRPr="006512EA">
        <w:rPr>
          <w:rFonts w:ascii="Times New Roman" w:eastAsia="標楷體" w:hAnsi="Times New Roman" w:cs="Times New Roman"/>
        </w:rPr>
        <w:t>25%</w:t>
      </w:r>
      <w:r w:rsidRPr="006512EA">
        <w:rPr>
          <w:rFonts w:ascii="Times New Roman" w:eastAsia="標楷體" w:hAnsi="Times New Roman" w:cs="Times New Roman"/>
        </w:rPr>
        <w:t>擊敗大盤。但年初至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月底平均報酬率達</w:t>
      </w:r>
      <w:r w:rsidRPr="006512EA">
        <w:rPr>
          <w:rFonts w:ascii="Times New Roman" w:eastAsia="標楷體" w:hAnsi="Times New Roman" w:cs="Times New Roman"/>
        </w:rPr>
        <w:t>76.21%</w:t>
      </w:r>
      <w:r w:rsidRPr="006512EA">
        <w:rPr>
          <w:rFonts w:ascii="Times New Roman" w:eastAsia="標楷體" w:hAnsi="Times New Roman" w:cs="Times New Roman"/>
        </w:rPr>
        <w:t>，有</w:t>
      </w:r>
      <w:r w:rsidRPr="006512EA">
        <w:rPr>
          <w:rFonts w:ascii="Times New Roman" w:eastAsia="標楷體" w:hAnsi="Times New Roman" w:cs="Times New Roman"/>
        </w:rPr>
        <w:t>88.89%</w:t>
      </w:r>
      <w:r w:rsidRPr="006512EA">
        <w:rPr>
          <w:rFonts w:ascii="Times New Roman" w:eastAsia="標楷體" w:hAnsi="Times New Roman" w:cs="Times New Roman"/>
        </w:rPr>
        <w:t>的基金優於大盤。這顯示主動式</w:t>
      </w:r>
      <w:r w:rsidRPr="006512EA">
        <w:rPr>
          <w:rFonts w:ascii="Times New Roman" w:eastAsia="標楷體" w:hAnsi="Times New Roman" w:cs="Times New Roman"/>
        </w:rPr>
        <w:t>ETF</w:t>
      </w:r>
      <w:r w:rsidRPr="006512EA">
        <w:rPr>
          <w:rFonts w:ascii="Times New Roman" w:eastAsia="標楷體" w:hAnsi="Times New Roman" w:cs="Times New Roman"/>
        </w:rPr>
        <w:t>近期在大盤較為震盪、行情集中於特定大型權值股的環境下，相對表現受到較大影響；若拉長至今年前九</w:t>
      </w:r>
      <w:proofErr w:type="gramStart"/>
      <w:r w:rsidRPr="006512EA">
        <w:rPr>
          <w:rFonts w:ascii="Times New Roman" w:eastAsia="標楷體" w:hAnsi="Times New Roman" w:cs="Times New Roman"/>
        </w:rPr>
        <w:t>個</w:t>
      </w:r>
      <w:proofErr w:type="gramEnd"/>
      <w:r w:rsidRPr="006512EA">
        <w:rPr>
          <w:rFonts w:ascii="Times New Roman" w:eastAsia="標楷體" w:hAnsi="Times New Roman" w:cs="Times New Roman"/>
        </w:rPr>
        <w:t>月的多頭</w:t>
      </w:r>
      <w:proofErr w:type="gramStart"/>
      <w:r w:rsidRPr="006512EA">
        <w:rPr>
          <w:rFonts w:ascii="Times New Roman" w:eastAsia="標楷體" w:hAnsi="Times New Roman" w:cs="Times New Roman"/>
        </w:rPr>
        <w:t>期間，</w:t>
      </w:r>
      <w:proofErr w:type="gramEnd"/>
      <w:r w:rsidRPr="006512EA">
        <w:rPr>
          <w:rFonts w:ascii="Times New Roman" w:eastAsia="標楷體" w:hAnsi="Times New Roman" w:cs="Times New Roman"/>
        </w:rPr>
        <w:t>其主動選股優勢則較為明顯。</w:t>
      </w:r>
    </w:p>
    <w:p w14:paraId="6781CCF2" w14:textId="627E8644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跨國股票型基金方面，</w:t>
      </w:r>
      <w:r w:rsidRPr="006512EA">
        <w:rPr>
          <w:rFonts w:ascii="Times New Roman" w:eastAsia="標楷體" w:hAnsi="Times New Roman" w:cs="Times New Roman"/>
        </w:rPr>
        <w:t>935</w:t>
      </w:r>
      <w:r w:rsidRPr="006512EA">
        <w:rPr>
          <w:rFonts w:ascii="Times New Roman" w:eastAsia="標楷體" w:hAnsi="Times New Roman" w:cs="Times New Roman"/>
        </w:rPr>
        <w:t>檔基金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月平均報酬率為</w:t>
      </w:r>
      <w:r w:rsidRPr="006512EA">
        <w:rPr>
          <w:rFonts w:ascii="Times New Roman" w:eastAsia="標楷體" w:hAnsi="Times New Roman" w:cs="Times New Roman"/>
        </w:rPr>
        <w:t>-0.51%</w:t>
      </w:r>
      <w:r w:rsidRPr="006512EA">
        <w:rPr>
          <w:rFonts w:ascii="Times New Roman" w:eastAsia="標楷體" w:hAnsi="Times New Roman" w:cs="Times New Roman"/>
        </w:rPr>
        <w:t>，年初至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月底則為</w:t>
      </w:r>
      <w:r w:rsidRPr="006512EA">
        <w:rPr>
          <w:rFonts w:ascii="Times New Roman" w:eastAsia="標楷體" w:hAnsi="Times New Roman" w:cs="Times New Roman"/>
        </w:rPr>
        <w:t>17.09%</w:t>
      </w:r>
      <w:r w:rsidRPr="006512EA">
        <w:rPr>
          <w:rFonts w:ascii="Times New Roman" w:eastAsia="標楷體" w:hAnsi="Times New Roman" w:cs="Times New Roman"/>
        </w:rPr>
        <w:t>。其中，規模最大的全球一般股票型</w:t>
      </w:r>
      <w:proofErr w:type="gramStart"/>
      <w:r w:rsidRPr="006512EA">
        <w:rPr>
          <w:rFonts w:ascii="Times New Roman" w:eastAsia="標楷體" w:hAnsi="Times New Roman" w:cs="Times New Roman"/>
        </w:rPr>
        <w:t>基金全幣別</w:t>
      </w:r>
      <w:proofErr w:type="gramEnd"/>
      <w:r w:rsidRPr="006512EA">
        <w:rPr>
          <w:rFonts w:ascii="Times New Roman" w:eastAsia="標楷體" w:hAnsi="Times New Roman" w:cs="Times New Roman"/>
        </w:rPr>
        <w:t>383</w:t>
      </w:r>
      <w:r w:rsidRPr="006512EA">
        <w:rPr>
          <w:rFonts w:ascii="Times New Roman" w:eastAsia="標楷體" w:hAnsi="Times New Roman" w:cs="Times New Roman"/>
        </w:rPr>
        <w:t>檔，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月及年初至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月底平均報酬率分別為</w:t>
      </w:r>
      <w:r w:rsidRPr="006512EA">
        <w:rPr>
          <w:rFonts w:ascii="Times New Roman" w:eastAsia="標楷體" w:hAnsi="Times New Roman" w:cs="Times New Roman"/>
        </w:rPr>
        <w:t>1.11%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19.75%</w:t>
      </w:r>
      <w:r w:rsidRPr="006512EA">
        <w:rPr>
          <w:rFonts w:ascii="Times New Roman" w:eastAsia="標楷體" w:hAnsi="Times New Roman" w:cs="Times New Roman"/>
        </w:rPr>
        <w:t>，均高於</w:t>
      </w:r>
      <w:r w:rsidRPr="006512EA">
        <w:rPr>
          <w:rFonts w:ascii="Times New Roman" w:eastAsia="標楷體" w:hAnsi="Times New Roman" w:cs="Times New Roman"/>
        </w:rPr>
        <w:t>MSCI</w:t>
      </w:r>
      <w:r w:rsidRPr="006512EA">
        <w:rPr>
          <w:rFonts w:ascii="Times New Roman" w:eastAsia="標楷體" w:hAnsi="Times New Roman" w:cs="Times New Roman"/>
        </w:rPr>
        <w:t>世界指數同期的</w:t>
      </w:r>
      <w:r w:rsidRPr="006512EA">
        <w:rPr>
          <w:rFonts w:ascii="Times New Roman" w:eastAsia="標楷體" w:hAnsi="Times New Roman" w:cs="Times New Roman"/>
        </w:rPr>
        <w:t>-1.08%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13.37%</w:t>
      </w:r>
      <w:r w:rsidRPr="006512EA">
        <w:rPr>
          <w:rFonts w:ascii="Times New Roman" w:eastAsia="標楷體" w:hAnsi="Times New Roman" w:cs="Times New Roman"/>
        </w:rPr>
        <w:t>。全球資源型與特別股型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月平均報酬率則較低，分別為</w:t>
      </w:r>
      <w:r w:rsidRPr="006512EA">
        <w:rPr>
          <w:rFonts w:ascii="Times New Roman" w:eastAsia="標楷體" w:hAnsi="Times New Roman" w:cs="Times New Roman"/>
        </w:rPr>
        <w:t>-3.22%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-3.62%</w:t>
      </w:r>
      <w:r w:rsidRPr="006512EA">
        <w:rPr>
          <w:rFonts w:ascii="Times New Roman" w:eastAsia="標楷體" w:hAnsi="Times New Roman" w:cs="Times New Roman"/>
        </w:rPr>
        <w:t>；年初至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月底分別為</w:t>
      </w:r>
      <w:r w:rsidRPr="006512EA">
        <w:rPr>
          <w:rFonts w:ascii="Times New Roman" w:eastAsia="標楷體" w:hAnsi="Times New Roman" w:cs="Times New Roman"/>
        </w:rPr>
        <w:t>11.78%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-7.62%</w:t>
      </w:r>
      <w:r w:rsidRPr="006512EA">
        <w:rPr>
          <w:rFonts w:ascii="Times New Roman" w:eastAsia="標楷體" w:hAnsi="Times New Roman" w:cs="Times New Roman"/>
        </w:rPr>
        <w:t>。尤其全球特別股型兩個期間報酬率皆為負，與特別股具有部分債券性質、因而較容易受到利率上升衝擊有關。</w:t>
      </w:r>
    </w:p>
    <w:p w14:paraId="143BC29F" w14:textId="77777777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區域型基金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月平均報酬率以亞洲型的</w:t>
      </w:r>
      <w:r w:rsidRPr="006512EA">
        <w:rPr>
          <w:rFonts w:ascii="Times New Roman" w:eastAsia="標楷體" w:hAnsi="Times New Roman" w:cs="Times New Roman"/>
        </w:rPr>
        <w:t>0.54%</w:t>
      </w:r>
      <w:r w:rsidRPr="006512EA">
        <w:rPr>
          <w:rFonts w:ascii="Times New Roman" w:eastAsia="標楷體" w:hAnsi="Times New Roman" w:cs="Times New Roman"/>
        </w:rPr>
        <w:t>最高，新興市場型為</w:t>
      </w:r>
      <w:r w:rsidRPr="006512EA">
        <w:rPr>
          <w:rFonts w:ascii="Times New Roman" w:eastAsia="標楷體" w:hAnsi="Times New Roman" w:cs="Times New Roman"/>
        </w:rPr>
        <w:t>-1.32%</w:t>
      </w:r>
      <w:r w:rsidRPr="006512EA">
        <w:rPr>
          <w:rFonts w:ascii="Times New Roman" w:eastAsia="標楷體" w:hAnsi="Times New Roman" w:cs="Times New Roman"/>
        </w:rPr>
        <w:t>，歐洲型與大中華區則均低於</w:t>
      </w:r>
      <w:r w:rsidRPr="006512EA">
        <w:rPr>
          <w:rFonts w:ascii="Times New Roman" w:eastAsia="標楷體" w:hAnsi="Times New Roman" w:cs="Times New Roman"/>
        </w:rPr>
        <w:t>-3%</w:t>
      </w:r>
      <w:r w:rsidRPr="006512EA">
        <w:rPr>
          <w:rFonts w:ascii="Times New Roman" w:eastAsia="標楷體" w:hAnsi="Times New Roman" w:cs="Times New Roman"/>
        </w:rPr>
        <w:t>。年初至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月底同樣以亞洲型</w:t>
      </w:r>
      <w:r w:rsidRPr="006512EA">
        <w:rPr>
          <w:rFonts w:ascii="Times New Roman" w:eastAsia="標楷體" w:hAnsi="Times New Roman" w:cs="Times New Roman"/>
        </w:rPr>
        <w:t>45.2%</w:t>
      </w:r>
      <w:r w:rsidRPr="006512EA">
        <w:rPr>
          <w:rFonts w:ascii="Times New Roman" w:eastAsia="標楷體" w:hAnsi="Times New Roman" w:cs="Times New Roman"/>
        </w:rPr>
        <w:t>最高，大中華區與新興市場型分別為</w:t>
      </w:r>
      <w:r w:rsidRPr="006512EA">
        <w:rPr>
          <w:rFonts w:ascii="Times New Roman" w:eastAsia="標楷體" w:hAnsi="Times New Roman" w:cs="Times New Roman"/>
        </w:rPr>
        <w:t>22.32%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17.99%</w:t>
      </w:r>
      <w:r w:rsidRPr="006512EA">
        <w:rPr>
          <w:rFonts w:ascii="Times New Roman" w:eastAsia="標楷體" w:hAnsi="Times New Roman" w:cs="Times New Roman"/>
        </w:rPr>
        <w:t>，歐洲型僅</w:t>
      </w:r>
      <w:r w:rsidRPr="006512EA">
        <w:rPr>
          <w:rFonts w:ascii="Times New Roman" w:eastAsia="標楷體" w:hAnsi="Times New Roman" w:cs="Times New Roman"/>
        </w:rPr>
        <w:t>4.35%</w:t>
      </w:r>
      <w:r w:rsidRPr="006512EA">
        <w:rPr>
          <w:rFonts w:ascii="Times New Roman" w:eastAsia="標楷體" w:hAnsi="Times New Roman" w:cs="Times New Roman"/>
        </w:rPr>
        <w:t>。國家型基金方面，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月以美國及日本型平均報酬率</w:t>
      </w:r>
      <w:r w:rsidRPr="006512EA">
        <w:rPr>
          <w:rFonts w:ascii="Times New Roman" w:eastAsia="標楷體" w:hAnsi="Times New Roman" w:cs="Times New Roman"/>
        </w:rPr>
        <w:t>4.41%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0.7%</w:t>
      </w:r>
      <w:r w:rsidRPr="006512EA">
        <w:rPr>
          <w:rFonts w:ascii="Times New Roman" w:eastAsia="標楷體" w:hAnsi="Times New Roman" w:cs="Times New Roman"/>
        </w:rPr>
        <w:t>較佳；年初至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月底則以日本及美國型的</w:t>
      </w:r>
      <w:r w:rsidRPr="006512EA">
        <w:rPr>
          <w:rFonts w:ascii="Times New Roman" w:eastAsia="標楷體" w:hAnsi="Times New Roman" w:cs="Times New Roman"/>
        </w:rPr>
        <w:t>26.83%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17.4%</w:t>
      </w:r>
      <w:r w:rsidRPr="006512EA">
        <w:rPr>
          <w:rFonts w:ascii="Times New Roman" w:eastAsia="標楷體" w:hAnsi="Times New Roman" w:cs="Times New Roman"/>
        </w:rPr>
        <w:t>領先其他類型。整體而言，跨國股票基金的績效也反映今年全球股市的高度分化，亞洲及科技相關</w:t>
      </w:r>
      <w:proofErr w:type="gramStart"/>
      <w:r w:rsidRPr="006512EA">
        <w:rPr>
          <w:rFonts w:ascii="Times New Roman" w:eastAsia="標楷體" w:hAnsi="Times New Roman" w:cs="Times New Roman"/>
        </w:rPr>
        <w:t>曝險較</w:t>
      </w:r>
      <w:proofErr w:type="gramEnd"/>
      <w:r w:rsidRPr="006512EA">
        <w:rPr>
          <w:rFonts w:ascii="Times New Roman" w:eastAsia="標楷體" w:hAnsi="Times New Roman" w:cs="Times New Roman"/>
        </w:rPr>
        <w:t>高的基金相對占優勢。</w:t>
      </w:r>
    </w:p>
    <w:p w14:paraId="25C62D97" w14:textId="77777777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指數股票型的一般</w:t>
      </w:r>
      <w:r w:rsidRPr="006512EA">
        <w:rPr>
          <w:rFonts w:ascii="Times New Roman" w:eastAsia="標楷體" w:hAnsi="Times New Roman" w:cs="Times New Roman"/>
        </w:rPr>
        <w:t>ETF</w:t>
      </w:r>
      <w:r w:rsidRPr="006512EA">
        <w:rPr>
          <w:rFonts w:ascii="Times New Roman" w:eastAsia="標楷體" w:hAnsi="Times New Roman" w:cs="Times New Roman"/>
        </w:rPr>
        <w:t>中，產業型</w:t>
      </w:r>
      <w:r w:rsidRPr="006512EA">
        <w:rPr>
          <w:rFonts w:ascii="Times New Roman" w:eastAsia="標楷體" w:hAnsi="Times New Roman" w:cs="Times New Roman"/>
        </w:rPr>
        <w:t>ETF</w:t>
      </w:r>
      <w:r w:rsidRPr="006512EA">
        <w:rPr>
          <w:rFonts w:ascii="Times New Roman" w:eastAsia="標楷體" w:hAnsi="Times New Roman" w:cs="Times New Roman"/>
        </w:rPr>
        <w:t>的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月及年初至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月底平均報酬率分別為</w:t>
      </w:r>
      <w:r w:rsidRPr="006512EA">
        <w:rPr>
          <w:rFonts w:ascii="Times New Roman" w:eastAsia="標楷體" w:hAnsi="Times New Roman" w:cs="Times New Roman"/>
        </w:rPr>
        <w:t>1.54%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34.28%</w:t>
      </w:r>
      <w:r w:rsidRPr="006512EA">
        <w:rPr>
          <w:rFonts w:ascii="Times New Roman" w:eastAsia="標楷體" w:hAnsi="Times New Roman" w:cs="Times New Roman"/>
        </w:rPr>
        <w:t>，為各類型最高；國家型則以日本型的</w:t>
      </w:r>
      <w:r w:rsidRPr="006512EA">
        <w:rPr>
          <w:rFonts w:ascii="Times New Roman" w:eastAsia="標楷體" w:hAnsi="Times New Roman" w:cs="Times New Roman"/>
        </w:rPr>
        <w:t>1.91%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26.96%</w:t>
      </w:r>
      <w:r w:rsidRPr="006512EA">
        <w:rPr>
          <w:rFonts w:ascii="Times New Roman" w:eastAsia="標楷體" w:hAnsi="Times New Roman" w:cs="Times New Roman"/>
        </w:rPr>
        <w:t>、美國型的</w:t>
      </w:r>
      <w:r w:rsidRPr="006512EA">
        <w:rPr>
          <w:rFonts w:ascii="Times New Roman" w:eastAsia="標楷體" w:hAnsi="Times New Roman" w:cs="Times New Roman"/>
        </w:rPr>
        <w:t>1.07%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12.99%</w:t>
      </w:r>
      <w:r w:rsidRPr="006512EA">
        <w:rPr>
          <w:rFonts w:ascii="Times New Roman" w:eastAsia="標楷體" w:hAnsi="Times New Roman" w:cs="Times New Roman"/>
        </w:rPr>
        <w:t>較佳，區域型同期平均報酬率則為</w:t>
      </w:r>
      <w:r w:rsidRPr="006512EA">
        <w:rPr>
          <w:rFonts w:ascii="Times New Roman" w:eastAsia="標楷體" w:hAnsi="Times New Roman" w:cs="Times New Roman"/>
        </w:rPr>
        <w:t>-1.48%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17.56%</w:t>
      </w:r>
      <w:r w:rsidRPr="006512EA">
        <w:rPr>
          <w:rFonts w:ascii="Times New Roman" w:eastAsia="標楷體" w:hAnsi="Times New Roman" w:cs="Times New Roman"/>
        </w:rPr>
        <w:t>。值得注意的是，跨國投資主動式</w:t>
      </w:r>
      <w:r w:rsidRPr="006512EA">
        <w:rPr>
          <w:rFonts w:ascii="Times New Roman" w:eastAsia="標楷體" w:hAnsi="Times New Roman" w:cs="Times New Roman"/>
        </w:rPr>
        <w:t>ETF</w:t>
      </w:r>
      <w:r w:rsidRPr="006512EA">
        <w:rPr>
          <w:rFonts w:ascii="Times New Roman" w:eastAsia="標楷體" w:hAnsi="Times New Roman" w:cs="Times New Roman"/>
        </w:rPr>
        <w:t>兩個期間的平均報酬率分別達</w:t>
      </w:r>
      <w:r w:rsidRPr="006512EA">
        <w:rPr>
          <w:rFonts w:ascii="Times New Roman" w:eastAsia="標楷體" w:hAnsi="Times New Roman" w:cs="Times New Roman"/>
        </w:rPr>
        <w:t>4.09%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37.3%</w:t>
      </w:r>
      <w:r w:rsidRPr="006512EA">
        <w:rPr>
          <w:rFonts w:ascii="Times New Roman" w:eastAsia="標楷體" w:hAnsi="Times New Roman" w:cs="Times New Roman"/>
        </w:rPr>
        <w:t>，高於上述各類一般型</w:t>
      </w:r>
      <w:r w:rsidRPr="006512EA">
        <w:rPr>
          <w:rFonts w:ascii="Times New Roman" w:eastAsia="標楷體" w:hAnsi="Times New Roman" w:cs="Times New Roman"/>
        </w:rPr>
        <w:t>ETF</w:t>
      </w:r>
      <w:r w:rsidRPr="006512EA">
        <w:rPr>
          <w:rFonts w:ascii="Times New Roman" w:eastAsia="標楷體" w:hAnsi="Times New Roman" w:cs="Times New Roman"/>
        </w:rPr>
        <w:t>，顯示今年跨國市場分化較大的環境，也提供</w:t>
      </w:r>
      <w:r w:rsidRPr="006512EA">
        <w:rPr>
          <w:rFonts w:ascii="Times New Roman" w:eastAsia="標楷體" w:hAnsi="Times New Roman" w:cs="Times New Roman"/>
        </w:rPr>
        <w:lastRenderedPageBreak/>
        <w:t>主動配置較多發揮空間。</w:t>
      </w:r>
    </w:p>
    <w:p w14:paraId="40842430" w14:textId="34679423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債券型基金面對的投資環境則明顯較為嚴峻。</w:t>
      </w:r>
      <w:proofErr w:type="gramStart"/>
      <w:r w:rsidRPr="006512EA">
        <w:rPr>
          <w:rFonts w:ascii="Times New Roman" w:eastAsia="標楷體" w:hAnsi="Times New Roman" w:cs="Times New Roman"/>
        </w:rPr>
        <w:t>以全幣別</w:t>
      </w:r>
      <w:proofErr w:type="gramEnd"/>
      <w:r w:rsidRPr="006512EA">
        <w:rPr>
          <w:rFonts w:ascii="Times New Roman" w:eastAsia="標楷體" w:hAnsi="Times New Roman" w:cs="Times New Roman"/>
        </w:rPr>
        <w:t>計算，</w:t>
      </w:r>
      <w:r w:rsidRPr="006512EA">
        <w:rPr>
          <w:rFonts w:ascii="Times New Roman" w:eastAsia="標楷體" w:hAnsi="Times New Roman" w:cs="Times New Roman"/>
        </w:rPr>
        <w:t>329</w:t>
      </w:r>
      <w:r w:rsidRPr="006512EA">
        <w:rPr>
          <w:rFonts w:ascii="Times New Roman" w:eastAsia="標楷體" w:hAnsi="Times New Roman" w:cs="Times New Roman"/>
        </w:rPr>
        <w:t>檔投資等級全球債券基金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月及年初至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月底平均報酬率分別為</w:t>
      </w:r>
      <w:r w:rsidRPr="006512EA">
        <w:rPr>
          <w:rFonts w:ascii="Times New Roman" w:eastAsia="標楷體" w:hAnsi="Times New Roman" w:cs="Times New Roman"/>
        </w:rPr>
        <w:t>-2.58%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-3.31%</w:t>
      </w:r>
      <w:r w:rsidRPr="006512EA">
        <w:rPr>
          <w:rFonts w:ascii="Times New Roman" w:eastAsia="標楷體" w:hAnsi="Times New Roman" w:cs="Times New Roman"/>
        </w:rPr>
        <w:t>，主要反映全球</w:t>
      </w:r>
      <w:proofErr w:type="gramStart"/>
      <w:r w:rsidRPr="006512EA">
        <w:rPr>
          <w:rFonts w:ascii="Times New Roman" w:eastAsia="標楷體" w:hAnsi="Times New Roman" w:cs="Times New Roman"/>
        </w:rPr>
        <w:t>殖</w:t>
      </w:r>
      <w:proofErr w:type="gramEnd"/>
      <w:r w:rsidRPr="006512EA">
        <w:rPr>
          <w:rFonts w:ascii="Times New Roman" w:eastAsia="標楷體" w:hAnsi="Times New Roman" w:cs="Times New Roman"/>
        </w:rPr>
        <w:t>利率上升造成的債券價格壓力。</w:t>
      </w:r>
      <w:r w:rsidRPr="006512EA">
        <w:rPr>
          <w:rFonts w:ascii="Times New Roman" w:eastAsia="標楷體" w:hAnsi="Times New Roman" w:cs="Times New Roman"/>
        </w:rPr>
        <w:t>328</w:t>
      </w:r>
      <w:proofErr w:type="gramStart"/>
      <w:r w:rsidRPr="006512EA">
        <w:rPr>
          <w:rFonts w:ascii="Times New Roman" w:eastAsia="標楷體" w:hAnsi="Times New Roman" w:cs="Times New Roman"/>
        </w:rPr>
        <w:t>檔非投資</w:t>
      </w:r>
      <w:proofErr w:type="gramEnd"/>
      <w:r w:rsidRPr="006512EA">
        <w:rPr>
          <w:rFonts w:ascii="Times New Roman" w:eastAsia="標楷體" w:hAnsi="Times New Roman" w:cs="Times New Roman"/>
        </w:rPr>
        <w:t>等級全球債券基金同期平均報酬率則為</w:t>
      </w:r>
      <w:r w:rsidRPr="006512EA">
        <w:rPr>
          <w:rFonts w:ascii="Times New Roman" w:eastAsia="標楷體" w:hAnsi="Times New Roman" w:cs="Times New Roman"/>
        </w:rPr>
        <w:t>-2.41%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-1.24%</w:t>
      </w:r>
      <w:r w:rsidRPr="006512EA">
        <w:rPr>
          <w:rFonts w:ascii="Times New Roman" w:eastAsia="標楷體" w:hAnsi="Times New Roman" w:cs="Times New Roman"/>
        </w:rPr>
        <w:t>，九個月績效優於投資等級債券基金，顯示較高票息及信用利差提供部分支撐。投資等級短期債券型基金，上述兩個期間同期平均報酬率為</w:t>
      </w:r>
      <w:r w:rsidRPr="006512EA">
        <w:rPr>
          <w:rFonts w:ascii="Times New Roman" w:eastAsia="標楷體" w:hAnsi="Times New Roman" w:cs="Times New Roman"/>
        </w:rPr>
        <w:t>-0.55%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0.66%</w:t>
      </w:r>
      <w:r w:rsidRPr="006512EA">
        <w:rPr>
          <w:rFonts w:ascii="Times New Roman" w:eastAsia="標楷體" w:hAnsi="Times New Roman" w:cs="Times New Roman"/>
        </w:rPr>
        <w:t>，因存續期間較短，受到</w:t>
      </w:r>
      <w:proofErr w:type="gramStart"/>
      <w:r w:rsidRPr="006512EA">
        <w:rPr>
          <w:rFonts w:ascii="Times New Roman" w:eastAsia="標楷體" w:hAnsi="Times New Roman" w:cs="Times New Roman"/>
        </w:rPr>
        <w:t>殖</w:t>
      </w:r>
      <w:proofErr w:type="gramEnd"/>
      <w:r w:rsidRPr="006512EA">
        <w:rPr>
          <w:rFonts w:ascii="Times New Roman" w:eastAsia="標楷體" w:hAnsi="Times New Roman" w:cs="Times New Roman"/>
        </w:rPr>
        <w:t>利率上升的影響相對有限。過去有不錯表現之投資等級目標到期債券基金，上述兩個期間的平均報酬率為</w:t>
      </w:r>
      <w:r w:rsidR="004F5952">
        <w:rPr>
          <w:rFonts w:ascii="Times New Roman" w:eastAsia="標楷體" w:hAnsi="Times New Roman" w:cs="Times New Roman" w:hint="eastAsia"/>
        </w:rPr>
        <w:t xml:space="preserve">  </w:t>
      </w:r>
      <w:r w:rsidRPr="006512EA">
        <w:rPr>
          <w:rFonts w:ascii="Times New Roman" w:eastAsia="標楷體" w:hAnsi="Times New Roman" w:cs="Times New Roman"/>
        </w:rPr>
        <w:t>-0.07%</w:t>
      </w:r>
      <w:r w:rsidRPr="006512EA">
        <w:rPr>
          <w:rFonts w:ascii="Times New Roman" w:eastAsia="標楷體" w:hAnsi="Times New Roman" w:cs="Times New Roman"/>
        </w:rPr>
        <w:t>、</w:t>
      </w:r>
      <w:r w:rsidRPr="006512EA">
        <w:rPr>
          <w:rFonts w:ascii="Times New Roman" w:eastAsia="標楷體" w:hAnsi="Times New Roman" w:cs="Times New Roman"/>
        </w:rPr>
        <w:t>2.13%</w:t>
      </w:r>
      <w:r w:rsidRPr="006512EA">
        <w:rPr>
          <w:rFonts w:ascii="Times New Roman" w:eastAsia="標楷體" w:hAnsi="Times New Roman" w:cs="Times New Roman"/>
        </w:rPr>
        <w:t>，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月績效亦明顯受到利率急升影響。</w:t>
      </w:r>
    </w:p>
    <w:p w14:paraId="7E752B87" w14:textId="79A222CE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區域及國家型海外債券基金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月績效也普遍為負。由於美國公債</w:t>
      </w:r>
      <w:proofErr w:type="gramStart"/>
      <w:r w:rsidRPr="006512EA">
        <w:rPr>
          <w:rFonts w:ascii="Times New Roman" w:eastAsia="標楷體" w:hAnsi="Times New Roman" w:cs="Times New Roman"/>
        </w:rPr>
        <w:t>殖</w:t>
      </w:r>
      <w:proofErr w:type="gramEnd"/>
      <w:r w:rsidRPr="006512EA">
        <w:rPr>
          <w:rFonts w:ascii="Times New Roman" w:eastAsia="標楷體" w:hAnsi="Times New Roman" w:cs="Times New Roman"/>
        </w:rPr>
        <w:t>利率上升幅度較大，投資等級美國債券型基金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月及年初至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月底平均報酬率分別為</w:t>
      </w:r>
      <w:r w:rsidR="004F5952">
        <w:rPr>
          <w:rFonts w:ascii="Times New Roman" w:eastAsia="標楷體" w:hAnsi="Times New Roman" w:cs="Times New Roman" w:hint="eastAsia"/>
        </w:rPr>
        <w:t xml:space="preserve">     </w:t>
      </w:r>
      <w:r w:rsidRPr="006512EA">
        <w:rPr>
          <w:rFonts w:ascii="Times New Roman" w:eastAsia="標楷體" w:hAnsi="Times New Roman" w:cs="Times New Roman"/>
        </w:rPr>
        <w:t>-3.23%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-4.92%</w:t>
      </w:r>
      <w:r w:rsidRPr="006512EA">
        <w:rPr>
          <w:rFonts w:ascii="Times New Roman" w:eastAsia="標楷體" w:hAnsi="Times New Roman" w:cs="Times New Roman"/>
        </w:rPr>
        <w:t>，相對弱於多數其他債券子類；非投資等級的區域型與國家型基金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月平均報酬率亦皆為負數。</w:t>
      </w:r>
    </w:p>
    <w:p w14:paraId="4612A457" w14:textId="77777777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一般型債券</w:t>
      </w:r>
      <w:r w:rsidRPr="006512EA">
        <w:rPr>
          <w:rFonts w:ascii="Times New Roman" w:eastAsia="標楷體" w:hAnsi="Times New Roman" w:cs="Times New Roman"/>
        </w:rPr>
        <w:t>ETF</w:t>
      </w:r>
      <w:r w:rsidRPr="006512EA">
        <w:rPr>
          <w:rFonts w:ascii="Times New Roman" w:eastAsia="標楷體" w:hAnsi="Times New Roman" w:cs="Times New Roman"/>
        </w:rPr>
        <w:t>的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月平均報酬率為</w:t>
      </w:r>
      <w:r w:rsidRPr="006512EA">
        <w:rPr>
          <w:rFonts w:ascii="Times New Roman" w:eastAsia="標楷體" w:hAnsi="Times New Roman" w:cs="Times New Roman"/>
        </w:rPr>
        <w:t>-3.55%</w:t>
      </w:r>
      <w:r w:rsidRPr="006512EA">
        <w:rPr>
          <w:rFonts w:ascii="Times New Roman" w:eastAsia="標楷體" w:hAnsi="Times New Roman" w:cs="Times New Roman"/>
        </w:rPr>
        <w:t>，年初至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月底為</w:t>
      </w:r>
      <w:r w:rsidRPr="006512EA">
        <w:rPr>
          <w:rFonts w:ascii="Times New Roman" w:eastAsia="標楷體" w:hAnsi="Times New Roman" w:cs="Times New Roman"/>
        </w:rPr>
        <w:t>-4.51%</w:t>
      </w:r>
      <w:r w:rsidRPr="006512EA">
        <w:rPr>
          <w:rFonts w:ascii="Times New Roman" w:eastAsia="標楷體" w:hAnsi="Times New Roman" w:cs="Times New Roman"/>
        </w:rPr>
        <w:t>；主動式海外債券</w:t>
      </w:r>
      <w:r w:rsidRPr="006512EA">
        <w:rPr>
          <w:rFonts w:ascii="Times New Roman" w:eastAsia="標楷體" w:hAnsi="Times New Roman" w:cs="Times New Roman"/>
        </w:rPr>
        <w:t>ETF</w:t>
      </w:r>
      <w:r w:rsidRPr="006512EA">
        <w:rPr>
          <w:rFonts w:ascii="Times New Roman" w:eastAsia="標楷體" w:hAnsi="Times New Roman" w:cs="Times New Roman"/>
        </w:rPr>
        <w:t>則分別為</w:t>
      </w:r>
      <w:r w:rsidRPr="006512EA">
        <w:rPr>
          <w:rFonts w:ascii="Times New Roman" w:eastAsia="標楷體" w:hAnsi="Times New Roman" w:cs="Times New Roman"/>
        </w:rPr>
        <w:t>-2.98%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-1.41%</w:t>
      </w:r>
      <w:r w:rsidRPr="006512EA">
        <w:rPr>
          <w:rFonts w:ascii="Times New Roman" w:eastAsia="標楷體" w:hAnsi="Times New Roman" w:cs="Times New Roman"/>
        </w:rPr>
        <w:t>，相對</w:t>
      </w:r>
      <w:proofErr w:type="gramStart"/>
      <w:r w:rsidRPr="006512EA">
        <w:rPr>
          <w:rFonts w:ascii="Times New Roman" w:eastAsia="標楷體" w:hAnsi="Times New Roman" w:cs="Times New Roman"/>
        </w:rPr>
        <w:t>表現稍佳</w:t>
      </w:r>
      <w:proofErr w:type="gramEnd"/>
      <w:r w:rsidRPr="006512EA">
        <w:rPr>
          <w:rFonts w:ascii="Times New Roman" w:eastAsia="標楷體" w:hAnsi="Times New Roman" w:cs="Times New Roman"/>
        </w:rPr>
        <w:t>。海外貨幣市場基金同期平均報酬率則為</w:t>
      </w:r>
      <w:r w:rsidRPr="006512EA">
        <w:rPr>
          <w:rFonts w:ascii="Times New Roman" w:eastAsia="標楷體" w:hAnsi="Times New Roman" w:cs="Times New Roman"/>
        </w:rPr>
        <w:t>0.4%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2.9%</w:t>
      </w:r>
      <w:r w:rsidRPr="006512EA">
        <w:rPr>
          <w:rFonts w:ascii="Times New Roman" w:eastAsia="標楷體" w:hAnsi="Times New Roman" w:cs="Times New Roman"/>
        </w:rPr>
        <w:t>，在</w:t>
      </w:r>
      <w:proofErr w:type="gramStart"/>
      <w:r w:rsidRPr="006512EA">
        <w:rPr>
          <w:rFonts w:ascii="Times New Roman" w:eastAsia="標楷體" w:hAnsi="Times New Roman" w:cs="Times New Roman"/>
        </w:rPr>
        <w:t>殖</w:t>
      </w:r>
      <w:proofErr w:type="gramEnd"/>
      <w:r w:rsidRPr="006512EA">
        <w:rPr>
          <w:rFonts w:ascii="Times New Roman" w:eastAsia="標楷體" w:hAnsi="Times New Roman" w:cs="Times New Roman"/>
        </w:rPr>
        <w:t>利率大幅上升的環境下，因利率風險較低，成為固定收益產品中表現相對穩定的類型。</w:t>
      </w:r>
    </w:p>
    <w:p w14:paraId="6CD77A23" w14:textId="77777777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平衡型基金方面，國內股票債券平衡型基金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月平均報酬率為</w:t>
      </w:r>
      <w:r w:rsidRPr="006512EA">
        <w:rPr>
          <w:rFonts w:ascii="Times New Roman" w:eastAsia="標楷體" w:hAnsi="Times New Roman" w:cs="Times New Roman"/>
        </w:rPr>
        <w:t>1.7%</w:t>
      </w:r>
      <w:r w:rsidRPr="006512EA">
        <w:rPr>
          <w:rFonts w:ascii="Times New Roman" w:eastAsia="標楷體" w:hAnsi="Times New Roman" w:cs="Times New Roman"/>
        </w:rPr>
        <w:t>，年初至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月底達</w:t>
      </w:r>
      <w:r w:rsidRPr="006512EA">
        <w:rPr>
          <w:rFonts w:ascii="Times New Roman" w:eastAsia="標楷體" w:hAnsi="Times New Roman" w:cs="Times New Roman"/>
        </w:rPr>
        <w:t>66.17%</w:t>
      </w:r>
      <w:r w:rsidRPr="006512EA">
        <w:rPr>
          <w:rFonts w:ascii="Times New Roman" w:eastAsia="標楷體" w:hAnsi="Times New Roman" w:cs="Times New Roman"/>
        </w:rPr>
        <w:t>，主要受到台股強勢表現支撐。跨國投資平衡型基金則以亞洲區域型表現最佳，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月及年初至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月底平均報酬率分別為</w:t>
      </w:r>
      <w:r w:rsidRPr="006512EA">
        <w:rPr>
          <w:rFonts w:ascii="Times New Roman" w:eastAsia="標楷體" w:hAnsi="Times New Roman" w:cs="Times New Roman"/>
        </w:rPr>
        <w:t>2.1%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33.4%</w:t>
      </w:r>
      <w:r w:rsidRPr="006512EA">
        <w:rPr>
          <w:rFonts w:ascii="Times New Roman" w:eastAsia="標楷體" w:hAnsi="Times New Roman" w:cs="Times New Roman"/>
        </w:rPr>
        <w:t>，全球型則為</w:t>
      </w:r>
      <w:r w:rsidRPr="006512EA">
        <w:rPr>
          <w:rFonts w:ascii="Times New Roman" w:eastAsia="標楷體" w:hAnsi="Times New Roman" w:cs="Times New Roman"/>
        </w:rPr>
        <w:t>0.79%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12.76%</w:t>
      </w:r>
      <w:r w:rsidRPr="006512EA">
        <w:rPr>
          <w:rFonts w:ascii="Times New Roman" w:eastAsia="標楷體" w:hAnsi="Times New Roman" w:cs="Times New Roman"/>
        </w:rPr>
        <w:t>。平衡型指數股票型基金同期平均報酬率分別為</w:t>
      </w:r>
      <w:r w:rsidRPr="006512EA">
        <w:rPr>
          <w:rFonts w:ascii="Times New Roman" w:eastAsia="標楷體" w:hAnsi="Times New Roman" w:cs="Times New Roman"/>
        </w:rPr>
        <w:t>2.41%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28.29%</w:t>
      </w:r>
      <w:r w:rsidRPr="006512EA">
        <w:rPr>
          <w:rFonts w:ascii="Times New Roman" w:eastAsia="標楷體" w:hAnsi="Times New Roman" w:cs="Times New Roman"/>
        </w:rPr>
        <w:t>。相較之下，</w:t>
      </w:r>
      <w:r w:rsidRPr="006512EA">
        <w:rPr>
          <w:rFonts w:ascii="Times New Roman" w:eastAsia="標楷體" w:hAnsi="Times New Roman" w:cs="Times New Roman"/>
        </w:rPr>
        <w:t>895</w:t>
      </w:r>
      <w:r w:rsidRPr="006512EA">
        <w:rPr>
          <w:rFonts w:ascii="Times New Roman" w:eastAsia="標楷體" w:hAnsi="Times New Roman" w:cs="Times New Roman"/>
        </w:rPr>
        <w:t>檔多重資產型基金同期平均報酬率僅</w:t>
      </w:r>
      <w:r w:rsidRPr="006512EA">
        <w:rPr>
          <w:rFonts w:ascii="Times New Roman" w:eastAsia="標楷體" w:hAnsi="Times New Roman" w:cs="Times New Roman"/>
        </w:rPr>
        <w:t>-0.55%</w:t>
      </w:r>
      <w:r w:rsidRPr="006512EA">
        <w:rPr>
          <w:rFonts w:ascii="Times New Roman" w:eastAsia="標楷體" w:hAnsi="Times New Roman" w:cs="Times New Roman"/>
        </w:rPr>
        <w:t>及</w:t>
      </w:r>
      <w:r w:rsidRPr="006512EA">
        <w:rPr>
          <w:rFonts w:ascii="Times New Roman" w:eastAsia="標楷體" w:hAnsi="Times New Roman" w:cs="Times New Roman"/>
        </w:rPr>
        <w:t>10.54%</w:t>
      </w:r>
      <w:r w:rsidRPr="006512EA">
        <w:rPr>
          <w:rFonts w:ascii="Times New Roman" w:eastAsia="標楷體" w:hAnsi="Times New Roman" w:cs="Times New Roman"/>
        </w:rPr>
        <w:t>，在今年股債表現高度分化的環境下，多重資產配置的績效優勢並不明顯。</w:t>
      </w:r>
    </w:p>
    <w:p w14:paraId="36175B30" w14:textId="77777777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組合型基金也呈現類似情況。跨國股票組合型基金在兩個</w:t>
      </w:r>
      <w:proofErr w:type="gramStart"/>
      <w:r w:rsidRPr="006512EA">
        <w:rPr>
          <w:rFonts w:ascii="Times New Roman" w:eastAsia="標楷體" w:hAnsi="Times New Roman" w:cs="Times New Roman"/>
        </w:rPr>
        <w:t>期間均以新興市場</w:t>
      </w:r>
      <w:proofErr w:type="gramEnd"/>
      <w:r w:rsidRPr="006512EA">
        <w:rPr>
          <w:rFonts w:ascii="Times New Roman" w:eastAsia="標楷體" w:hAnsi="Times New Roman" w:cs="Times New Roman"/>
        </w:rPr>
        <w:t>型優於一般股票型；債券組合型無論投資等級、非投資等級或複合式，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月及年初至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月底平均報酬</w:t>
      </w:r>
      <w:proofErr w:type="gramStart"/>
      <w:r w:rsidRPr="006512EA">
        <w:rPr>
          <w:rFonts w:ascii="Times New Roman" w:eastAsia="標楷體" w:hAnsi="Times New Roman" w:cs="Times New Roman"/>
        </w:rPr>
        <w:t>率均為負數</w:t>
      </w:r>
      <w:proofErr w:type="gramEnd"/>
      <w:r w:rsidRPr="006512EA">
        <w:rPr>
          <w:rFonts w:ascii="Times New Roman" w:eastAsia="標楷體" w:hAnsi="Times New Roman" w:cs="Times New Roman"/>
        </w:rPr>
        <w:t>。平衡組合型與目標日期型基金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月平均報酬率亦為負，拖累今年前九</w:t>
      </w:r>
      <w:proofErr w:type="gramStart"/>
      <w:r w:rsidRPr="006512EA">
        <w:rPr>
          <w:rFonts w:ascii="Times New Roman" w:eastAsia="標楷體" w:hAnsi="Times New Roman" w:cs="Times New Roman"/>
        </w:rPr>
        <w:t>個</w:t>
      </w:r>
      <w:proofErr w:type="gramEnd"/>
      <w:r w:rsidRPr="006512EA">
        <w:rPr>
          <w:rFonts w:ascii="Times New Roman" w:eastAsia="標楷體" w:hAnsi="Times New Roman" w:cs="Times New Roman"/>
        </w:rPr>
        <w:t>月績效。不動產證券化型基金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月平均報酬率更下跌</w:t>
      </w:r>
      <w:r w:rsidRPr="006512EA">
        <w:rPr>
          <w:rFonts w:ascii="Times New Roman" w:eastAsia="標楷體" w:hAnsi="Times New Roman" w:cs="Times New Roman"/>
        </w:rPr>
        <w:t>4.43%</w:t>
      </w:r>
      <w:r w:rsidRPr="006512EA">
        <w:rPr>
          <w:rFonts w:ascii="Times New Roman" w:eastAsia="標楷體" w:hAnsi="Times New Roman" w:cs="Times New Roman"/>
        </w:rPr>
        <w:t>，大幅侵蝕今年以來的報酬，同樣反映長期利率上升對利率敏感型資產的壓力。</w:t>
      </w:r>
    </w:p>
    <w:p w14:paraId="60F78C53" w14:textId="0E99A961" w:rsidR="00B75FE6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  <w:r w:rsidRPr="006512EA">
        <w:rPr>
          <w:rFonts w:ascii="Times New Roman" w:eastAsia="標楷體" w:hAnsi="Times New Roman" w:cs="Times New Roman"/>
        </w:rPr>
        <w:t>綜合而言，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月基金績效清楚反映全球金融市場「股債分化、股票內部分化」</w:t>
      </w:r>
      <w:r w:rsidRPr="006512EA">
        <w:rPr>
          <w:rFonts w:ascii="Times New Roman" w:eastAsia="標楷體" w:hAnsi="Times New Roman" w:cs="Times New Roman"/>
        </w:rPr>
        <w:lastRenderedPageBreak/>
        <w:t>的特徵。股票基金中，</w:t>
      </w:r>
      <w:r w:rsidRPr="006512EA">
        <w:rPr>
          <w:rFonts w:ascii="Times New Roman" w:eastAsia="標楷體" w:hAnsi="Times New Roman" w:cs="Times New Roman"/>
        </w:rPr>
        <w:t>AI</w:t>
      </w:r>
      <w:r w:rsidRPr="006512EA">
        <w:rPr>
          <w:rFonts w:ascii="Times New Roman" w:eastAsia="標楷體" w:hAnsi="Times New Roman" w:cs="Times New Roman"/>
        </w:rPr>
        <w:t>、半導體及部分亞洲市場仍提供主要報酬來源，相較之下，美債</w:t>
      </w:r>
      <w:proofErr w:type="gramStart"/>
      <w:r w:rsidRPr="006512EA">
        <w:rPr>
          <w:rFonts w:ascii="Times New Roman" w:eastAsia="標楷體" w:hAnsi="Times New Roman" w:cs="Times New Roman"/>
        </w:rPr>
        <w:t>殖</w:t>
      </w:r>
      <w:proofErr w:type="gramEnd"/>
      <w:r w:rsidRPr="006512EA">
        <w:rPr>
          <w:rFonts w:ascii="Times New Roman" w:eastAsia="標楷體" w:hAnsi="Times New Roman" w:cs="Times New Roman"/>
        </w:rPr>
        <w:t>利率大幅上升，使投資等級債券、債券</w:t>
      </w:r>
      <w:r w:rsidRPr="006512EA">
        <w:rPr>
          <w:rFonts w:ascii="Times New Roman" w:eastAsia="標楷體" w:hAnsi="Times New Roman" w:cs="Times New Roman"/>
        </w:rPr>
        <w:t>ETF</w:t>
      </w:r>
      <w:r w:rsidRPr="006512EA">
        <w:rPr>
          <w:rFonts w:ascii="Times New Roman" w:eastAsia="標楷體" w:hAnsi="Times New Roman" w:cs="Times New Roman"/>
        </w:rPr>
        <w:t>、特別股及不動產證券化基金</w:t>
      </w:r>
      <w:proofErr w:type="gramStart"/>
      <w:r w:rsidRPr="006512EA">
        <w:rPr>
          <w:rFonts w:ascii="Times New Roman" w:eastAsia="標楷體" w:hAnsi="Times New Roman" w:cs="Times New Roman"/>
        </w:rPr>
        <w:t>普遍承壓</w:t>
      </w:r>
      <w:proofErr w:type="gramEnd"/>
      <w:r w:rsidRPr="006512EA">
        <w:rPr>
          <w:rFonts w:ascii="Times New Roman" w:eastAsia="標楷體" w:hAnsi="Times New Roman" w:cs="Times New Roman"/>
        </w:rPr>
        <w:t>，短天期債券與貨幣市場基金則因利率敏感度較低而相對穩定。這也使</w:t>
      </w:r>
      <w:r w:rsidRPr="006512EA">
        <w:rPr>
          <w:rFonts w:ascii="Times New Roman" w:eastAsia="標楷體" w:hAnsi="Times New Roman" w:cs="Times New Roman"/>
        </w:rPr>
        <w:t>9</w:t>
      </w:r>
      <w:r w:rsidRPr="006512EA">
        <w:rPr>
          <w:rFonts w:ascii="Times New Roman" w:eastAsia="標楷體" w:hAnsi="Times New Roman" w:cs="Times New Roman"/>
        </w:rPr>
        <w:t>月基金績效與全球市場前景指向同一</w:t>
      </w:r>
      <w:proofErr w:type="gramStart"/>
      <w:r w:rsidRPr="006512EA">
        <w:rPr>
          <w:rFonts w:ascii="Times New Roman" w:eastAsia="標楷體" w:hAnsi="Times New Roman" w:cs="Times New Roman"/>
        </w:rPr>
        <w:t>個</w:t>
      </w:r>
      <w:proofErr w:type="gramEnd"/>
      <w:r w:rsidR="00DF03D4" w:rsidRPr="006512EA">
        <w:rPr>
          <w:rFonts w:ascii="Times New Roman" w:eastAsia="標楷體" w:hAnsi="Times New Roman" w:cs="Times New Roman"/>
        </w:rPr>
        <w:t>議</w:t>
      </w:r>
      <w:r w:rsidRPr="006512EA">
        <w:rPr>
          <w:rFonts w:ascii="Times New Roman" w:eastAsia="標楷體" w:hAnsi="Times New Roman" w:cs="Times New Roman"/>
        </w:rPr>
        <w:t>題：</w:t>
      </w:r>
      <w:r w:rsidRPr="006512EA">
        <w:rPr>
          <w:rFonts w:ascii="Times New Roman" w:eastAsia="標楷體" w:hAnsi="Times New Roman" w:cs="Times New Roman"/>
        </w:rPr>
        <w:t>AI</w:t>
      </w:r>
      <w:r w:rsidRPr="006512EA">
        <w:rPr>
          <w:rFonts w:ascii="Times New Roman" w:eastAsia="標楷體" w:hAnsi="Times New Roman" w:cs="Times New Roman"/>
        </w:rPr>
        <w:t>帶來的成長與獲利仍支撐股票市場，但</w:t>
      </w:r>
      <w:r w:rsidRPr="006512EA">
        <w:rPr>
          <w:rFonts w:ascii="Times New Roman" w:eastAsia="標楷體" w:hAnsi="Times New Roman" w:cs="Times New Roman"/>
        </w:rPr>
        <w:t>AI</w:t>
      </w:r>
      <w:r w:rsidRPr="006512EA">
        <w:rPr>
          <w:rFonts w:ascii="Times New Roman" w:eastAsia="標楷體" w:hAnsi="Times New Roman" w:cs="Times New Roman"/>
        </w:rPr>
        <w:t>投資本身所需的龐大資金，加上政府融資需求、通膨與央行升息，又共同推高長期資金成本。</w:t>
      </w:r>
      <w:r w:rsidR="00441030" w:rsidRPr="006512EA">
        <w:rPr>
          <w:rFonts w:ascii="Times New Roman" w:eastAsia="標楷體" w:hAnsi="Times New Roman" w:cs="Times New Roman"/>
        </w:rPr>
        <w:t>因此，</w:t>
      </w:r>
      <w:r w:rsidRPr="006512EA">
        <w:rPr>
          <w:rFonts w:ascii="Times New Roman" w:eastAsia="標楷體" w:hAnsi="Times New Roman" w:cs="Times New Roman"/>
        </w:rPr>
        <w:t>基金績效的差異將不再只是股票與債券之間的差異，也將更取決於</w:t>
      </w:r>
      <w:proofErr w:type="gramStart"/>
      <w:r w:rsidRPr="006512EA">
        <w:rPr>
          <w:rFonts w:ascii="Times New Roman" w:eastAsia="標楷體" w:hAnsi="Times New Roman" w:cs="Times New Roman"/>
        </w:rPr>
        <w:t>產業曝險</w:t>
      </w:r>
      <w:proofErr w:type="gramEnd"/>
      <w:r w:rsidRPr="006512EA">
        <w:rPr>
          <w:rFonts w:ascii="Times New Roman" w:eastAsia="標楷體" w:hAnsi="Times New Roman" w:cs="Times New Roman"/>
        </w:rPr>
        <w:t>、存續</w:t>
      </w:r>
      <w:proofErr w:type="gramStart"/>
      <w:r w:rsidRPr="006512EA">
        <w:rPr>
          <w:rFonts w:ascii="Times New Roman" w:eastAsia="標楷體" w:hAnsi="Times New Roman" w:cs="Times New Roman"/>
        </w:rPr>
        <w:t>期間，</w:t>
      </w:r>
      <w:proofErr w:type="gramEnd"/>
      <w:r w:rsidRPr="006512EA">
        <w:rPr>
          <w:rFonts w:ascii="Times New Roman" w:eastAsia="標楷體" w:hAnsi="Times New Roman" w:cs="Times New Roman"/>
        </w:rPr>
        <w:t>以及主動管理能否因應快速變化的市場結構。</w:t>
      </w:r>
    </w:p>
    <w:p w14:paraId="360C6E0C" w14:textId="15E6A14C" w:rsidR="00A36C33" w:rsidRPr="006512EA" w:rsidRDefault="00A36C33" w:rsidP="006512EA">
      <w:pPr>
        <w:snapToGrid w:val="0"/>
        <w:spacing w:line="360" w:lineRule="auto"/>
        <w:ind w:firstLineChars="200" w:firstLine="480"/>
        <w:jc w:val="both"/>
        <w:rPr>
          <w:rFonts w:ascii="Times New Roman" w:eastAsia="標楷體" w:hAnsi="Times New Roman" w:cs="Times New Roman"/>
        </w:rPr>
      </w:pPr>
    </w:p>
    <w:sectPr w:rsidR="00A36C33" w:rsidRPr="006512E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937B1" w14:textId="77777777" w:rsidR="00FF5F1E" w:rsidRDefault="00FF5F1E" w:rsidP="006512EA">
      <w:r>
        <w:separator/>
      </w:r>
    </w:p>
  </w:endnote>
  <w:endnote w:type="continuationSeparator" w:id="0">
    <w:p w14:paraId="2BEBC204" w14:textId="77777777" w:rsidR="00FF5F1E" w:rsidRDefault="00FF5F1E" w:rsidP="00651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4A48E" w14:textId="77777777" w:rsidR="00FF5F1E" w:rsidRDefault="00FF5F1E" w:rsidP="006512EA">
      <w:r>
        <w:separator/>
      </w:r>
    </w:p>
  </w:footnote>
  <w:footnote w:type="continuationSeparator" w:id="0">
    <w:p w14:paraId="63568E25" w14:textId="77777777" w:rsidR="00FF5F1E" w:rsidRDefault="00FF5F1E" w:rsidP="006512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C33"/>
    <w:rsid w:val="000A3446"/>
    <w:rsid w:val="00106E46"/>
    <w:rsid w:val="001172FD"/>
    <w:rsid w:val="003F1413"/>
    <w:rsid w:val="00441030"/>
    <w:rsid w:val="004F5952"/>
    <w:rsid w:val="006512EA"/>
    <w:rsid w:val="00A36C33"/>
    <w:rsid w:val="00AD0199"/>
    <w:rsid w:val="00AE5C76"/>
    <w:rsid w:val="00B560E0"/>
    <w:rsid w:val="00B75FE6"/>
    <w:rsid w:val="00CA019B"/>
    <w:rsid w:val="00D418B7"/>
    <w:rsid w:val="00DF03D4"/>
    <w:rsid w:val="00E107BA"/>
    <w:rsid w:val="00FB1656"/>
    <w:rsid w:val="00FF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B13C3E"/>
  <w15:chartTrackingRefBased/>
  <w15:docId w15:val="{B8A05F60-4B13-455E-AD17-E4A8B0FC0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12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512E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12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512EA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CA019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7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645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2026-10-06T06:43:00Z</dcterms:created>
  <dcterms:modified xsi:type="dcterms:W3CDTF">2026-10-07T07:05:00Z</dcterms:modified>
</cp:coreProperties>
</file>