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84FF7" w14:textId="00253092" w:rsidR="00ED66B4" w:rsidRPr="005C3955" w:rsidRDefault="00ED66B4" w:rsidP="00ED66B4">
      <w:pPr>
        <w:jc w:val="center"/>
        <w:rPr>
          <w:rFonts w:ascii="標楷體" w:eastAsia="標楷體" w:hAnsi="標楷體"/>
          <w:b/>
          <w:sz w:val="28"/>
          <w:szCs w:val="28"/>
        </w:rPr>
      </w:pPr>
      <w:r w:rsidRPr="005C3955">
        <w:rPr>
          <w:rFonts w:ascii="標楷體" w:eastAsia="標楷體" w:hAnsi="標楷體" w:hint="eastAsia"/>
          <w:b/>
          <w:sz w:val="28"/>
          <w:szCs w:val="28"/>
        </w:rPr>
        <w:t>證券投資信託事業證券投資顧問事業辨識實質受益人實務參考做法</w:t>
      </w:r>
    </w:p>
    <w:p w14:paraId="2DC502B8" w14:textId="77777777" w:rsidR="005C3955" w:rsidRPr="005C3955" w:rsidRDefault="005C3955" w:rsidP="00ED66B4">
      <w:pPr>
        <w:jc w:val="center"/>
        <w:rPr>
          <w:rFonts w:ascii="標楷體" w:eastAsia="標楷體" w:hAnsi="標楷體"/>
          <w:b/>
          <w:szCs w:val="24"/>
        </w:rPr>
      </w:pPr>
    </w:p>
    <w:tbl>
      <w:tblPr>
        <w:tblStyle w:val="a3"/>
        <w:tblW w:w="10065" w:type="dxa"/>
        <w:tblInd w:w="-5" w:type="dxa"/>
        <w:tblLook w:val="04A0" w:firstRow="1" w:lastRow="0" w:firstColumn="1" w:lastColumn="0" w:noHBand="0" w:noVBand="1"/>
      </w:tblPr>
      <w:tblGrid>
        <w:gridCol w:w="5032"/>
        <w:gridCol w:w="5033"/>
      </w:tblGrid>
      <w:tr w:rsidR="00ED66B4" w:rsidRPr="00ED66B4" w14:paraId="29C88AED" w14:textId="77777777" w:rsidTr="00ED66B4">
        <w:trPr>
          <w:trHeight w:val="416"/>
        </w:trPr>
        <w:tc>
          <w:tcPr>
            <w:tcW w:w="5032" w:type="dxa"/>
          </w:tcPr>
          <w:p w14:paraId="0B60681D" w14:textId="77777777" w:rsidR="00ED66B4" w:rsidRPr="00ED66B4" w:rsidRDefault="00ED66B4" w:rsidP="00ED66B4">
            <w:pPr>
              <w:numPr>
                <w:ilvl w:val="0"/>
                <w:numId w:val="1"/>
              </w:numPr>
              <w:ind w:left="567" w:hanging="567"/>
              <w:jc w:val="both"/>
              <w:rPr>
                <w:rFonts w:ascii="標楷體" w:eastAsia="標楷體" w:hAnsi="標楷體" w:cs="Times New Roman"/>
                <w:sz w:val="28"/>
              </w:rPr>
            </w:pPr>
            <w:r w:rsidRPr="00ED66B4">
              <w:rPr>
                <w:rFonts w:ascii="標楷體" w:eastAsia="標楷體" w:hAnsi="標楷體" w:cs="Times New Roman" w:hint="eastAsia"/>
                <w:sz w:val="28"/>
              </w:rPr>
              <w:t>前言</w:t>
            </w:r>
          </w:p>
        </w:tc>
        <w:tc>
          <w:tcPr>
            <w:tcW w:w="5033" w:type="dxa"/>
          </w:tcPr>
          <w:p w14:paraId="0C86C88D" w14:textId="77777777" w:rsidR="00ED66B4" w:rsidRPr="008E05C2" w:rsidRDefault="008E05C2" w:rsidP="008E05C2">
            <w:pPr>
              <w:jc w:val="center"/>
              <w:rPr>
                <w:rFonts w:ascii="標楷體" w:eastAsia="標楷體" w:hAnsi="標楷體"/>
                <w:sz w:val="28"/>
                <w:szCs w:val="28"/>
              </w:rPr>
            </w:pPr>
            <w:r w:rsidRPr="008E05C2">
              <w:rPr>
                <w:rFonts w:ascii="標楷體" w:eastAsia="標楷體" w:hAnsi="標楷體" w:hint="eastAsia"/>
                <w:sz w:val="28"/>
                <w:szCs w:val="28"/>
              </w:rPr>
              <w:t>說明</w:t>
            </w:r>
          </w:p>
        </w:tc>
      </w:tr>
      <w:tr w:rsidR="00ED66B4" w:rsidRPr="00ED66B4" w14:paraId="6BD62FDD" w14:textId="77777777" w:rsidTr="00ED66B4">
        <w:trPr>
          <w:trHeight w:val="1339"/>
        </w:trPr>
        <w:tc>
          <w:tcPr>
            <w:tcW w:w="5032" w:type="dxa"/>
          </w:tcPr>
          <w:p w14:paraId="0D867C26" w14:textId="77777777" w:rsidR="00ED66B4" w:rsidRPr="00ED66B4" w:rsidRDefault="00ED66B4" w:rsidP="00ED66B4">
            <w:pPr>
              <w:pBdr>
                <w:top w:val="nil"/>
                <w:left w:val="nil"/>
                <w:bottom w:val="nil"/>
                <w:right w:val="nil"/>
                <w:between w:val="nil"/>
                <w:bar w:val="nil"/>
              </w:pBdr>
              <w:spacing w:line="480" w:lineRule="exact"/>
              <w:ind w:firstLineChars="200" w:firstLine="560"/>
              <w:jc w:val="both"/>
              <w:rPr>
                <w:rFonts w:ascii="Times New Roman" w:eastAsia="標楷體" w:hAnsi="Times New Roman" w:cs="Times New Roman"/>
                <w:sz w:val="28"/>
                <w:szCs w:val="28"/>
                <w:lang w:val="zh-TW"/>
              </w:rPr>
            </w:pPr>
            <w:r w:rsidRPr="00ED66B4">
              <w:rPr>
                <w:rFonts w:ascii="Times New Roman" w:eastAsia="標楷體" w:hAnsi="Times New Roman" w:cs="Times New Roman" w:hint="eastAsia"/>
                <w:sz w:val="28"/>
                <w:szCs w:val="28"/>
                <w:lang w:val="zh-TW"/>
              </w:rPr>
              <w:t>鑒於全球金融犯罪常透過設立法人或法律協議，及以複雜架構控制該法人或法律協議之方式，隱藏具控制權人之真實身分，進行不法之犯罪或洗錢活動。另依我國</w:t>
            </w:r>
            <w:r w:rsidRPr="00ED66B4">
              <w:rPr>
                <w:rFonts w:ascii="Times New Roman" w:eastAsia="標楷體" w:hAnsi="Times New Roman" w:cs="Times New Roman"/>
                <w:sz w:val="28"/>
                <w:szCs w:val="28"/>
                <w:lang w:val="zh-TW"/>
              </w:rPr>
              <w:t>107</w:t>
            </w:r>
            <w:r w:rsidRPr="00ED66B4">
              <w:rPr>
                <w:rFonts w:ascii="Times New Roman" w:eastAsia="標楷體" w:hAnsi="Times New Roman" w:cs="Times New Roman" w:hint="eastAsia"/>
                <w:sz w:val="28"/>
                <w:szCs w:val="28"/>
                <w:lang w:val="zh-TW"/>
              </w:rPr>
              <w:t>年國家風險評估報告，執法機關偵辦利用公司犯罪之案件，可能涉及詐欺、走私、稅務犯罪、組織犯罪、貪污賄賂等高洗錢風險犯罪，故提升法人及法律協議實質受益人之透明度，對增進</w:t>
            </w:r>
            <w:r w:rsidRPr="00ED66B4">
              <w:rPr>
                <w:rFonts w:ascii="Times New Roman" w:eastAsia="標楷體" w:hAnsi="Times New Roman" w:cs="Times New Roman"/>
                <w:sz w:val="28"/>
                <w:szCs w:val="28"/>
                <w:lang w:val="zh-TW"/>
              </w:rPr>
              <w:t>AML/CFT</w:t>
            </w:r>
            <w:r w:rsidRPr="00ED66B4">
              <w:rPr>
                <w:rFonts w:ascii="Times New Roman" w:eastAsia="標楷體" w:hAnsi="Times New Roman" w:cs="Times New Roman" w:hint="eastAsia"/>
                <w:sz w:val="28"/>
                <w:szCs w:val="28"/>
                <w:lang w:val="zh-TW"/>
              </w:rPr>
              <w:t>之有效性具重要意義。</w:t>
            </w:r>
          </w:p>
          <w:p w14:paraId="7B55666A" w14:textId="77777777" w:rsidR="00ED66B4" w:rsidRPr="00ED66B4" w:rsidRDefault="00ED66B4" w:rsidP="00ED66B4">
            <w:pPr>
              <w:pBdr>
                <w:top w:val="nil"/>
                <w:left w:val="nil"/>
                <w:bottom w:val="nil"/>
                <w:right w:val="nil"/>
                <w:between w:val="nil"/>
                <w:bar w:val="nil"/>
              </w:pBdr>
              <w:spacing w:line="480" w:lineRule="exact"/>
              <w:ind w:firstLineChars="200" w:firstLine="560"/>
              <w:jc w:val="both"/>
              <w:rPr>
                <w:rFonts w:ascii="Times New Roman" w:eastAsia="標楷體" w:hAnsi="Times New Roman" w:cs="Times New Roman"/>
                <w:sz w:val="28"/>
                <w:szCs w:val="28"/>
                <w:lang w:val="zh-TW"/>
              </w:rPr>
            </w:pPr>
            <w:proofErr w:type="gramStart"/>
            <w:r w:rsidRPr="00ED66B4">
              <w:rPr>
                <w:rFonts w:ascii="Times New Roman" w:eastAsia="標楷體" w:hAnsi="Times New Roman" w:cs="Times New Roman" w:hint="eastAsia"/>
                <w:sz w:val="28"/>
                <w:szCs w:val="28"/>
                <w:lang w:val="zh-TW"/>
              </w:rPr>
              <w:t>依防制</w:t>
            </w:r>
            <w:proofErr w:type="gramEnd"/>
            <w:r w:rsidRPr="00ED66B4">
              <w:rPr>
                <w:rFonts w:ascii="Times New Roman" w:eastAsia="標楷體" w:hAnsi="Times New Roman" w:cs="Times New Roman" w:hint="eastAsia"/>
                <w:sz w:val="28"/>
                <w:szCs w:val="28"/>
                <w:lang w:val="zh-TW"/>
              </w:rPr>
              <w:t>洗錢金融行動工作組織（</w:t>
            </w:r>
            <w:r w:rsidRPr="00ED66B4">
              <w:rPr>
                <w:rFonts w:ascii="Times New Roman" w:eastAsia="標楷體" w:hAnsi="Times New Roman" w:cs="Times New Roman" w:hint="eastAsia"/>
                <w:sz w:val="28"/>
                <w:szCs w:val="28"/>
                <w:lang w:val="zh-TW"/>
              </w:rPr>
              <w:t>FATF</w:t>
            </w:r>
            <w:r w:rsidRPr="00ED66B4">
              <w:rPr>
                <w:rFonts w:ascii="Times New Roman" w:eastAsia="標楷體" w:hAnsi="Times New Roman" w:cs="Times New Roman" w:hint="eastAsia"/>
                <w:sz w:val="28"/>
                <w:szCs w:val="28"/>
                <w:lang w:val="zh-TW"/>
              </w:rPr>
              <w:t>）發布之第</w:t>
            </w:r>
            <w:r w:rsidRPr="00ED66B4">
              <w:rPr>
                <w:rFonts w:ascii="Times New Roman" w:eastAsia="標楷體" w:hAnsi="Times New Roman" w:cs="Times New Roman" w:hint="eastAsia"/>
                <w:sz w:val="28"/>
                <w:szCs w:val="28"/>
                <w:lang w:val="zh-TW"/>
              </w:rPr>
              <w:t>34</w:t>
            </w:r>
            <w:r w:rsidRPr="00ED66B4">
              <w:rPr>
                <w:rFonts w:ascii="Times New Roman" w:eastAsia="標楷體" w:hAnsi="Times New Roman" w:cs="Times New Roman" w:hint="eastAsia"/>
                <w:sz w:val="28"/>
                <w:szCs w:val="28"/>
                <w:lang w:val="zh-TW"/>
              </w:rPr>
              <w:t>項建議，本</w:t>
            </w:r>
            <w:r w:rsidR="00640A56">
              <w:rPr>
                <w:rFonts w:ascii="Times New Roman" w:eastAsia="標楷體" w:hAnsi="Times New Roman" w:cs="Times New Roman" w:hint="eastAsia"/>
                <w:sz w:val="28"/>
                <w:szCs w:val="28"/>
                <w:lang w:val="zh-TW"/>
              </w:rPr>
              <w:t>公</w:t>
            </w:r>
            <w:r w:rsidRPr="00ED66B4">
              <w:rPr>
                <w:rFonts w:ascii="Times New Roman" w:eastAsia="標楷體" w:hAnsi="Times New Roman" w:cs="Times New Roman" w:hint="eastAsia"/>
                <w:sz w:val="28"/>
                <w:szCs w:val="28"/>
                <w:lang w:val="zh-TW"/>
              </w:rPr>
              <w:t>會為協助</w:t>
            </w:r>
            <w:r w:rsidR="00640A56">
              <w:rPr>
                <w:rFonts w:ascii="Times New Roman" w:eastAsia="標楷體" w:hAnsi="Times New Roman" w:cs="Times New Roman" w:hint="eastAsia"/>
                <w:sz w:val="28"/>
                <w:szCs w:val="28"/>
                <w:lang w:val="zh-TW"/>
              </w:rPr>
              <w:t>證券投資信託事業證券投資顧問事業（以下簡稱投信投顧事業）</w:t>
            </w:r>
            <w:r w:rsidRPr="00ED66B4">
              <w:rPr>
                <w:rFonts w:ascii="Times New Roman" w:eastAsia="標楷體" w:hAnsi="Times New Roman" w:cs="Times New Roman" w:hint="eastAsia"/>
                <w:sz w:val="28"/>
                <w:szCs w:val="28"/>
                <w:lang w:val="zh-TW"/>
              </w:rPr>
              <w:t>落實防制洗錢及打擊</w:t>
            </w:r>
            <w:proofErr w:type="gramStart"/>
            <w:r w:rsidRPr="00ED66B4">
              <w:rPr>
                <w:rFonts w:ascii="Times New Roman" w:eastAsia="標楷體" w:hAnsi="Times New Roman" w:cs="Times New Roman" w:hint="eastAsia"/>
                <w:sz w:val="28"/>
                <w:szCs w:val="28"/>
                <w:lang w:val="zh-TW"/>
              </w:rPr>
              <w:t>資恐（</w:t>
            </w:r>
            <w:proofErr w:type="gramEnd"/>
            <w:r w:rsidRPr="00ED66B4">
              <w:rPr>
                <w:rFonts w:ascii="Times New Roman" w:eastAsia="標楷體" w:hAnsi="Times New Roman" w:cs="Times New Roman" w:hint="eastAsia"/>
                <w:sz w:val="28"/>
                <w:szCs w:val="28"/>
                <w:lang w:val="zh-TW"/>
              </w:rPr>
              <w:t>AML/CFT</w:t>
            </w:r>
            <w:r w:rsidRPr="00ED66B4">
              <w:rPr>
                <w:rFonts w:ascii="Times New Roman" w:eastAsia="標楷體" w:hAnsi="Times New Roman" w:cs="Times New Roman" w:hint="eastAsia"/>
                <w:sz w:val="28"/>
                <w:szCs w:val="28"/>
                <w:lang w:val="zh-TW"/>
              </w:rPr>
              <w:t>）措施，</w:t>
            </w:r>
            <w:proofErr w:type="gramStart"/>
            <w:r w:rsidRPr="00ED66B4">
              <w:rPr>
                <w:rFonts w:ascii="Times New Roman" w:eastAsia="標楷體" w:hAnsi="Times New Roman" w:cs="Times New Roman" w:hint="eastAsia"/>
                <w:sz w:val="28"/>
                <w:szCs w:val="28"/>
                <w:lang w:val="zh-TW"/>
              </w:rPr>
              <w:t>爰</w:t>
            </w:r>
            <w:proofErr w:type="gramEnd"/>
            <w:r w:rsidRPr="00ED66B4">
              <w:rPr>
                <w:rFonts w:ascii="Times New Roman" w:eastAsia="標楷體" w:hAnsi="Times New Roman" w:cs="Times New Roman" w:hint="eastAsia"/>
                <w:sz w:val="28"/>
                <w:szCs w:val="28"/>
                <w:lang w:val="zh-TW"/>
              </w:rPr>
              <w:t>參酌多項國內外規定、國際標準及實務做法，訂定「證券投資信託事業證券投資顧問事業辨識實質受益人實務參考做法</w:t>
            </w:r>
            <w:r w:rsidRPr="00ED66B4">
              <w:rPr>
                <w:rFonts w:ascii="Times New Roman" w:eastAsia="標楷體" w:hAnsi="Times New Roman" w:cs="Times New Roman"/>
                <w:sz w:val="28"/>
                <w:szCs w:val="28"/>
                <w:lang w:val="zh-TW"/>
              </w:rPr>
              <w:t>」</w:t>
            </w:r>
            <w:r w:rsidRPr="00ED66B4">
              <w:rPr>
                <w:rFonts w:ascii="Times New Roman" w:eastAsia="標楷體" w:hAnsi="Times New Roman" w:cs="Times New Roman" w:hint="eastAsia"/>
                <w:sz w:val="28"/>
                <w:szCs w:val="28"/>
                <w:lang w:val="zh-TW"/>
              </w:rPr>
              <w:t>（以下簡稱本參考做法）。</w:t>
            </w:r>
          </w:p>
          <w:p w14:paraId="1646DB95" w14:textId="71259082" w:rsidR="00ED66B4" w:rsidRPr="00ED66B4" w:rsidRDefault="00ED66B4" w:rsidP="00ED66B4">
            <w:pPr>
              <w:pBdr>
                <w:top w:val="nil"/>
                <w:left w:val="nil"/>
                <w:bottom w:val="nil"/>
                <w:right w:val="nil"/>
                <w:between w:val="nil"/>
                <w:bar w:val="nil"/>
              </w:pBdr>
              <w:spacing w:line="480" w:lineRule="exact"/>
              <w:ind w:firstLineChars="200" w:firstLine="560"/>
              <w:jc w:val="both"/>
              <w:rPr>
                <w:rFonts w:ascii="Times New Roman" w:eastAsia="標楷體" w:hAnsi="Times New Roman" w:cs="Times New Roman"/>
                <w:sz w:val="28"/>
                <w:szCs w:val="28"/>
                <w:lang w:val="zh-TW"/>
              </w:rPr>
            </w:pPr>
            <w:r w:rsidRPr="00ED66B4">
              <w:rPr>
                <w:rFonts w:ascii="Times New Roman" w:eastAsia="標楷體" w:hAnsi="Times New Roman" w:cs="Times New Roman" w:hint="eastAsia"/>
                <w:sz w:val="28"/>
                <w:szCs w:val="28"/>
                <w:lang w:val="zh-TW"/>
              </w:rPr>
              <w:t>針對實質受益人辨識作業及相關紀錄保存事宜，投信投顧事業應依據法務部「洗錢防制法」、金融監督管理委員會「金融機構防制洗錢辦法」（以下稱「辦法」）、本</w:t>
            </w:r>
            <w:r w:rsidR="00C621E8">
              <w:rPr>
                <w:rFonts w:ascii="Times New Roman" w:eastAsia="標楷體" w:hAnsi="Times New Roman" w:cs="Times New Roman" w:hint="eastAsia"/>
                <w:sz w:val="28"/>
                <w:szCs w:val="28"/>
                <w:lang w:val="zh-TW"/>
              </w:rPr>
              <w:t>公</w:t>
            </w:r>
            <w:r w:rsidRPr="00ED66B4">
              <w:rPr>
                <w:rFonts w:ascii="Times New Roman" w:eastAsia="標楷體" w:hAnsi="Times New Roman" w:cs="Times New Roman" w:hint="eastAsia"/>
                <w:sz w:val="28"/>
                <w:szCs w:val="28"/>
                <w:lang w:val="zh-TW"/>
              </w:rPr>
              <w:t>會「投信投顧事業防制洗錢及</w:t>
            </w:r>
            <w:proofErr w:type="gramStart"/>
            <w:r w:rsidRPr="00ED66B4">
              <w:rPr>
                <w:rFonts w:ascii="Times New Roman" w:eastAsia="標楷體" w:hAnsi="Times New Roman" w:cs="Times New Roman" w:hint="eastAsia"/>
                <w:sz w:val="28"/>
                <w:szCs w:val="28"/>
                <w:lang w:val="zh-TW"/>
              </w:rPr>
              <w:t>打擊資恐注意事項</w:t>
            </w:r>
            <w:proofErr w:type="gramEnd"/>
            <w:r w:rsidRPr="00ED66B4">
              <w:rPr>
                <w:rFonts w:ascii="Times New Roman" w:eastAsia="標楷體" w:hAnsi="Times New Roman" w:cs="Times New Roman" w:hint="eastAsia"/>
                <w:sz w:val="28"/>
                <w:szCs w:val="28"/>
                <w:lang w:val="zh-TW"/>
              </w:rPr>
              <w:t>範本」（以下稱「範</w:t>
            </w:r>
            <w:r w:rsidRPr="00ED66B4">
              <w:rPr>
                <w:rFonts w:ascii="Times New Roman" w:eastAsia="標楷體" w:hAnsi="Times New Roman" w:cs="Times New Roman" w:hint="eastAsia"/>
                <w:sz w:val="28"/>
                <w:szCs w:val="28"/>
                <w:lang w:val="zh-TW"/>
              </w:rPr>
              <w:lastRenderedPageBreak/>
              <w:t>本」）等規定辦理。本參考做法係提供實質受益人辨識實務參考與做法供投信投顧事業參考，投信投顧事業仍應考量自身業務性質、風險程度及集團政策，訂定相關審查措施。本文件無法逐一列舉所有實務作法，且所列舉之各項說明僅為例示，非屬本</w:t>
            </w:r>
            <w:r w:rsidR="00100211">
              <w:rPr>
                <w:rFonts w:ascii="Times New Roman" w:eastAsia="標楷體" w:hAnsi="Times New Roman" w:cs="Times New Roman" w:hint="eastAsia"/>
                <w:sz w:val="28"/>
                <w:szCs w:val="28"/>
                <w:lang w:val="zh-TW"/>
              </w:rPr>
              <w:t>公</w:t>
            </w:r>
            <w:r w:rsidRPr="00ED66B4">
              <w:rPr>
                <w:rFonts w:ascii="Times New Roman" w:eastAsia="標楷體" w:hAnsi="Times New Roman" w:cs="Times New Roman" w:hint="eastAsia"/>
                <w:sz w:val="28"/>
                <w:szCs w:val="28"/>
                <w:lang w:val="zh-TW"/>
              </w:rPr>
              <w:t>會訂定之自律規範，不具有實質拘束力。</w:t>
            </w:r>
          </w:p>
          <w:p w14:paraId="3762AC56" w14:textId="77777777" w:rsidR="00ED66B4" w:rsidRPr="00ED66B4" w:rsidRDefault="00ED66B4" w:rsidP="00ED66B4"/>
        </w:tc>
        <w:tc>
          <w:tcPr>
            <w:tcW w:w="5033" w:type="dxa"/>
          </w:tcPr>
          <w:p w14:paraId="5F7A2479" w14:textId="4E70201B" w:rsidR="00ED66B4" w:rsidRPr="00ED66B4" w:rsidRDefault="00ED66B4" w:rsidP="00ED66B4">
            <w:pPr>
              <w:spacing w:line="480" w:lineRule="exact"/>
              <w:jc w:val="both"/>
              <w:rPr>
                <w:rFonts w:ascii="標楷體" w:eastAsia="標楷體" w:hAnsi="標楷體"/>
                <w:sz w:val="28"/>
                <w:szCs w:val="28"/>
              </w:rPr>
            </w:pPr>
            <w:r w:rsidRPr="00ED66B4">
              <w:rPr>
                <w:rFonts w:ascii="標楷體" w:eastAsia="標楷體" w:hAnsi="標楷體" w:hint="eastAsia"/>
                <w:sz w:val="28"/>
                <w:szCs w:val="28"/>
              </w:rPr>
              <w:lastRenderedPageBreak/>
              <w:t>鑒於全球金融犯罪常透過設立法人或法律協議，及以複雜架構控制該法人或法律協議之方式，隱藏具控制權人之真實身分，進行不法之犯罪或洗錢活動。另依我國</w:t>
            </w:r>
            <w:r w:rsidRPr="00ED66B4">
              <w:rPr>
                <w:rFonts w:ascii="標楷體" w:eastAsia="標楷體" w:hAnsi="標楷體"/>
                <w:sz w:val="28"/>
                <w:szCs w:val="28"/>
              </w:rPr>
              <w:t>107</w:t>
            </w:r>
            <w:r w:rsidRPr="00ED66B4">
              <w:rPr>
                <w:rFonts w:ascii="標楷體" w:eastAsia="標楷體" w:hAnsi="標楷體" w:hint="eastAsia"/>
                <w:sz w:val="28"/>
                <w:szCs w:val="28"/>
              </w:rPr>
              <w:t>年國家風險評估報告，執法機關偵辦利用公司犯罪之案件，可能涉及詐欺、走私、稅務犯罪、組織犯罪、貪污賄賂等高洗錢風險犯罪，故提升法人及法律協議實質受益人之透明度，爰新增本</w:t>
            </w:r>
            <w:r w:rsidR="005A5B68">
              <w:rPr>
                <w:rFonts w:ascii="標楷體" w:eastAsia="標楷體" w:hAnsi="標楷體" w:hint="eastAsia"/>
                <w:sz w:val="28"/>
                <w:szCs w:val="28"/>
              </w:rPr>
              <w:t>參考做法</w:t>
            </w:r>
            <w:r w:rsidRPr="00ED66B4">
              <w:rPr>
                <w:rFonts w:ascii="標楷體" w:eastAsia="標楷體" w:hAnsi="標楷體" w:hint="eastAsia"/>
                <w:sz w:val="28"/>
                <w:szCs w:val="28"/>
              </w:rPr>
              <w:t>。</w:t>
            </w:r>
          </w:p>
        </w:tc>
      </w:tr>
      <w:tr w:rsidR="00ED66B4" w:rsidRPr="00ED66B4" w14:paraId="4672C11C" w14:textId="77777777" w:rsidTr="00ED66B4">
        <w:trPr>
          <w:trHeight w:val="561"/>
        </w:trPr>
        <w:tc>
          <w:tcPr>
            <w:tcW w:w="5032" w:type="dxa"/>
          </w:tcPr>
          <w:p w14:paraId="12F71F6F" w14:textId="77777777" w:rsidR="00ED66B4" w:rsidRPr="00ED66B4" w:rsidRDefault="00ED66B4" w:rsidP="00ED66B4">
            <w:pPr>
              <w:numPr>
                <w:ilvl w:val="0"/>
                <w:numId w:val="1"/>
              </w:numPr>
              <w:ind w:left="567" w:hanging="567"/>
              <w:jc w:val="both"/>
              <w:rPr>
                <w:rFonts w:ascii="標楷體" w:eastAsia="標楷體" w:hAnsi="標楷體" w:cs="Times New Roman"/>
                <w:sz w:val="28"/>
              </w:rPr>
            </w:pPr>
            <w:r w:rsidRPr="00ED66B4">
              <w:rPr>
                <w:rFonts w:ascii="標楷體" w:eastAsia="標楷體" w:hAnsi="標楷體" w:cs="Times New Roman" w:hint="eastAsia"/>
                <w:sz w:val="28"/>
              </w:rPr>
              <w:t>審查時機與例外管理</w:t>
            </w:r>
          </w:p>
        </w:tc>
        <w:tc>
          <w:tcPr>
            <w:tcW w:w="5033" w:type="dxa"/>
          </w:tcPr>
          <w:p w14:paraId="2D7D9967" w14:textId="77777777" w:rsidR="00ED66B4" w:rsidRPr="00ED66B4" w:rsidRDefault="008E05C2" w:rsidP="008E05C2">
            <w:pPr>
              <w:jc w:val="center"/>
            </w:pPr>
            <w:r w:rsidRPr="008E05C2">
              <w:rPr>
                <w:rFonts w:ascii="標楷體" w:eastAsia="標楷體" w:hAnsi="標楷體" w:hint="eastAsia"/>
                <w:sz w:val="28"/>
                <w:szCs w:val="28"/>
              </w:rPr>
              <w:t>說明</w:t>
            </w:r>
          </w:p>
        </w:tc>
      </w:tr>
      <w:tr w:rsidR="00ED66B4" w:rsidRPr="00ED66B4" w14:paraId="406493E3" w14:textId="77777777" w:rsidTr="00ED66B4">
        <w:trPr>
          <w:trHeight w:val="1397"/>
        </w:trPr>
        <w:tc>
          <w:tcPr>
            <w:tcW w:w="5032" w:type="dxa"/>
          </w:tcPr>
          <w:p w14:paraId="3B672DF5" w14:textId="77777777" w:rsidR="00095A12" w:rsidRDefault="00ED66B4" w:rsidP="00095A12">
            <w:pPr>
              <w:spacing w:line="480" w:lineRule="exact"/>
              <w:jc w:val="both"/>
              <w:rPr>
                <w:rFonts w:ascii="標楷體" w:eastAsia="標楷體" w:hAnsi="標楷體" w:cs="Times New Roman"/>
                <w:sz w:val="28"/>
              </w:rPr>
            </w:pPr>
            <w:r w:rsidRPr="00ED66B4">
              <w:rPr>
                <w:rFonts w:ascii="標楷體" w:eastAsia="標楷體" w:hAnsi="標楷體" w:cs="Times New Roman" w:hint="eastAsia"/>
                <w:sz w:val="28"/>
              </w:rPr>
              <w:t>投信投顧事業應依據現行規範</w:t>
            </w:r>
            <w:r w:rsidRPr="00ED66B4">
              <w:rPr>
                <w:rFonts w:ascii="標楷體" w:eastAsia="標楷體" w:hAnsi="標楷體" w:cs="Times New Roman"/>
                <w:sz w:val="28"/>
                <w:vertAlign w:val="superscript"/>
              </w:rPr>
              <w:footnoteReference w:id="1"/>
            </w:r>
            <w:r w:rsidRPr="00ED66B4">
              <w:rPr>
                <w:rFonts w:ascii="標楷體" w:eastAsia="標楷體" w:hAnsi="標楷體" w:cs="Times New Roman" w:hint="eastAsia"/>
                <w:sz w:val="28"/>
              </w:rPr>
              <w:t>訂定審查實質受益人身分時機及適用對象，但有下列任</w:t>
            </w:r>
            <w:proofErr w:type="gramStart"/>
            <w:r w:rsidRPr="00ED66B4">
              <w:rPr>
                <w:rFonts w:ascii="標楷體" w:eastAsia="標楷體" w:hAnsi="標楷體" w:cs="Times New Roman" w:hint="eastAsia"/>
                <w:sz w:val="28"/>
              </w:rPr>
              <w:t>一</w:t>
            </w:r>
            <w:proofErr w:type="gramEnd"/>
            <w:r w:rsidRPr="00ED66B4">
              <w:rPr>
                <w:rFonts w:ascii="標楷體" w:eastAsia="標楷體" w:hAnsi="標楷體" w:cs="Times New Roman" w:hint="eastAsia"/>
                <w:sz w:val="28"/>
              </w:rPr>
              <w:t>情形者，投信投顧事業得考量是否豁免實質受益人之審查，</w:t>
            </w:r>
            <w:r w:rsidRPr="00ED66B4">
              <w:rPr>
                <w:rFonts w:ascii="標楷體" w:eastAsia="標楷體" w:hAnsi="標楷體" w:cs="Times New Roman"/>
                <w:sz w:val="28"/>
              </w:rPr>
              <w:t>於審查時</w:t>
            </w:r>
            <w:r w:rsidRPr="00ED66B4">
              <w:rPr>
                <w:rFonts w:ascii="標楷體" w:eastAsia="標楷體" w:hAnsi="標楷體" w:cs="Times New Roman" w:hint="eastAsia"/>
                <w:sz w:val="28"/>
              </w:rPr>
              <w:t>採取更具彈性之措施</w:t>
            </w:r>
            <w:r w:rsidRPr="00ED66B4">
              <w:rPr>
                <w:rFonts w:ascii="標楷體" w:eastAsia="標楷體" w:hAnsi="標楷體" w:cs="Times New Roman"/>
                <w:sz w:val="28"/>
                <w:vertAlign w:val="superscript"/>
              </w:rPr>
              <w:footnoteReference w:id="2"/>
            </w:r>
            <w:r w:rsidRPr="00ED66B4">
              <w:rPr>
                <w:rFonts w:ascii="標楷體" w:eastAsia="標楷體" w:hAnsi="標楷體" w:cs="Times New Roman" w:hint="eastAsia"/>
                <w:sz w:val="28"/>
              </w:rPr>
              <w:t>：</w:t>
            </w:r>
          </w:p>
          <w:p w14:paraId="005AE13B" w14:textId="77777777" w:rsidR="00ED66B4" w:rsidRPr="00ED66B4" w:rsidRDefault="00ED66B4" w:rsidP="00095A12">
            <w:pPr>
              <w:spacing w:line="480" w:lineRule="exact"/>
              <w:ind w:left="602" w:hangingChars="215" w:hanging="602"/>
              <w:jc w:val="both"/>
              <w:rPr>
                <w:rFonts w:ascii="標楷體" w:eastAsia="標楷體" w:hAnsi="標楷體" w:cs="Times New Roman"/>
                <w:sz w:val="28"/>
              </w:rPr>
            </w:pPr>
            <w:r w:rsidRPr="00ED66B4">
              <w:rPr>
                <w:rFonts w:ascii="Times New Roman" w:eastAsia="標楷體" w:hAnsi="Times New Roman" w:cs="Times New Roman"/>
                <w:sz w:val="28"/>
                <w:szCs w:val="28"/>
                <w:lang w:val="zh-TW"/>
              </w:rPr>
              <w:t>(</w:t>
            </w:r>
            <w:proofErr w:type="gramStart"/>
            <w:r w:rsidRPr="00ED66B4">
              <w:rPr>
                <w:rFonts w:ascii="Times New Roman" w:eastAsia="標楷體" w:hAnsi="Times New Roman" w:cs="Times New Roman"/>
                <w:sz w:val="28"/>
                <w:szCs w:val="28"/>
                <w:lang w:val="zh-TW"/>
              </w:rPr>
              <w:t>一</w:t>
            </w:r>
            <w:proofErr w:type="gramEnd"/>
            <w:r w:rsidRPr="00ED66B4">
              <w:rPr>
                <w:rFonts w:ascii="Times New Roman" w:eastAsia="標楷體" w:hAnsi="Times New Roman" w:cs="Times New Roman"/>
                <w:sz w:val="28"/>
                <w:szCs w:val="28"/>
                <w:lang w:val="zh-TW"/>
              </w:rPr>
              <w:t>)</w:t>
            </w:r>
            <w:r w:rsidR="00095A12">
              <w:rPr>
                <w:rFonts w:ascii="Times New Roman" w:eastAsia="標楷體" w:hAnsi="Times New Roman" w:cs="Times New Roman"/>
                <w:sz w:val="28"/>
                <w:szCs w:val="28"/>
                <w:lang w:val="zh-TW"/>
              </w:rPr>
              <w:t xml:space="preserve"> </w:t>
            </w:r>
            <w:r w:rsidRPr="00ED66B4">
              <w:rPr>
                <w:rFonts w:ascii="Times New Roman" w:eastAsia="標楷體" w:hAnsi="Times New Roman" w:cs="Times New Roman"/>
                <w:sz w:val="28"/>
                <w:szCs w:val="28"/>
                <w:lang w:val="zh-TW"/>
              </w:rPr>
              <w:t>與不適用辨識及驗證實質受益人身分之客戶往來時</w:t>
            </w:r>
            <w:r w:rsidRPr="00ED66B4">
              <w:rPr>
                <w:rFonts w:ascii="Times New Roman" w:eastAsia="標楷體" w:hAnsi="Times New Roman" w:cs="Times New Roman"/>
                <w:sz w:val="28"/>
                <w:szCs w:val="28"/>
                <w:vertAlign w:val="superscript"/>
                <w:lang w:val="zh-TW"/>
              </w:rPr>
              <w:footnoteReference w:id="3"/>
            </w:r>
            <w:r w:rsidRPr="00ED66B4">
              <w:rPr>
                <w:rFonts w:ascii="Times New Roman" w:eastAsia="標楷體" w:hAnsi="Times New Roman" w:cs="Times New Roman" w:hint="eastAsia"/>
                <w:sz w:val="28"/>
                <w:szCs w:val="28"/>
                <w:lang w:val="zh-TW"/>
              </w:rPr>
              <w:t>。</w:t>
            </w:r>
          </w:p>
          <w:p w14:paraId="397F4404" w14:textId="77777777" w:rsidR="00ED66B4" w:rsidRPr="00ED66B4" w:rsidRDefault="00ED66B4" w:rsidP="00095A12">
            <w:pPr>
              <w:spacing w:line="480" w:lineRule="exact"/>
              <w:ind w:left="602" w:hangingChars="215" w:hanging="602"/>
              <w:jc w:val="both"/>
              <w:rPr>
                <w:rFonts w:ascii="標楷體" w:eastAsia="標楷體" w:hAnsi="標楷體" w:cs="Times New Roman"/>
                <w:sz w:val="28"/>
              </w:rPr>
            </w:pPr>
            <w:r w:rsidRPr="00ED66B4">
              <w:rPr>
                <w:rFonts w:ascii="Times New Roman" w:eastAsia="標楷體" w:hAnsi="Times New Roman" w:cs="Times New Roman"/>
                <w:sz w:val="28"/>
                <w:szCs w:val="28"/>
              </w:rPr>
              <w:t>(</w:t>
            </w:r>
            <w:r w:rsidRPr="00ED66B4">
              <w:rPr>
                <w:rFonts w:ascii="Times New Roman" w:eastAsia="標楷體" w:hAnsi="Times New Roman" w:cs="Times New Roman"/>
                <w:sz w:val="28"/>
                <w:szCs w:val="28"/>
              </w:rPr>
              <w:t>二</w:t>
            </w:r>
            <w:r w:rsidRPr="00ED66B4">
              <w:rPr>
                <w:rFonts w:ascii="Times New Roman" w:eastAsia="標楷體" w:hAnsi="Times New Roman" w:cs="Times New Roman"/>
                <w:sz w:val="28"/>
                <w:szCs w:val="28"/>
              </w:rPr>
              <w:t>)</w:t>
            </w:r>
            <w:r w:rsidR="00095A12">
              <w:rPr>
                <w:rFonts w:ascii="Times New Roman" w:eastAsia="標楷體" w:hAnsi="Times New Roman" w:cs="Times New Roman"/>
                <w:sz w:val="28"/>
                <w:szCs w:val="28"/>
              </w:rPr>
              <w:t xml:space="preserve"> </w:t>
            </w:r>
            <w:r w:rsidRPr="00ED66B4">
              <w:rPr>
                <w:rFonts w:ascii="Times New Roman" w:eastAsia="標楷體" w:hAnsi="Times New Roman" w:cs="Times New Roman"/>
                <w:sz w:val="28"/>
                <w:szCs w:val="28"/>
                <w:lang w:val="zh-TW"/>
              </w:rPr>
              <w:t>為避免對客戶</w:t>
            </w:r>
            <w:r w:rsidRPr="00ED66B4">
              <w:rPr>
                <w:rFonts w:ascii="Times New Roman" w:eastAsia="標楷體" w:hAnsi="Times New Roman" w:cs="Times New Roman" w:hint="eastAsia"/>
                <w:sz w:val="28"/>
                <w:szCs w:val="28"/>
                <w:lang w:val="zh-TW"/>
              </w:rPr>
              <w:t>基於日常所需之交易</w:t>
            </w:r>
            <w:r w:rsidRPr="00ED66B4">
              <w:rPr>
                <w:rFonts w:ascii="Times New Roman" w:eastAsia="標楷體" w:hAnsi="Times New Roman" w:cs="Times New Roman"/>
                <w:sz w:val="28"/>
                <w:szCs w:val="28"/>
                <w:lang w:val="zh-TW"/>
              </w:rPr>
              <w:t>造成干擾，</w:t>
            </w:r>
            <w:r w:rsidRPr="00ED66B4">
              <w:rPr>
                <w:rFonts w:ascii="標楷體" w:eastAsia="標楷體" w:hAnsi="標楷體" w:cs="Times New Roman" w:hint="eastAsia"/>
                <w:sz w:val="28"/>
              </w:rPr>
              <w:t>依據現行規範</w:t>
            </w:r>
            <w:r w:rsidRPr="00ED66B4">
              <w:rPr>
                <w:rFonts w:ascii="標楷體" w:eastAsia="標楷體" w:hAnsi="標楷體" w:cs="Times New Roman"/>
                <w:sz w:val="28"/>
                <w:vertAlign w:val="superscript"/>
              </w:rPr>
              <w:footnoteReference w:id="4"/>
            </w:r>
            <w:r w:rsidRPr="00ED66B4">
              <w:rPr>
                <w:rFonts w:ascii="Times New Roman" w:eastAsia="標楷體" w:hAnsi="Times New Roman" w:cs="Times New Roman" w:hint="eastAsia"/>
                <w:sz w:val="28"/>
                <w:szCs w:val="28"/>
                <w:lang w:val="zh-TW"/>
              </w:rPr>
              <w:t>，得</w:t>
            </w:r>
            <w:r w:rsidRPr="00ED66B4">
              <w:rPr>
                <w:rFonts w:ascii="Times New Roman" w:eastAsia="標楷體" w:hAnsi="Times New Roman" w:cs="Times New Roman"/>
                <w:sz w:val="28"/>
                <w:szCs w:val="28"/>
                <w:lang w:val="zh-TW"/>
              </w:rPr>
              <w:t>先</w:t>
            </w:r>
            <w:r w:rsidRPr="00ED66B4">
              <w:rPr>
                <w:rFonts w:ascii="Times New Roman" w:eastAsia="標楷體" w:hAnsi="Times New Roman" w:cs="Times New Roman" w:hint="eastAsia"/>
                <w:sz w:val="28"/>
                <w:szCs w:val="28"/>
                <w:lang w:val="zh-TW"/>
              </w:rPr>
              <w:t>取得辨識</w:t>
            </w:r>
            <w:r w:rsidRPr="00ED66B4">
              <w:rPr>
                <w:rFonts w:ascii="Times New Roman" w:eastAsia="標楷體" w:hAnsi="Times New Roman" w:cs="Times New Roman"/>
                <w:sz w:val="28"/>
                <w:szCs w:val="28"/>
                <w:lang w:val="zh-TW"/>
              </w:rPr>
              <w:t>客戶及實質受益人身分之資料，並於建立業務關係後，再完成驗證。</w:t>
            </w:r>
          </w:p>
        </w:tc>
        <w:tc>
          <w:tcPr>
            <w:tcW w:w="5033" w:type="dxa"/>
          </w:tcPr>
          <w:p w14:paraId="62610E0A" w14:textId="77777777" w:rsidR="00ED66B4" w:rsidRPr="00ED66B4" w:rsidRDefault="00ED66B4" w:rsidP="00ED66B4">
            <w:pPr>
              <w:spacing w:line="480" w:lineRule="exact"/>
              <w:jc w:val="both"/>
              <w:rPr>
                <w:rFonts w:ascii="標楷體" w:eastAsia="標楷體" w:hAnsi="標楷體"/>
              </w:rPr>
            </w:pPr>
            <w:r w:rsidRPr="00ED66B4">
              <w:rPr>
                <w:rFonts w:ascii="標楷體" w:eastAsia="標楷體" w:hAnsi="標楷體"/>
                <w:sz w:val="28"/>
                <w:szCs w:val="28"/>
              </w:rPr>
              <w:t>依金融機構防制洗錢辦法第</w:t>
            </w:r>
            <w:r w:rsidRPr="00ED66B4">
              <w:rPr>
                <w:rFonts w:ascii="標楷體" w:eastAsia="標楷體" w:hAnsi="標楷體" w:hint="eastAsia"/>
                <w:sz w:val="28"/>
                <w:szCs w:val="28"/>
              </w:rPr>
              <w:t>3</w:t>
            </w:r>
            <w:r w:rsidRPr="00ED66B4">
              <w:rPr>
                <w:rFonts w:ascii="標楷體" w:eastAsia="標楷體" w:hAnsi="標楷體"/>
                <w:sz w:val="28"/>
                <w:szCs w:val="28"/>
              </w:rPr>
              <w:t>條第</w:t>
            </w:r>
            <w:r w:rsidRPr="00ED66B4">
              <w:rPr>
                <w:rFonts w:ascii="標楷體" w:eastAsia="標楷體" w:hAnsi="標楷體" w:hint="eastAsia"/>
                <w:sz w:val="28"/>
                <w:szCs w:val="28"/>
              </w:rPr>
              <w:t>2、4、5、7、9款，辨識及驗證實質受益人。應瞭解客戶或信託之所有權及控制權結構，客戶或具控制權者為符合</w:t>
            </w:r>
            <w:r w:rsidR="00C354F6">
              <w:rPr>
                <w:rFonts w:ascii="標楷體" w:eastAsia="標楷體" w:hAnsi="標楷體" w:hint="eastAsia"/>
                <w:sz w:val="28"/>
                <w:szCs w:val="28"/>
              </w:rPr>
              <w:t>第3條第7款</w:t>
            </w:r>
            <w:proofErr w:type="gramStart"/>
            <w:r w:rsidR="00C354F6">
              <w:rPr>
                <w:rFonts w:ascii="標楷體" w:eastAsia="標楷體" w:hAnsi="標楷體" w:hint="eastAsia"/>
                <w:sz w:val="28"/>
                <w:szCs w:val="28"/>
              </w:rPr>
              <w:t>第3目</w:t>
            </w:r>
            <w:r w:rsidRPr="00ED66B4">
              <w:rPr>
                <w:rFonts w:ascii="標楷體" w:eastAsia="標楷體" w:hAnsi="標楷體" w:hint="eastAsia"/>
                <w:sz w:val="28"/>
                <w:szCs w:val="28"/>
              </w:rPr>
              <w:t>者</w:t>
            </w:r>
            <w:proofErr w:type="gramEnd"/>
            <w:r w:rsidRPr="00ED66B4">
              <w:rPr>
                <w:rFonts w:ascii="標楷體" w:eastAsia="標楷體" w:hAnsi="標楷體" w:hint="eastAsia"/>
                <w:sz w:val="28"/>
                <w:szCs w:val="28"/>
              </w:rPr>
              <w:t>，除有辦法第6條第1項第3款但書情形或已發行無記名股票情形者外，不適用第3條第4款第3目辨識及驗證實質受益人身分之規定。</w:t>
            </w:r>
            <w:proofErr w:type="gramStart"/>
            <w:r w:rsidRPr="00ED66B4">
              <w:rPr>
                <w:rFonts w:ascii="標楷體" w:eastAsia="標楷體" w:hAnsi="標楷體" w:hint="eastAsia"/>
                <w:sz w:val="28"/>
                <w:szCs w:val="28"/>
              </w:rPr>
              <w:t>爰</w:t>
            </w:r>
            <w:proofErr w:type="gramEnd"/>
            <w:r w:rsidRPr="00ED66B4">
              <w:rPr>
                <w:rFonts w:ascii="標楷體" w:eastAsia="標楷體" w:hAnsi="標楷體" w:hint="eastAsia"/>
                <w:sz w:val="28"/>
                <w:szCs w:val="28"/>
              </w:rPr>
              <w:t>新增本條規定。</w:t>
            </w:r>
          </w:p>
        </w:tc>
      </w:tr>
      <w:tr w:rsidR="00ED66B4" w:rsidRPr="00ED66B4" w14:paraId="5ED53395" w14:textId="77777777" w:rsidTr="00ED66B4">
        <w:trPr>
          <w:trHeight w:val="477"/>
        </w:trPr>
        <w:tc>
          <w:tcPr>
            <w:tcW w:w="5032" w:type="dxa"/>
          </w:tcPr>
          <w:p w14:paraId="6D8A47C6" w14:textId="77777777" w:rsidR="00ED66B4" w:rsidRPr="00ED66B4" w:rsidRDefault="00ED66B4" w:rsidP="00ED66B4">
            <w:pPr>
              <w:numPr>
                <w:ilvl w:val="0"/>
                <w:numId w:val="1"/>
              </w:numPr>
              <w:ind w:left="567" w:hanging="567"/>
              <w:jc w:val="both"/>
              <w:rPr>
                <w:rFonts w:ascii="標楷體" w:eastAsia="標楷體" w:hAnsi="標楷體" w:cs="Times New Roman"/>
                <w:sz w:val="28"/>
              </w:rPr>
            </w:pPr>
            <w:r w:rsidRPr="00ED66B4">
              <w:rPr>
                <w:rFonts w:ascii="標楷體" w:eastAsia="標楷體" w:hAnsi="標楷體" w:cs="Times New Roman" w:hint="eastAsia"/>
                <w:sz w:val="28"/>
              </w:rPr>
              <w:t>實質受益人審查作業</w:t>
            </w:r>
          </w:p>
        </w:tc>
        <w:tc>
          <w:tcPr>
            <w:tcW w:w="5033" w:type="dxa"/>
          </w:tcPr>
          <w:p w14:paraId="6CF06EBD" w14:textId="77777777" w:rsidR="00ED66B4" w:rsidRPr="00ED66B4" w:rsidRDefault="008E05C2" w:rsidP="008E05C2">
            <w:pPr>
              <w:jc w:val="center"/>
            </w:pPr>
            <w:r w:rsidRPr="008E05C2">
              <w:rPr>
                <w:rFonts w:ascii="標楷體" w:eastAsia="標楷體" w:hAnsi="標楷體" w:hint="eastAsia"/>
                <w:sz w:val="28"/>
                <w:szCs w:val="28"/>
              </w:rPr>
              <w:t>說明</w:t>
            </w:r>
          </w:p>
        </w:tc>
      </w:tr>
      <w:tr w:rsidR="00ED66B4" w:rsidRPr="00ED66B4" w14:paraId="1E543FA7" w14:textId="77777777" w:rsidTr="00ED66B4">
        <w:trPr>
          <w:trHeight w:val="1397"/>
        </w:trPr>
        <w:tc>
          <w:tcPr>
            <w:tcW w:w="5032" w:type="dxa"/>
          </w:tcPr>
          <w:p w14:paraId="3428BCC3" w14:textId="77777777" w:rsidR="00095A12" w:rsidRDefault="00ED66B4" w:rsidP="00095A12">
            <w:pPr>
              <w:pBdr>
                <w:top w:val="nil"/>
                <w:left w:val="nil"/>
                <w:bottom w:val="nil"/>
                <w:right w:val="nil"/>
                <w:between w:val="nil"/>
                <w:bar w:val="nil"/>
              </w:pBdr>
              <w:spacing w:line="480" w:lineRule="exact"/>
              <w:ind w:left="560" w:hangingChars="200" w:hanging="560"/>
              <w:jc w:val="both"/>
              <w:rPr>
                <w:rFonts w:ascii="Times New Roman" w:eastAsia="標楷體" w:hAnsi="Times New Roman" w:cs="Times New Roman"/>
                <w:sz w:val="28"/>
                <w:szCs w:val="28"/>
                <w:lang w:val="zh-TW"/>
              </w:rPr>
            </w:pPr>
            <w:r w:rsidRPr="00ED66B4">
              <w:rPr>
                <w:rFonts w:ascii="Times New Roman" w:eastAsia="標楷體" w:hAnsi="Times New Roman" w:cs="Times New Roman"/>
                <w:sz w:val="28"/>
                <w:szCs w:val="28"/>
                <w:lang w:val="zh-TW"/>
              </w:rPr>
              <w:lastRenderedPageBreak/>
              <w:t>(</w:t>
            </w:r>
            <w:proofErr w:type="gramStart"/>
            <w:r w:rsidRPr="00ED66B4">
              <w:rPr>
                <w:rFonts w:ascii="Times New Roman" w:eastAsia="標楷體" w:hAnsi="Times New Roman" w:cs="Times New Roman"/>
                <w:sz w:val="28"/>
                <w:szCs w:val="28"/>
                <w:lang w:val="zh-TW"/>
              </w:rPr>
              <w:t>一</w:t>
            </w:r>
            <w:proofErr w:type="gramEnd"/>
            <w:r w:rsidRPr="00ED66B4">
              <w:rPr>
                <w:rFonts w:ascii="Times New Roman" w:eastAsia="標楷體" w:hAnsi="Times New Roman" w:cs="Times New Roman"/>
                <w:sz w:val="28"/>
                <w:szCs w:val="28"/>
                <w:lang w:val="zh-TW"/>
              </w:rPr>
              <w:t xml:space="preserve">) </w:t>
            </w:r>
            <w:r w:rsidRPr="00ED66B4">
              <w:rPr>
                <w:rFonts w:ascii="Times New Roman" w:eastAsia="標楷體" w:hAnsi="Times New Roman" w:cs="Times New Roman" w:hint="eastAsia"/>
                <w:sz w:val="28"/>
                <w:szCs w:val="28"/>
                <w:lang w:val="zh-TW"/>
              </w:rPr>
              <w:t>客戶為法人或團體時，應確實依以下順序辨識實質受益人</w:t>
            </w:r>
            <w:r w:rsidRPr="00ED66B4">
              <w:rPr>
                <w:rFonts w:ascii="Times New Roman" w:eastAsia="標楷體" w:hAnsi="Times New Roman" w:cs="Times New Roman"/>
                <w:sz w:val="28"/>
                <w:szCs w:val="28"/>
                <w:vertAlign w:val="superscript"/>
                <w:lang w:val="zh-TW"/>
              </w:rPr>
              <w:footnoteReference w:id="5"/>
            </w:r>
            <w:r w:rsidRPr="00ED66B4">
              <w:rPr>
                <w:rFonts w:ascii="Times New Roman" w:eastAsia="標楷體" w:hAnsi="Times New Roman" w:cs="Times New Roman" w:hint="eastAsia"/>
                <w:sz w:val="28"/>
                <w:szCs w:val="28"/>
                <w:lang w:val="zh-TW"/>
              </w:rPr>
              <w:t>：</w:t>
            </w:r>
          </w:p>
          <w:p w14:paraId="19DE5251" w14:textId="77777777" w:rsidR="00095A12" w:rsidRDefault="00095A12" w:rsidP="00F5337B">
            <w:pPr>
              <w:pBdr>
                <w:top w:val="nil"/>
                <w:left w:val="nil"/>
                <w:bottom w:val="nil"/>
                <w:right w:val="nil"/>
                <w:between w:val="nil"/>
                <w:bar w:val="nil"/>
              </w:pBdr>
              <w:spacing w:line="480" w:lineRule="exact"/>
              <w:ind w:leftChars="260" w:left="988" w:hangingChars="130" w:hanging="364"/>
              <w:jc w:val="both"/>
              <w:rPr>
                <w:rFonts w:ascii="Times New Roman" w:eastAsia="標楷體" w:hAnsi="Times New Roman" w:cs="Times New Roman"/>
                <w:sz w:val="28"/>
                <w:szCs w:val="28"/>
                <w:lang w:val="zh-TW"/>
              </w:rPr>
            </w:pPr>
            <w:r>
              <w:rPr>
                <w:rFonts w:ascii="標楷體" w:eastAsia="標楷體" w:hAnsi="標楷體" w:cs="Times New Roman" w:hint="eastAsia"/>
                <w:sz w:val="28"/>
                <w:szCs w:val="24"/>
              </w:rPr>
              <w:t>1、</w:t>
            </w:r>
            <w:r w:rsidR="00ED66B4" w:rsidRPr="00ED66B4">
              <w:rPr>
                <w:rFonts w:ascii="標楷體" w:eastAsia="標楷體" w:hAnsi="標楷體" w:cs="Times New Roman" w:hint="eastAsia"/>
                <w:sz w:val="28"/>
                <w:szCs w:val="24"/>
              </w:rPr>
              <w:t>具控制權之最終自然人身分：所稱控制權係指直接、間接持有該法人或團體股份或資本超過百分之二十五者。投信投顧事業得請客戶提供股東名冊或其他文件協助辨識</w:t>
            </w:r>
            <w:bookmarkStart w:id="0" w:name="_Ref23756499"/>
            <w:r w:rsidR="00ED66B4" w:rsidRPr="00ED66B4">
              <w:rPr>
                <w:rFonts w:ascii="標楷體" w:eastAsia="標楷體" w:hAnsi="標楷體" w:cs="Times New Roman"/>
                <w:sz w:val="28"/>
                <w:szCs w:val="24"/>
                <w:vertAlign w:val="superscript"/>
              </w:rPr>
              <w:footnoteReference w:id="6"/>
            </w:r>
            <w:bookmarkEnd w:id="0"/>
            <w:r w:rsidR="00ED66B4" w:rsidRPr="00ED66B4">
              <w:rPr>
                <w:rFonts w:ascii="標楷體" w:eastAsia="標楷體" w:hAnsi="標楷體" w:cs="Times New Roman" w:hint="eastAsia"/>
                <w:sz w:val="28"/>
                <w:szCs w:val="24"/>
              </w:rPr>
              <w:t>。</w:t>
            </w:r>
          </w:p>
          <w:p w14:paraId="0108C03A" w14:textId="77777777" w:rsidR="00095A12" w:rsidRDefault="00C354F6" w:rsidP="005D34CF">
            <w:pPr>
              <w:pBdr>
                <w:top w:val="nil"/>
                <w:left w:val="nil"/>
                <w:bottom w:val="nil"/>
                <w:right w:val="nil"/>
                <w:between w:val="nil"/>
                <w:bar w:val="nil"/>
              </w:pBdr>
              <w:spacing w:line="480" w:lineRule="exact"/>
              <w:ind w:leftChars="260" w:left="988" w:hangingChars="130" w:hanging="364"/>
              <w:jc w:val="both"/>
              <w:rPr>
                <w:rFonts w:ascii="Times New Roman" w:eastAsia="標楷體" w:hAnsi="Times New Roman" w:cs="Times New Roman"/>
                <w:sz w:val="28"/>
                <w:szCs w:val="28"/>
                <w:lang w:val="zh-TW"/>
              </w:rPr>
            </w:pPr>
            <w:r>
              <w:rPr>
                <w:rFonts w:ascii="標楷體" w:eastAsia="標楷體" w:hAnsi="標楷體" w:cs="Times New Roman" w:hint="eastAsia"/>
                <w:sz w:val="28"/>
                <w:szCs w:val="24"/>
              </w:rPr>
              <w:t>2、</w:t>
            </w:r>
            <w:r w:rsidR="00ED66B4" w:rsidRPr="00ED66B4">
              <w:rPr>
                <w:rFonts w:ascii="標楷體" w:eastAsia="標楷體" w:hAnsi="標楷體" w:cs="Times New Roman" w:hint="eastAsia"/>
                <w:sz w:val="28"/>
                <w:szCs w:val="24"/>
              </w:rPr>
              <w:t>依前一目規定未發現具控制權之自然人，或對具控制權之自然人是否為實質受益人有所懷疑時，應辨識有無透過其他方式對客戶行使控制權之自然人</w:t>
            </w:r>
            <w:r w:rsidR="00F74F82">
              <w:rPr>
                <w:rStyle w:val="a4"/>
                <w:rFonts w:ascii="標楷體" w:eastAsia="標楷體" w:hAnsi="標楷體" w:cs="Times New Roman"/>
                <w:sz w:val="28"/>
                <w:szCs w:val="24"/>
              </w:rPr>
              <w:footnoteReference w:id="7"/>
            </w:r>
            <w:r w:rsidR="00ED66B4" w:rsidRPr="00ED66B4">
              <w:rPr>
                <w:rFonts w:ascii="標楷體" w:eastAsia="標楷體" w:hAnsi="標楷體" w:cs="Times New Roman" w:hint="eastAsia"/>
                <w:sz w:val="28"/>
                <w:szCs w:val="24"/>
              </w:rPr>
              <w:t>。常見範例列示如下：</w:t>
            </w:r>
          </w:p>
          <w:p w14:paraId="47C31988" w14:textId="77777777" w:rsidR="00095A12" w:rsidRDefault="00C354F6" w:rsidP="005D34CF">
            <w:pPr>
              <w:pBdr>
                <w:top w:val="nil"/>
                <w:left w:val="nil"/>
                <w:bottom w:val="nil"/>
                <w:right w:val="nil"/>
                <w:between w:val="nil"/>
                <w:bar w:val="nil"/>
              </w:pBdr>
              <w:spacing w:line="480" w:lineRule="exact"/>
              <w:ind w:leftChars="400" w:left="960"/>
              <w:jc w:val="both"/>
              <w:rPr>
                <w:rFonts w:ascii="Times New Roman" w:eastAsia="標楷體" w:hAnsi="Times New Roman" w:cs="Times New Roman"/>
                <w:sz w:val="28"/>
                <w:szCs w:val="28"/>
                <w:lang w:val="zh-TW"/>
              </w:rPr>
            </w:pPr>
            <w:r>
              <w:rPr>
                <w:rFonts w:ascii="標楷體" w:eastAsia="標楷體" w:hAnsi="標楷體" w:cs="Times New Roman" w:hint="eastAsia"/>
                <w:sz w:val="28"/>
                <w:szCs w:val="24"/>
              </w:rPr>
              <w:t>(1)</w:t>
            </w:r>
            <w:r>
              <w:rPr>
                <w:rFonts w:ascii="標楷體" w:eastAsia="標楷體" w:hAnsi="標楷體" w:cs="Times New Roman"/>
                <w:sz w:val="28"/>
                <w:szCs w:val="24"/>
              </w:rPr>
              <w:t xml:space="preserve"> </w:t>
            </w:r>
            <w:r w:rsidR="00ED66B4" w:rsidRPr="00ED66B4">
              <w:rPr>
                <w:rFonts w:ascii="標楷體" w:eastAsia="標楷體" w:hAnsi="標楷體" w:cs="Times New Roman" w:hint="eastAsia"/>
                <w:sz w:val="28"/>
                <w:szCs w:val="24"/>
              </w:rPr>
              <w:t>於該法人或團體直接、間接持有超過百分之二十五表決權之自然人</w:t>
            </w:r>
            <w:r w:rsidR="00F74F82">
              <w:rPr>
                <w:rStyle w:val="a4"/>
                <w:rFonts w:ascii="標楷體" w:eastAsia="標楷體" w:hAnsi="標楷體" w:cs="Times New Roman"/>
                <w:sz w:val="28"/>
                <w:szCs w:val="24"/>
              </w:rPr>
              <w:footnoteReference w:id="8"/>
            </w:r>
            <w:r w:rsidR="00ED66B4" w:rsidRPr="00ED66B4">
              <w:rPr>
                <w:rFonts w:ascii="標楷體" w:eastAsia="標楷體" w:hAnsi="標楷體" w:cs="Times New Roman" w:hint="eastAsia"/>
                <w:sz w:val="28"/>
                <w:szCs w:val="24"/>
              </w:rPr>
              <w:t>。</w:t>
            </w:r>
          </w:p>
          <w:p w14:paraId="22B7538C" w14:textId="77777777" w:rsidR="00095A12" w:rsidRPr="00BF59E4" w:rsidRDefault="00C354F6" w:rsidP="005D34CF">
            <w:pPr>
              <w:pBdr>
                <w:top w:val="nil"/>
                <w:left w:val="nil"/>
                <w:bottom w:val="nil"/>
                <w:right w:val="nil"/>
                <w:between w:val="nil"/>
                <w:bar w:val="nil"/>
              </w:pBdr>
              <w:spacing w:line="480" w:lineRule="exact"/>
              <w:ind w:leftChars="400" w:left="960"/>
              <w:jc w:val="both"/>
              <w:rPr>
                <w:rFonts w:ascii="Times New Roman" w:eastAsia="標楷體" w:hAnsi="Times New Roman" w:cs="Times New Roman"/>
                <w:sz w:val="28"/>
                <w:szCs w:val="28"/>
                <w:lang w:val="zh-TW"/>
              </w:rPr>
            </w:pPr>
            <w:r>
              <w:rPr>
                <w:rFonts w:ascii="標楷體" w:eastAsia="標楷體" w:hAnsi="標楷體" w:cs="Times New Roman" w:hint="eastAsia"/>
                <w:sz w:val="28"/>
                <w:szCs w:val="24"/>
              </w:rPr>
              <w:t>(2)</w:t>
            </w:r>
            <w:r>
              <w:rPr>
                <w:rFonts w:ascii="標楷體" w:eastAsia="標楷體" w:hAnsi="標楷體" w:cs="Times New Roman"/>
                <w:sz w:val="28"/>
                <w:szCs w:val="24"/>
              </w:rPr>
              <w:t xml:space="preserve"> </w:t>
            </w:r>
            <w:r w:rsidR="00ED66B4" w:rsidRPr="00ED66B4">
              <w:rPr>
                <w:rFonts w:ascii="標楷體" w:eastAsia="標楷體" w:hAnsi="標楷體" w:cs="Times New Roman" w:hint="eastAsia"/>
                <w:sz w:val="28"/>
                <w:szCs w:val="24"/>
              </w:rPr>
              <w:t>對該法人或團體具決策權且非其高階管理人員之自然人，例如投信投顧事業依內部風險考量所定義之經授權</w:t>
            </w:r>
            <w:r w:rsidR="00ED66B4" w:rsidRPr="00BF59E4">
              <w:rPr>
                <w:rFonts w:ascii="標楷體" w:eastAsia="標楷體" w:hAnsi="標楷體" w:cs="Times New Roman" w:hint="eastAsia"/>
                <w:sz w:val="28"/>
                <w:szCs w:val="24"/>
              </w:rPr>
              <w:t>可</w:t>
            </w:r>
            <w:r w:rsidR="00BF59E4" w:rsidRPr="00BF59E4">
              <w:rPr>
                <w:rFonts w:ascii="標楷體" w:eastAsia="標楷體" w:hAnsi="標楷體" w:cs="Times New Roman" w:hint="eastAsia"/>
                <w:sz w:val="28"/>
                <w:szCs w:val="24"/>
              </w:rPr>
              <w:t>為交易之人或依專業及經驗判斷認定具實質決策權之人</w:t>
            </w:r>
            <w:r w:rsidR="00ED66B4" w:rsidRPr="00BF59E4">
              <w:rPr>
                <w:rFonts w:ascii="標楷體" w:eastAsia="標楷體" w:hAnsi="標楷體" w:cs="Times New Roman" w:hint="eastAsia"/>
                <w:sz w:val="28"/>
                <w:szCs w:val="24"/>
              </w:rPr>
              <w:t>。</w:t>
            </w:r>
          </w:p>
          <w:p w14:paraId="6E0CD854" w14:textId="77777777" w:rsidR="00095A12" w:rsidRDefault="00C354F6" w:rsidP="005D34CF">
            <w:pPr>
              <w:pBdr>
                <w:top w:val="nil"/>
                <w:left w:val="nil"/>
                <w:bottom w:val="nil"/>
                <w:right w:val="nil"/>
                <w:between w:val="nil"/>
                <w:bar w:val="nil"/>
              </w:pBdr>
              <w:spacing w:line="480" w:lineRule="exact"/>
              <w:ind w:leftChars="400" w:left="960"/>
              <w:jc w:val="both"/>
              <w:rPr>
                <w:rFonts w:ascii="Times New Roman" w:eastAsia="標楷體" w:hAnsi="Times New Roman" w:cs="Times New Roman"/>
                <w:sz w:val="28"/>
                <w:szCs w:val="28"/>
                <w:lang w:val="zh-TW"/>
              </w:rPr>
            </w:pPr>
            <w:r>
              <w:rPr>
                <w:rFonts w:ascii="標楷體" w:eastAsia="標楷體" w:hAnsi="標楷體" w:cs="Times New Roman" w:hint="eastAsia"/>
                <w:sz w:val="28"/>
                <w:szCs w:val="24"/>
              </w:rPr>
              <w:t>(3)</w:t>
            </w:r>
            <w:r>
              <w:rPr>
                <w:rFonts w:ascii="標楷體" w:eastAsia="標楷體" w:hAnsi="標楷體" w:cs="Times New Roman"/>
                <w:sz w:val="28"/>
                <w:szCs w:val="24"/>
              </w:rPr>
              <w:t xml:space="preserve"> </w:t>
            </w:r>
            <w:r w:rsidR="00ED66B4" w:rsidRPr="00400466">
              <w:rPr>
                <w:rFonts w:ascii="標楷體" w:eastAsia="標楷體" w:hAnsi="標楷體" w:cs="Times New Roman" w:hint="eastAsia"/>
                <w:sz w:val="28"/>
                <w:szCs w:val="24"/>
              </w:rPr>
              <w:t>透過交易監控，發現</w:t>
            </w:r>
            <w:r w:rsidR="002239C9" w:rsidRPr="00400466">
              <w:rPr>
                <w:rFonts w:ascii="標楷體" w:eastAsia="標楷體" w:hAnsi="標楷體" w:cs="Times New Roman" w:hint="eastAsia"/>
                <w:sz w:val="28"/>
                <w:szCs w:val="24"/>
              </w:rPr>
              <w:t>有利</w:t>
            </w:r>
            <w:proofErr w:type="gramStart"/>
            <w:r w:rsidR="002239C9" w:rsidRPr="00400466">
              <w:rPr>
                <w:rFonts w:ascii="標楷體" w:eastAsia="標楷體" w:hAnsi="標楷體" w:cs="Times New Roman" w:hint="eastAsia"/>
                <w:sz w:val="28"/>
                <w:szCs w:val="24"/>
              </w:rPr>
              <w:t>用人頭戶</w:t>
            </w:r>
            <w:proofErr w:type="gramEnd"/>
            <w:r w:rsidR="002239C9" w:rsidRPr="00400466">
              <w:rPr>
                <w:rFonts w:ascii="標楷體" w:eastAsia="標楷體" w:hAnsi="標楷體" w:cs="Times New Roman" w:hint="eastAsia"/>
                <w:sz w:val="28"/>
                <w:szCs w:val="24"/>
              </w:rPr>
              <w:t>、委託第三人</w:t>
            </w:r>
            <w:r w:rsidR="00D5570F" w:rsidRPr="00400466">
              <w:rPr>
                <w:rFonts w:ascii="標楷體" w:eastAsia="標楷體" w:hAnsi="標楷體" w:cs="Times New Roman" w:hint="eastAsia"/>
                <w:sz w:val="28"/>
                <w:szCs w:val="24"/>
              </w:rPr>
              <w:t>之</w:t>
            </w:r>
            <w:r w:rsidR="002239C9" w:rsidRPr="00400466">
              <w:rPr>
                <w:rFonts w:ascii="標楷體" w:eastAsia="標楷體" w:hAnsi="標楷體" w:cs="Times New Roman" w:hint="eastAsia"/>
                <w:sz w:val="28"/>
                <w:szCs w:val="24"/>
              </w:rPr>
              <w:t>帳戶</w:t>
            </w:r>
            <w:r w:rsidR="00D5570F" w:rsidRPr="00400466">
              <w:rPr>
                <w:rFonts w:ascii="標楷體" w:eastAsia="標楷體" w:hAnsi="標楷體" w:cs="Times New Roman" w:hint="eastAsia"/>
                <w:sz w:val="28"/>
                <w:szCs w:val="24"/>
              </w:rPr>
              <w:t>進行</w:t>
            </w:r>
            <w:r w:rsidR="002239C9" w:rsidRPr="00400466">
              <w:rPr>
                <w:rFonts w:ascii="標楷體" w:eastAsia="標楷體" w:hAnsi="標楷體" w:cs="Times New Roman" w:hint="eastAsia"/>
                <w:sz w:val="28"/>
                <w:szCs w:val="24"/>
              </w:rPr>
              <w:lastRenderedPageBreak/>
              <w:t>交易</w:t>
            </w:r>
            <w:r w:rsidR="00400466">
              <w:rPr>
                <w:rFonts w:ascii="標楷體" w:eastAsia="標楷體" w:hAnsi="標楷體" w:cs="Times New Roman" w:hint="eastAsia"/>
                <w:sz w:val="28"/>
                <w:szCs w:val="24"/>
              </w:rPr>
              <w:t>，</w:t>
            </w:r>
            <w:r w:rsidR="00ED66B4" w:rsidRPr="00400466">
              <w:rPr>
                <w:rFonts w:ascii="標楷體" w:eastAsia="標楷體" w:hAnsi="標楷體" w:cs="Times New Roman" w:hint="eastAsia"/>
                <w:sz w:val="28"/>
                <w:szCs w:val="24"/>
              </w:rPr>
              <w:t>而對</w:t>
            </w:r>
            <w:r w:rsidR="00ED66B4" w:rsidRPr="00ED66B4">
              <w:rPr>
                <w:rFonts w:ascii="標楷體" w:eastAsia="標楷體" w:hAnsi="標楷體" w:cs="Times New Roman" w:hint="eastAsia"/>
                <w:sz w:val="28"/>
                <w:szCs w:val="24"/>
              </w:rPr>
              <w:t>該法人或團體具控制權之人。</w:t>
            </w:r>
          </w:p>
          <w:p w14:paraId="7DD410BD" w14:textId="77777777" w:rsidR="00ED66B4" w:rsidRDefault="00C354F6" w:rsidP="005D34CF">
            <w:pPr>
              <w:pBdr>
                <w:top w:val="nil"/>
                <w:left w:val="nil"/>
                <w:bottom w:val="nil"/>
                <w:right w:val="nil"/>
                <w:between w:val="nil"/>
                <w:bar w:val="nil"/>
              </w:pBdr>
              <w:spacing w:line="480" w:lineRule="exact"/>
              <w:ind w:leftChars="260" w:left="988" w:hangingChars="130" w:hanging="364"/>
              <w:jc w:val="both"/>
              <w:rPr>
                <w:rFonts w:ascii="標楷體" w:eastAsia="標楷體" w:hAnsi="標楷體" w:cs="Times New Roman"/>
                <w:sz w:val="28"/>
                <w:szCs w:val="24"/>
              </w:rPr>
            </w:pPr>
            <w:r>
              <w:rPr>
                <w:rFonts w:ascii="標楷體" w:eastAsia="標楷體" w:hAnsi="標楷體" w:cs="Times New Roman" w:hint="eastAsia"/>
                <w:sz w:val="28"/>
                <w:szCs w:val="24"/>
              </w:rPr>
              <w:t>3、</w:t>
            </w:r>
            <w:r w:rsidR="00ED66B4" w:rsidRPr="00ED66B4">
              <w:rPr>
                <w:rFonts w:ascii="標楷體" w:eastAsia="標楷體" w:hAnsi="標楷體" w:cs="Times New Roman" w:hint="eastAsia"/>
                <w:sz w:val="28"/>
                <w:szCs w:val="24"/>
              </w:rPr>
              <w:t>依前二目</w:t>
            </w:r>
            <w:proofErr w:type="gramStart"/>
            <w:r w:rsidR="00ED66B4" w:rsidRPr="00ED66B4">
              <w:rPr>
                <w:rFonts w:ascii="標楷體" w:eastAsia="標楷體" w:hAnsi="標楷體" w:cs="Times New Roman" w:hint="eastAsia"/>
                <w:sz w:val="28"/>
                <w:szCs w:val="24"/>
              </w:rPr>
              <w:t>規定均未發現</w:t>
            </w:r>
            <w:proofErr w:type="gramEnd"/>
            <w:r w:rsidR="00ED66B4" w:rsidRPr="00ED66B4">
              <w:rPr>
                <w:rFonts w:ascii="標楷體" w:eastAsia="標楷體" w:hAnsi="標楷體" w:cs="Times New Roman" w:hint="eastAsia"/>
                <w:sz w:val="28"/>
                <w:szCs w:val="24"/>
              </w:rPr>
              <w:t>具控制權之自然人時，投信投顧事業應辨識高階管理人員之身分</w:t>
            </w:r>
            <w:r w:rsidR="00F74F82">
              <w:rPr>
                <w:rStyle w:val="a4"/>
                <w:rFonts w:ascii="標楷體" w:eastAsia="標楷體" w:hAnsi="標楷體" w:cs="Times New Roman"/>
                <w:sz w:val="28"/>
                <w:szCs w:val="24"/>
              </w:rPr>
              <w:footnoteReference w:id="9"/>
            </w:r>
            <w:r w:rsidR="00ED66B4" w:rsidRPr="00ED66B4">
              <w:rPr>
                <w:rFonts w:ascii="標楷體" w:eastAsia="標楷體" w:hAnsi="標楷體" w:cs="Times New Roman" w:hint="eastAsia"/>
                <w:sz w:val="28"/>
                <w:szCs w:val="24"/>
              </w:rPr>
              <w:t>。</w:t>
            </w:r>
          </w:p>
          <w:p w14:paraId="4B93172C" w14:textId="77777777" w:rsidR="00A50498" w:rsidRPr="00ED66B4" w:rsidRDefault="00A50498" w:rsidP="005D34CF">
            <w:pPr>
              <w:pBdr>
                <w:top w:val="nil"/>
                <w:left w:val="nil"/>
                <w:bottom w:val="nil"/>
                <w:right w:val="nil"/>
                <w:between w:val="nil"/>
                <w:bar w:val="nil"/>
              </w:pBdr>
              <w:spacing w:line="480" w:lineRule="exact"/>
              <w:ind w:leftChars="260" w:left="988" w:hangingChars="130" w:hanging="364"/>
              <w:jc w:val="both"/>
              <w:rPr>
                <w:rFonts w:ascii="Times New Roman" w:eastAsia="標楷體" w:hAnsi="Times New Roman" w:cs="Times New Roman"/>
                <w:sz w:val="28"/>
                <w:szCs w:val="28"/>
                <w:lang w:val="zh-TW"/>
              </w:rPr>
            </w:pPr>
            <w:r w:rsidRPr="00520461">
              <w:rPr>
                <w:rFonts w:ascii="Times New Roman" w:eastAsia="標楷體" w:hAnsi="Times New Roman" w:cs="Times New Roman" w:hint="eastAsia"/>
                <w:sz w:val="28"/>
                <w:szCs w:val="28"/>
                <w:lang w:val="zh-TW"/>
              </w:rPr>
              <w:t>4</w:t>
            </w:r>
            <w:r w:rsidRPr="00520461">
              <w:rPr>
                <w:rFonts w:ascii="Times New Roman" w:eastAsia="標楷體" w:hAnsi="Times New Roman" w:cs="Times New Roman" w:hint="eastAsia"/>
                <w:sz w:val="28"/>
                <w:szCs w:val="28"/>
                <w:lang w:val="zh-TW"/>
              </w:rPr>
              <w:t>、</w:t>
            </w:r>
            <w:r>
              <w:rPr>
                <w:rFonts w:ascii="Times New Roman" w:eastAsia="標楷體" w:hAnsi="Times New Roman" w:cs="Times New Roman" w:hint="eastAsia"/>
                <w:sz w:val="28"/>
                <w:szCs w:val="28"/>
                <w:lang w:val="zh-TW"/>
              </w:rPr>
              <w:t>實質受益權結構：若客戶的實質受益權或控制結構（包括法人實體型式、</w:t>
            </w:r>
            <w:r w:rsidR="00400466">
              <w:rPr>
                <w:rFonts w:ascii="Times New Roman" w:eastAsia="標楷體" w:hAnsi="Times New Roman" w:cs="Times New Roman" w:hint="eastAsia"/>
                <w:sz w:val="28"/>
                <w:szCs w:val="28"/>
                <w:lang w:val="zh-TW"/>
              </w:rPr>
              <w:t>隱</w:t>
            </w:r>
            <w:r>
              <w:rPr>
                <w:rFonts w:ascii="Times New Roman" w:eastAsia="標楷體" w:hAnsi="Times New Roman" w:cs="Times New Roman" w:hint="eastAsia"/>
                <w:sz w:val="28"/>
                <w:szCs w:val="28"/>
                <w:lang w:val="zh-TW"/>
              </w:rPr>
              <w:t>名股東或</w:t>
            </w:r>
            <w:r w:rsidR="00400466">
              <w:rPr>
                <w:rFonts w:ascii="Times New Roman" w:eastAsia="標楷體" w:hAnsi="Times New Roman" w:cs="Times New Roman" w:hint="eastAsia"/>
                <w:sz w:val="28"/>
                <w:szCs w:val="28"/>
                <w:lang w:val="zh-TW"/>
              </w:rPr>
              <w:t>隱</w:t>
            </w:r>
            <w:r>
              <w:rPr>
                <w:rFonts w:ascii="Times New Roman" w:eastAsia="標楷體" w:hAnsi="Times New Roman" w:cs="Times New Roman" w:hint="eastAsia"/>
                <w:sz w:val="28"/>
                <w:szCs w:val="28"/>
                <w:lang w:val="zh-TW"/>
              </w:rPr>
              <w:t>密法律安排）不夠透明，投信投顧事業宜採取合理步驟以核實受益人的身分。投信投顧事業另應對所有權結構的</w:t>
            </w:r>
            <w:proofErr w:type="gramStart"/>
            <w:r>
              <w:rPr>
                <w:rFonts w:ascii="Times New Roman" w:eastAsia="標楷體" w:hAnsi="Times New Roman" w:cs="Times New Roman" w:hint="eastAsia"/>
                <w:sz w:val="28"/>
                <w:szCs w:val="28"/>
                <w:lang w:val="zh-TW"/>
              </w:rPr>
              <w:t>不</w:t>
            </w:r>
            <w:proofErr w:type="gramEnd"/>
            <w:r>
              <w:rPr>
                <w:rFonts w:ascii="Times New Roman" w:eastAsia="標楷體" w:hAnsi="Times New Roman" w:cs="Times New Roman" w:hint="eastAsia"/>
                <w:sz w:val="28"/>
                <w:szCs w:val="28"/>
                <w:lang w:val="zh-TW"/>
              </w:rPr>
              <w:t>透明性或</w:t>
            </w:r>
            <w:proofErr w:type="gramStart"/>
            <w:r>
              <w:rPr>
                <w:rFonts w:ascii="Times New Roman" w:eastAsia="標楷體" w:hAnsi="Times New Roman" w:cs="Times New Roman" w:hint="eastAsia"/>
                <w:sz w:val="28"/>
                <w:szCs w:val="28"/>
                <w:lang w:val="zh-TW"/>
              </w:rPr>
              <w:t>一</w:t>
            </w:r>
            <w:proofErr w:type="gramEnd"/>
            <w:r w:rsidR="00520461">
              <w:rPr>
                <w:rFonts w:ascii="Times New Roman" w:eastAsia="標楷體" w:hAnsi="Times New Roman" w:cs="Times New Roman" w:hint="eastAsia"/>
                <w:sz w:val="28"/>
                <w:szCs w:val="28"/>
                <w:lang w:val="zh-TW"/>
              </w:rPr>
              <w:t>或</w:t>
            </w:r>
            <w:r>
              <w:rPr>
                <w:rFonts w:ascii="Times New Roman" w:eastAsia="標楷體" w:hAnsi="Times New Roman" w:cs="Times New Roman" w:hint="eastAsia"/>
                <w:sz w:val="28"/>
                <w:szCs w:val="28"/>
                <w:lang w:val="zh-TW"/>
              </w:rPr>
              <w:t>多個受益人的身分，考量提高客戶風險，或拒</w:t>
            </w:r>
            <w:r w:rsidR="00520461">
              <w:rPr>
                <w:rFonts w:ascii="Times New Roman" w:eastAsia="標楷體" w:hAnsi="Times New Roman" w:cs="Times New Roman" w:hint="eastAsia"/>
                <w:sz w:val="28"/>
                <w:szCs w:val="28"/>
                <w:lang w:val="zh-TW"/>
              </w:rPr>
              <w:t>絕</w:t>
            </w:r>
            <w:r>
              <w:rPr>
                <w:rFonts w:ascii="Times New Roman" w:eastAsia="標楷體" w:hAnsi="Times New Roman" w:cs="Times New Roman" w:hint="eastAsia"/>
                <w:sz w:val="28"/>
                <w:szCs w:val="28"/>
                <w:lang w:val="zh-TW"/>
              </w:rPr>
              <w:t>執行交易或終止業務關係，並考慮申報可疑交易</w:t>
            </w:r>
            <w:r>
              <w:rPr>
                <w:rStyle w:val="a4"/>
                <w:rFonts w:ascii="Times New Roman" w:eastAsia="標楷體" w:hAnsi="Times New Roman" w:cs="Times New Roman"/>
                <w:sz w:val="28"/>
                <w:szCs w:val="28"/>
                <w:lang w:val="zh-TW"/>
              </w:rPr>
              <w:footnoteReference w:id="10"/>
            </w:r>
            <w:r>
              <w:rPr>
                <w:rFonts w:ascii="Times New Roman" w:eastAsia="標楷體" w:hAnsi="Times New Roman" w:cs="Times New Roman" w:hint="eastAsia"/>
                <w:sz w:val="28"/>
                <w:szCs w:val="28"/>
                <w:lang w:val="zh-TW"/>
              </w:rPr>
              <w:t>。</w:t>
            </w:r>
          </w:p>
          <w:p w14:paraId="64ECDE34" w14:textId="77777777" w:rsidR="00095A12" w:rsidRDefault="00ED66B4" w:rsidP="00095A12">
            <w:pPr>
              <w:spacing w:line="480" w:lineRule="exact"/>
              <w:jc w:val="both"/>
              <w:rPr>
                <w:rFonts w:ascii="標楷體" w:eastAsia="標楷體" w:hAnsi="標楷體" w:cs="Times New Roman"/>
                <w:sz w:val="28"/>
                <w:szCs w:val="24"/>
              </w:rPr>
            </w:pPr>
            <w:r w:rsidRPr="00ED66B4">
              <w:rPr>
                <w:rFonts w:ascii="Times New Roman" w:eastAsia="標楷體" w:hAnsi="Times New Roman" w:cs="Times New Roman"/>
                <w:sz w:val="28"/>
                <w:szCs w:val="28"/>
                <w:lang w:val="zh-TW"/>
              </w:rPr>
              <w:t>(</w:t>
            </w:r>
            <w:r w:rsidRPr="00ED66B4">
              <w:rPr>
                <w:rFonts w:ascii="Times New Roman" w:eastAsia="標楷體" w:hAnsi="Times New Roman" w:cs="Times New Roman"/>
                <w:sz w:val="28"/>
                <w:szCs w:val="28"/>
                <w:lang w:val="zh-TW"/>
              </w:rPr>
              <w:t>二</w:t>
            </w:r>
            <w:r w:rsidRPr="00ED66B4">
              <w:rPr>
                <w:rFonts w:ascii="Times New Roman" w:eastAsia="標楷體" w:hAnsi="Times New Roman" w:cs="Times New Roman"/>
                <w:sz w:val="28"/>
                <w:szCs w:val="28"/>
                <w:lang w:val="zh-TW"/>
              </w:rPr>
              <w:t xml:space="preserve">) </w:t>
            </w:r>
            <w:r w:rsidRPr="00ED66B4">
              <w:rPr>
                <w:rFonts w:ascii="Times New Roman" w:eastAsia="標楷體" w:hAnsi="Times New Roman" w:cs="Times New Roman" w:hint="eastAsia"/>
                <w:sz w:val="28"/>
                <w:szCs w:val="28"/>
                <w:lang w:val="zh-TW"/>
              </w:rPr>
              <w:t>關於無記名股東或隱名股東：</w:t>
            </w:r>
          </w:p>
          <w:p w14:paraId="6E156E51" w14:textId="77777777" w:rsidR="00095A12" w:rsidRDefault="00ED66B4" w:rsidP="005D34CF">
            <w:pPr>
              <w:spacing w:line="480" w:lineRule="exact"/>
              <w:ind w:leftChars="260" w:left="988" w:hangingChars="130" w:hanging="364"/>
              <w:jc w:val="both"/>
              <w:rPr>
                <w:rFonts w:ascii="標楷體" w:eastAsia="標楷體" w:hAnsi="標楷體" w:cs="Times New Roman"/>
                <w:sz w:val="28"/>
                <w:szCs w:val="24"/>
              </w:rPr>
            </w:pPr>
            <w:r w:rsidRPr="00ED66B4">
              <w:rPr>
                <w:rFonts w:ascii="標楷體" w:eastAsia="標楷體" w:hAnsi="標楷體" w:cs="Times New Roman" w:hint="eastAsia"/>
                <w:sz w:val="28"/>
              </w:rPr>
              <w:t>1、投信投顧事業應了解客戶是否可發行無記名股票，並對已發行無記名股票之客戶採取適當措施以確保其實質受益人之更新</w:t>
            </w:r>
            <w:r w:rsidRPr="00ED66B4">
              <w:rPr>
                <w:rFonts w:ascii="標楷體" w:eastAsia="標楷體" w:hAnsi="標楷體" w:cs="Times New Roman"/>
                <w:sz w:val="28"/>
                <w:vertAlign w:val="superscript"/>
              </w:rPr>
              <w:footnoteReference w:id="11"/>
            </w:r>
            <w:r w:rsidRPr="00ED66B4">
              <w:rPr>
                <w:rFonts w:ascii="標楷體" w:eastAsia="標楷體" w:hAnsi="標楷體" w:cs="Times New Roman" w:hint="eastAsia"/>
                <w:sz w:val="28"/>
              </w:rPr>
              <w:t>。</w:t>
            </w:r>
          </w:p>
          <w:p w14:paraId="47361C2D" w14:textId="77777777" w:rsidR="00095A12" w:rsidRDefault="00ED66B4" w:rsidP="005D34CF">
            <w:pPr>
              <w:spacing w:line="480" w:lineRule="exact"/>
              <w:ind w:leftChars="260" w:left="988" w:hangingChars="130" w:hanging="364"/>
              <w:jc w:val="both"/>
              <w:rPr>
                <w:rFonts w:ascii="標楷體" w:eastAsia="標楷體" w:hAnsi="標楷體" w:cs="Times New Roman"/>
                <w:sz w:val="28"/>
                <w:szCs w:val="24"/>
              </w:rPr>
            </w:pPr>
            <w:r w:rsidRPr="00ED66B4">
              <w:rPr>
                <w:rFonts w:ascii="標楷體" w:eastAsia="標楷體" w:hAnsi="標楷體" w:cs="Times New Roman" w:hint="eastAsia"/>
                <w:sz w:val="28"/>
              </w:rPr>
              <w:t>2、投信投顧事業辨識客戶是否具無記名股東時，應請客戶提供章程。</w:t>
            </w:r>
            <w:r w:rsidRPr="00ED66B4">
              <w:rPr>
                <w:rFonts w:ascii="標楷體" w:eastAsia="標楷體" w:hAnsi="標楷體" w:cs="Arial" w:hint="eastAsia"/>
                <w:kern w:val="0"/>
                <w:sz w:val="28"/>
                <w:szCs w:val="24"/>
              </w:rPr>
              <w:t>若章程記載客戶得發行無記名股票，且客戶聲明已發行無記名股票，則應確認無記名股東之</w:t>
            </w:r>
            <w:r w:rsidRPr="00ED66B4">
              <w:rPr>
                <w:rFonts w:ascii="標楷體" w:eastAsia="標楷體" w:hAnsi="標楷體" w:cs="Arial" w:hint="eastAsia"/>
                <w:kern w:val="0"/>
                <w:sz w:val="28"/>
                <w:szCs w:val="24"/>
              </w:rPr>
              <w:lastRenderedPageBreak/>
              <w:t>身分</w:t>
            </w:r>
            <w:r w:rsidRPr="00ED66B4">
              <w:rPr>
                <w:rFonts w:ascii="標楷體" w:eastAsia="標楷體" w:hAnsi="標楷體" w:cs="Arial"/>
                <w:kern w:val="0"/>
                <w:sz w:val="28"/>
                <w:szCs w:val="24"/>
                <w:vertAlign w:val="superscript"/>
              </w:rPr>
              <w:footnoteReference w:id="12"/>
            </w:r>
            <w:r w:rsidRPr="00ED66B4">
              <w:rPr>
                <w:rFonts w:ascii="標楷體" w:eastAsia="標楷體" w:hAnsi="標楷體" w:cs="Arial" w:hint="eastAsia"/>
                <w:kern w:val="0"/>
                <w:sz w:val="28"/>
                <w:szCs w:val="24"/>
              </w:rPr>
              <w:t>。</w:t>
            </w:r>
          </w:p>
          <w:p w14:paraId="01E3C2D8" w14:textId="77777777" w:rsidR="00095A12" w:rsidRDefault="00ED66B4" w:rsidP="005D34CF">
            <w:pPr>
              <w:spacing w:line="480" w:lineRule="exact"/>
              <w:ind w:leftChars="260" w:left="988" w:hangingChars="130" w:hanging="364"/>
              <w:jc w:val="both"/>
              <w:rPr>
                <w:rFonts w:ascii="標楷體" w:eastAsia="標楷體" w:hAnsi="標楷體" w:cs="Times New Roman"/>
                <w:sz w:val="28"/>
                <w:szCs w:val="24"/>
              </w:rPr>
            </w:pPr>
            <w:r w:rsidRPr="00ED66B4">
              <w:rPr>
                <w:rFonts w:ascii="標楷體" w:eastAsia="標楷體" w:hAnsi="標楷體" w:cs="Times New Roman" w:hint="eastAsia"/>
                <w:sz w:val="28"/>
              </w:rPr>
              <w:t>3、若客戶具無記名股東，應先確認該股東身分，再依確認結果執行第一款辨識程序。</w:t>
            </w:r>
          </w:p>
          <w:p w14:paraId="19B67971" w14:textId="77777777" w:rsidR="00095A12" w:rsidRDefault="00ED66B4" w:rsidP="005D34CF">
            <w:pPr>
              <w:spacing w:line="480" w:lineRule="exact"/>
              <w:ind w:leftChars="260" w:left="988" w:hangingChars="130" w:hanging="364"/>
              <w:jc w:val="both"/>
              <w:rPr>
                <w:rFonts w:ascii="標楷體" w:eastAsia="標楷體" w:hAnsi="標楷體" w:cs="Times New Roman"/>
                <w:sz w:val="28"/>
                <w:szCs w:val="24"/>
              </w:rPr>
            </w:pPr>
            <w:r w:rsidRPr="00ED66B4">
              <w:rPr>
                <w:rFonts w:ascii="標楷體" w:eastAsia="標楷體" w:hAnsi="標楷體" w:cs="Times New Roman" w:hint="eastAsia"/>
                <w:sz w:val="28"/>
              </w:rPr>
              <w:t>4、若辨識時發現符合以下任</w:t>
            </w:r>
            <w:proofErr w:type="gramStart"/>
            <w:r w:rsidRPr="00ED66B4">
              <w:rPr>
                <w:rFonts w:ascii="標楷體" w:eastAsia="標楷體" w:hAnsi="標楷體" w:cs="Times New Roman" w:hint="eastAsia"/>
                <w:sz w:val="28"/>
              </w:rPr>
              <w:t>一</w:t>
            </w:r>
            <w:proofErr w:type="gramEnd"/>
            <w:r w:rsidRPr="00ED66B4">
              <w:rPr>
                <w:rFonts w:ascii="標楷體" w:eastAsia="標楷體" w:hAnsi="標楷體" w:cs="Times New Roman" w:hint="eastAsia"/>
                <w:sz w:val="28"/>
              </w:rPr>
              <w:t>情形，投信投顧事業得考量客戶是否具備隱名股東性質</w:t>
            </w:r>
            <w:r w:rsidRPr="00ED66B4">
              <w:rPr>
                <w:rFonts w:ascii="標楷體" w:eastAsia="標楷體" w:hAnsi="標楷體" w:cs="Times New Roman"/>
                <w:sz w:val="28"/>
                <w:vertAlign w:val="superscript"/>
              </w:rPr>
              <w:footnoteReference w:id="13"/>
            </w:r>
            <w:r w:rsidRPr="00ED66B4">
              <w:rPr>
                <w:rFonts w:ascii="標楷體" w:eastAsia="標楷體" w:hAnsi="標楷體" w:cs="Times New Roman" w:hint="eastAsia"/>
                <w:sz w:val="28"/>
              </w:rPr>
              <w:t>：</w:t>
            </w:r>
          </w:p>
          <w:p w14:paraId="085D9489" w14:textId="77777777" w:rsidR="00095A12" w:rsidRDefault="00095A12" w:rsidP="005D34CF">
            <w:pPr>
              <w:spacing w:line="480" w:lineRule="exact"/>
              <w:ind w:leftChars="400" w:left="960"/>
              <w:jc w:val="both"/>
              <w:rPr>
                <w:rFonts w:ascii="標楷體" w:eastAsia="標楷體" w:hAnsi="標楷體" w:cs="Times New Roman"/>
                <w:sz w:val="28"/>
                <w:szCs w:val="24"/>
              </w:rPr>
            </w:pPr>
            <w:r>
              <w:rPr>
                <w:rFonts w:ascii="標楷體" w:eastAsia="標楷體" w:hAnsi="標楷體" w:cs="Times New Roman" w:hint="eastAsia"/>
                <w:sz w:val="28"/>
              </w:rPr>
              <w:t>(1)</w:t>
            </w:r>
            <w:r w:rsidR="00ED66B4" w:rsidRPr="00ED66B4">
              <w:rPr>
                <w:rFonts w:ascii="標楷體" w:eastAsia="標楷體" w:hAnsi="標楷體" w:cs="Times New Roman" w:hint="eastAsia"/>
                <w:sz w:val="28"/>
              </w:rPr>
              <w:t>客戶股權結構出現信託，且投信投顧事業無法取得該信託之實質受益人資訊。</w:t>
            </w:r>
          </w:p>
          <w:p w14:paraId="091803E5" w14:textId="77777777" w:rsidR="00ED66B4" w:rsidRPr="00ED66B4" w:rsidRDefault="00095A12" w:rsidP="005D34CF">
            <w:pPr>
              <w:spacing w:line="480" w:lineRule="exact"/>
              <w:ind w:leftChars="400" w:left="960"/>
              <w:jc w:val="both"/>
              <w:rPr>
                <w:rFonts w:ascii="標楷體" w:eastAsia="標楷體" w:hAnsi="標楷體" w:cs="Times New Roman"/>
                <w:sz w:val="28"/>
                <w:szCs w:val="24"/>
              </w:rPr>
            </w:pPr>
            <w:r>
              <w:rPr>
                <w:rFonts w:ascii="標楷體" w:eastAsia="標楷體" w:hAnsi="標楷體" w:cs="Times New Roman" w:hint="eastAsia"/>
                <w:sz w:val="28"/>
              </w:rPr>
              <w:t>(2)</w:t>
            </w:r>
            <w:r w:rsidR="00ED66B4" w:rsidRPr="00ED66B4">
              <w:rPr>
                <w:rFonts w:ascii="標楷體" w:eastAsia="標楷體" w:hAnsi="標楷體" w:cs="Times New Roman" w:hint="eastAsia"/>
                <w:sz w:val="28"/>
              </w:rPr>
              <w:t>客戶股權結構出現法律專業、會計專業或公司服務提供者，且客戶不願聲明上開人士</w:t>
            </w:r>
            <w:proofErr w:type="gramStart"/>
            <w:r w:rsidR="00ED66B4" w:rsidRPr="00ED66B4">
              <w:rPr>
                <w:rFonts w:ascii="標楷體" w:eastAsia="標楷體" w:hAnsi="標楷體" w:cs="Times New Roman" w:hint="eastAsia"/>
                <w:sz w:val="28"/>
              </w:rPr>
              <w:t>是否為隱名</w:t>
            </w:r>
            <w:proofErr w:type="gramEnd"/>
            <w:r w:rsidR="00ED66B4" w:rsidRPr="00ED66B4">
              <w:rPr>
                <w:rFonts w:ascii="標楷體" w:eastAsia="標楷體" w:hAnsi="標楷體" w:cs="Times New Roman" w:hint="eastAsia"/>
                <w:sz w:val="28"/>
              </w:rPr>
              <w:t>股東之代理人或不願提供可辨識其委託人身分之資訊。</w:t>
            </w:r>
          </w:p>
          <w:p w14:paraId="795A1D8A" w14:textId="77777777" w:rsidR="00095A12" w:rsidRDefault="00ED66B4" w:rsidP="00095A12">
            <w:pPr>
              <w:spacing w:line="480" w:lineRule="exact"/>
              <w:jc w:val="both"/>
              <w:rPr>
                <w:rFonts w:ascii="標楷體" w:eastAsia="標楷體" w:hAnsi="標楷體" w:cs="Times New Roman"/>
                <w:sz w:val="28"/>
              </w:rPr>
            </w:pPr>
            <w:r w:rsidRPr="00ED66B4">
              <w:rPr>
                <w:rFonts w:ascii="Times New Roman" w:eastAsia="標楷體" w:hAnsi="Times New Roman" w:cs="Times New Roman"/>
                <w:sz w:val="28"/>
                <w:szCs w:val="28"/>
                <w:lang w:val="zh-TW"/>
              </w:rPr>
              <w:t>(</w:t>
            </w:r>
            <w:r w:rsidRPr="00ED66B4">
              <w:rPr>
                <w:rFonts w:ascii="Times New Roman" w:eastAsia="標楷體" w:hAnsi="Times New Roman" w:cs="Times New Roman"/>
                <w:sz w:val="28"/>
                <w:szCs w:val="28"/>
                <w:lang w:val="zh-TW"/>
              </w:rPr>
              <w:t>三</w:t>
            </w:r>
            <w:r w:rsidRPr="00ED66B4">
              <w:rPr>
                <w:rFonts w:ascii="Times New Roman" w:eastAsia="標楷體" w:hAnsi="Times New Roman" w:cs="Times New Roman"/>
                <w:sz w:val="28"/>
                <w:szCs w:val="28"/>
                <w:lang w:val="zh-TW"/>
              </w:rPr>
              <w:t xml:space="preserve">) </w:t>
            </w:r>
            <w:r w:rsidRPr="00ED66B4">
              <w:rPr>
                <w:rFonts w:ascii="Times New Roman" w:eastAsia="標楷體" w:hAnsi="Times New Roman" w:cs="Times New Roman" w:hint="eastAsia"/>
                <w:sz w:val="28"/>
                <w:szCs w:val="28"/>
                <w:lang w:val="zh-TW"/>
              </w:rPr>
              <w:t>聲明書之使用：</w:t>
            </w:r>
          </w:p>
          <w:p w14:paraId="112C1D90" w14:textId="77777777" w:rsidR="00095A12" w:rsidRDefault="00095A12" w:rsidP="005D34CF">
            <w:pPr>
              <w:spacing w:line="480" w:lineRule="exact"/>
              <w:ind w:leftChars="260" w:left="988" w:hangingChars="130" w:hanging="364"/>
              <w:jc w:val="both"/>
              <w:rPr>
                <w:rFonts w:ascii="標楷體" w:eastAsia="標楷體" w:hAnsi="標楷體" w:cs="Times New Roman"/>
                <w:sz w:val="28"/>
              </w:rPr>
            </w:pPr>
            <w:r>
              <w:rPr>
                <w:rFonts w:ascii="標楷體" w:eastAsia="標楷體" w:hAnsi="標楷體" w:cs="Times New Roman" w:hint="eastAsia"/>
                <w:sz w:val="28"/>
              </w:rPr>
              <w:t>1、</w:t>
            </w:r>
            <w:r w:rsidR="00ED66B4" w:rsidRPr="00ED66B4">
              <w:rPr>
                <w:rFonts w:ascii="標楷體" w:eastAsia="標楷體" w:hAnsi="標楷體" w:cs="Times New Roman" w:hint="eastAsia"/>
                <w:sz w:val="28"/>
              </w:rPr>
              <w:t>投信投顧事業依第一款程序辨識實質受益人時，得參考下列步驟向客戶取得文件、資料或資訊：</w:t>
            </w:r>
          </w:p>
          <w:p w14:paraId="6476DC7A" w14:textId="77777777" w:rsidR="00095A12" w:rsidRDefault="00095A12" w:rsidP="005D34CF">
            <w:pPr>
              <w:spacing w:line="480" w:lineRule="exact"/>
              <w:ind w:leftChars="400" w:left="960"/>
              <w:jc w:val="both"/>
              <w:rPr>
                <w:rFonts w:ascii="標楷體" w:eastAsia="標楷體" w:hAnsi="標楷體" w:cs="Times New Roman"/>
                <w:sz w:val="28"/>
              </w:rPr>
            </w:pPr>
            <w:r>
              <w:rPr>
                <w:rFonts w:ascii="標楷體" w:eastAsia="標楷體" w:hAnsi="標楷體" w:cs="Times New Roman" w:hint="eastAsia"/>
                <w:sz w:val="28"/>
              </w:rPr>
              <w:t>(1)</w:t>
            </w:r>
            <w:r w:rsidR="00ED66B4" w:rsidRPr="00ED66B4">
              <w:rPr>
                <w:rFonts w:ascii="標楷體" w:eastAsia="標楷體" w:hAnsi="標楷體" w:cs="Times New Roman" w:hint="eastAsia"/>
                <w:sz w:val="28"/>
              </w:rPr>
              <w:t>取得股東名冊（若適用）及政府核發之文件、資料或資訊，例如公司登記證明文件。</w:t>
            </w:r>
          </w:p>
          <w:p w14:paraId="3EF512E1" w14:textId="77777777" w:rsidR="00095A12" w:rsidRDefault="00095A12" w:rsidP="005D34CF">
            <w:pPr>
              <w:spacing w:line="480" w:lineRule="exact"/>
              <w:ind w:leftChars="400" w:left="960"/>
              <w:jc w:val="both"/>
              <w:rPr>
                <w:rFonts w:ascii="標楷體" w:eastAsia="標楷體" w:hAnsi="標楷體" w:cs="Times New Roman"/>
                <w:sz w:val="28"/>
              </w:rPr>
            </w:pPr>
            <w:r>
              <w:rPr>
                <w:rFonts w:ascii="標楷體" w:eastAsia="標楷體" w:hAnsi="標楷體" w:cs="Times New Roman" w:hint="eastAsia"/>
                <w:sz w:val="28"/>
              </w:rPr>
              <w:t>(2)</w:t>
            </w:r>
            <w:r w:rsidR="00ED66B4" w:rsidRPr="00ED66B4">
              <w:rPr>
                <w:rFonts w:ascii="標楷體" w:eastAsia="標楷體" w:hAnsi="標楷體" w:cs="Times New Roman" w:hint="eastAsia"/>
                <w:sz w:val="28"/>
              </w:rPr>
              <w:t>若無法取得前一小目之文件、資料或資訊，可向客戶取得獨立可靠之文件，例如經會計師</w:t>
            </w:r>
            <w:r w:rsidR="00ED66B4" w:rsidRPr="00ED66B4">
              <w:rPr>
                <w:rFonts w:ascii="標楷體" w:eastAsia="標楷體" w:hAnsi="標楷體" w:cs="Times New Roman" w:hint="eastAsia"/>
                <w:sz w:val="28"/>
              </w:rPr>
              <w:lastRenderedPageBreak/>
              <w:t>查核簽證之年報。</w:t>
            </w:r>
          </w:p>
          <w:p w14:paraId="5AE2246B" w14:textId="77777777" w:rsidR="00095A12" w:rsidRDefault="00095A12" w:rsidP="005D34CF">
            <w:pPr>
              <w:spacing w:line="480" w:lineRule="exact"/>
              <w:ind w:leftChars="400" w:left="960"/>
              <w:jc w:val="both"/>
              <w:rPr>
                <w:rFonts w:ascii="標楷體" w:eastAsia="標楷體" w:hAnsi="標楷體" w:cs="Times New Roman"/>
                <w:sz w:val="28"/>
              </w:rPr>
            </w:pPr>
            <w:r>
              <w:rPr>
                <w:rFonts w:ascii="標楷體" w:eastAsia="標楷體" w:hAnsi="標楷體" w:cs="Times New Roman" w:hint="eastAsia"/>
                <w:sz w:val="28"/>
              </w:rPr>
              <w:t>(3)</w:t>
            </w:r>
            <w:r w:rsidR="00ED66B4" w:rsidRPr="00ED66B4">
              <w:rPr>
                <w:rFonts w:ascii="標楷體" w:eastAsia="標楷體" w:hAnsi="標楷體" w:cs="Times New Roman" w:hint="eastAsia"/>
                <w:sz w:val="28"/>
              </w:rPr>
              <w:t>若無法取得前二小目之文件、資料或資訊，可請客戶出具董事會議事錄、分層負責表或其他可供辨識實質受益人但非屬聲明書性質之文件。</w:t>
            </w:r>
          </w:p>
          <w:p w14:paraId="309BFF2E" w14:textId="77777777" w:rsidR="00F5337B" w:rsidRDefault="00095A12" w:rsidP="005D34CF">
            <w:pPr>
              <w:spacing w:line="480" w:lineRule="exact"/>
              <w:ind w:leftChars="400" w:left="960"/>
              <w:jc w:val="both"/>
              <w:rPr>
                <w:rFonts w:ascii="標楷體" w:eastAsia="標楷體" w:hAnsi="標楷體" w:cs="Times New Roman"/>
                <w:sz w:val="28"/>
              </w:rPr>
            </w:pPr>
            <w:r>
              <w:rPr>
                <w:rFonts w:ascii="標楷體" w:eastAsia="標楷體" w:hAnsi="標楷體" w:cs="Times New Roman" w:hint="eastAsia"/>
                <w:sz w:val="28"/>
              </w:rPr>
              <w:t>(4)</w:t>
            </w:r>
            <w:r w:rsidR="00ED66B4" w:rsidRPr="00ED66B4">
              <w:rPr>
                <w:rFonts w:ascii="標楷體" w:eastAsia="標楷體" w:hAnsi="標楷體" w:cs="Times New Roman" w:hint="eastAsia"/>
                <w:sz w:val="28"/>
              </w:rPr>
              <w:t>若無法取得前三小目之文件、資料或資訊，得採取客戶提供之聲明書辨識實質受益人身分。</w:t>
            </w:r>
          </w:p>
          <w:p w14:paraId="6B99472C" w14:textId="77777777" w:rsidR="00F5337B" w:rsidRDefault="00F5337B" w:rsidP="005D34CF">
            <w:pPr>
              <w:spacing w:line="480" w:lineRule="exact"/>
              <w:ind w:leftChars="260" w:left="988" w:hangingChars="130" w:hanging="364"/>
              <w:jc w:val="both"/>
              <w:rPr>
                <w:rFonts w:ascii="標楷體" w:eastAsia="標楷體" w:hAnsi="標楷體" w:cs="Times New Roman"/>
                <w:sz w:val="28"/>
              </w:rPr>
            </w:pPr>
            <w:r>
              <w:rPr>
                <w:rFonts w:ascii="標楷體" w:eastAsia="標楷體" w:hAnsi="標楷體" w:cs="Times New Roman" w:hint="eastAsia"/>
                <w:sz w:val="28"/>
              </w:rPr>
              <w:t>2、</w:t>
            </w:r>
            <w:r w:rsidR="00ED66B4" w:rsidRPr="00ED66B4">
              <w:rPr>
                <w:rFonts w:ascii="標楷體" w:eastAsia="標楷體" w:hAnsi="標楷體" w:cs="Times New Roman" w:hint="eastAsia"/>
                <w:sz w:val="28"/>
              </w:rPr>
              <w:t>客戶提供之聲明書至少應記載</w:t>
            </w:r>
            <w:r w:rsidR="00ED66B4" w:rsidRPr="00ED66B4">
              <w:rPr>
                <w:rFonts w:ascii="標楷體" w:eastAsia="標楷體" w:hAnsi="標楷體" w:cs="Times New Roman" w:hint="eastAsia"/>
                <w:bCs/>
                <w:kern w:val="0"/>
                <w:sz w:val="28"/>
              </w:rPr>
              <w:t>具控制權之最終自然人</w:t>
            </w:r>
            <w:r w:rsidR="00ED66B4" w:rsidRPr="00ED66B4">
              <w:rPr>
                <w:rFonts w:ascii="標楷體" w:eastAsia="標楷體" w:hAnsi="標楷體" w:cs="Times New Roman" w:hint="eastAsia"/>
                <w:sz w:val="28"/>
              </w:rPr>
              <w:t>之姓名、生日、國籍及身分證明文件號碼</w:t>
            </w:r>
            <w:r w:rsidR="00ED66B4" w:rsidRPr="00ED66B4">
              <w:rPr>
                <w:rFonts w:ascii="標楷體" w:eastAsia="標楷體" w:hAnsi="標楷體" w:cs="Times New Roman"/>
                <w:sz w:val="28"/>
                <w:vertAlign w:val="superscript"/>
              </w:rPr>
              <w:footnoteReference w:id="14"/>
            </w:r>
            <w:r w:rsidR="00ED66B4" w:rsidRPr="00ED66B4">
              <w:rPr>
                <w:rFonts w:ascii="標楷體" w:eastAsia="標楷體" w:hAnsi="標楷體" w:cs="Times New Roman" w:hint="eastAsia"/>
                <w:sz w:val="28"/>
              </w:rPr>
              <w:t>。</w:t>
            </w:r>
          </w:p>
          <w:p w14:paraId="724C5D6A" w14:textId="77777777" w:rsidR="00F5337B" w:rsidRDefault="00F5337B" w:rsidP="005D34CF">
            <w:pPr>
              <w:spacing w:line="480" w:lineRule="exact"/>
              <w:ind w:leftChars="260" w:left="988" w:hangingChars="130" w:hanging="364"/>
              <w:jc w:val="both"/>
              <w:rPr>
                <w:rFonts w:ascii="標楷體" w:eastAsia="標楷體" w:hAnsi="標楷體" w:cs="Times New Roman"/>
                <w:sz w:val="28"/>
              </w:rPr>
            </w:pPr>
            <w:r>
              <w:rPr>
                <w:rFonts w:ascii="標楷體" w:eastAsia="標楷體" w:hAnsi="標楷體" w:cs="Times New Roman" w:hint="eastAsia"/>
                <w:sz w:val="28"/>
              </w:rPr>
              <w:t>3、</w:t>
            </w:r>
            <w:r w:rsidR="00ED66B4" w:rsidRPr="00ED66B4">
              <w:rPr>
                <w:rFonts w:ascii="標楷體" w:eastAsia="標楷體" w:hAnsi="標楷體" w:cs="Times New Roman" w:hint="eastAsia"/>
                <w:sz w:val="28"/>
              </w:rPr>
              <w:t>投信投顧事業就客戶提供之聲明書內容，仍應依現行規範</w:t>
            </w:r>
            <w:r w:rsidR="00BC3B3B">
              <w:rPr>
                <w:rStyle w:val="a4"/>
                <w:rFonts w:ascii="標楷體" w:eastAsia="標楷體" w:hAnsi="標楷體" w:cs="Times New Roman"/>
                <w:sz w:val="28"/>
              </w:rPr>
              <w:footnoteReference w:id="15"/>
            </w:r>
            <w:r w:rsidR="00ED66B4" w:rsidRPr="00ED66B4">
              <w:rPr>
                <w:rFonts w:ascii="標楷體" w:eastAsia="標楷體" w:hAnsi="標楷體" w:cs="Times New Roman" w:hint="eastAsia"/>
                <w:sz w:val="28"/>
              </w:rPr>
              <w:t>及內部風險考量辦理驗證作業。</w:t>
            </w:r>
          </w:p>
          <w:p w14:paraId="76A8A437" w14:textId="77777777" w:rsidR="00ED66B4" w:rsidRPr="00BC3B3B" w:rsidRDefault="00F5337B" w:rsidP="00BC3B3B">
            <w:pPr>
              <w:spacing w:line="480" w:lineRule="exact"/>
              <w:ind w:leftChars="260" w:left="988" w:hangingChars="130" w:hanging="364"/>
              <w:jc w:val="both"/>
              <w:rPr>
                <w:rFonts w:ascii="標楷體" w:eastAsia="標楷體" w:hAnsi="標楷體" w:cs="Times New Roman"/>
                <w:sz w:val="28"/>
              </w:rPr>
            </w:pPr>
            <w:r>
              <w:rPr>
                <w:rFonts w:ascii="標楷體" w:eastAsia="標楷體" w:hAnsi="標楷體" w:cs="Times New Roman" w:hint="eastAsia"/>
                <w:sz w:val="28"/>
              </w:rPr>
              <w:t>4、</w:t>
            </w:r>
            <w:r w:rsidR="00ED66B4" w:rsidRPr="00ED66B4">
              <w:rPr>
                <w:rFonts w:ascii="標楷體" w:eastAsia="標楷體" w:hAnsi="標楷體" w:cs="Times New Roman" w:hint="eastAsia"/>
                <w:sz w:val="28"/>
              </w:rPr>
              <w:t>若投信投顧事業知悉上開聲明書所載人士並非實質受益人，或知悉客戶發生實質受益人變更之情事（例如原實質受益人身故或客戶發生</w:t>
            </w:r>
            <w:proofErr w:type="gramStart"/>
            <w:r w:rsidR="00ED66B4" w:rsidRPr="00ED66B4">
              <w:rPr>
                <w:rFonts w:ascii="標楷體" w:eastAsia="標楷體" w:hAnsi="標楷體" w:cs="Times New Roman" w:hint="eastAsia"/>
                <w:sz w:val="28"/>
              </w:rPr>
              <w:t>併</w:t>
            </w:r>
            <w:proofErr w:type="gramEnd"/>
            <w:r w:rsidR="00ED66B4" w:rsidRPr="00ED66B4">
              <w:rPr>
                <w:rFonts w:ascii="標楷體" w:eastAsia="標楷體" w:hAnsi="標楷體" w:cs="Times New Roman" w:hint="eastAsia"/>
                <w:sz w:val="28"/>
              </w:rPr>
              <w:t>購或被</w:t>
            </w:r>
            <w:proofErr w:type="gramStart"/>
            <w:r w:rsidR="00ED66B4" w:rsidRPr="00ED66B4">
              <w:rPr>
                <w:rFonts w:ascii="標楷體" w:eastAsia="標楷體" w:hAnsi="標楷體" w:cs="Times New Roman" w:hint="eastAsia"/>
                <w:sz w:val="28"/>
              </w:rPr>
              <w:t>併</w:t>
            </w:r>
            <w:proofErr w:type="gramEnd"/>
            <w:r w:rsidR="00ED66B4" w:rsidRPr="00ED66B4">
              <w:rPr>
                <w:rFonts w:ascii="標楷體" w:eastAsia="標楷體" w:hAnsi="標楷體" w:cs="Times New Roman" w:hint="eastAsia"/>
                <w:sz w:val="28"/>
              </w:rPr>
              <w:t>購），應即檢視聲明書之正確性。</w:t>
            </w:r>
          </w:p>
        </w:tc>
        <w:tc>
          <w:tcPr>
            <w:tcW w:w="5033" w:type="dxa"/>
          </w:tcPr>
          <w:p w14:paraId="3EB0C3CC" w14:textId="77777777" w:rsidR="00ED66B4" w:rsidRPr="00ED66B4" w:rsidRDefault="00ED66B4" w:rsidP="00ED66B4">
            <w:pPr>
              <w:spacing w:line="480" w:lineRule="exact"/>
              <w:jc w:val="both"/>
              <w:rPr>
                <w:rFonts w:ascii="標楷體" w:eastAsia="標楷體" w:hAnsi="標楷體"/>
              </w:rPr>
            </w:pPr>
            <w:r w:rsidRPr="00ED66B4">
              <w:rPr>
                <w:rFonts w:ascii="標楷體" w:eastAsia="標楷體" w:hAnsi="標楷體" w:hint="eastAsia"/>
                <w:sz w:val="28"/>
                <w:szCs w:val="28"/>
              </w:rPr>
              <w:lastRenderedPageBreak/>
              <w:t>客戶為法人或團體時，</w:t>
            </w:r>
            <w:r w:rsidRPr="00ED66B4">
              <w:rPr>
                <w:rFonts w:ascii="標楷體" w:eastAsia="標楷體" w:hAnsi="標楷體"/>
                <w:sz w:val="28"/>
                <w:szCs w:val="28"/>
              </w:rPr>
              <w:t>參考金融機構防制洗錢辦法第</w:t>
            </w:r>
            <w:r w:rsidRPr="00ED66B4">
              <w:rPr>
                <w:rFonts w:ascii="標楷體" w:eastAsia="標楷體" w:hAnsi="標楷體" w:hint="eastAsia"/>
                <w:sz w:val="28"/>
                <w:szCs w:val="28"/>
              </w:rPr>
              <w:t>3條第7款第1目規定，爰新增三（一）辨識實質受益人程序；關於無記名股東或</w:t>
            </w:r>
            <w:r w:rsidR="009A69B9">
              <w:rPr>
                <w:rFonts w:ascii="標楷體" w:eastAsia="標楷體" w:hAnsi="標楷體" w:hint="eastAsia"/>
                <w:sz w:val="28"/>
                <w:szCs w:val="28"/>
              </w:rPr>
              <w:t>隱</w:t>
            </w:r>
            <w:r w:rsidRPr="00ED66B4">
              <w:rPr>
                <w:rFonts w:ascii="標楷體" w:eastAsia="標楷體" w:hAnsi="標楷體" w:hint="eastAsia"/>
                <w:sz w:val="28"/>
                <w:szCs w:val="28"/>
              </w:rPr>
              <w:t>名股東之實質受益人審查，參考本公會</w:t>
            </w:r>
            <w:r w:rsidRPr="00ED66B4">
              <w:rPr>
                <w:rFonts w:ascii="標楷體" w:eastAsia="標楷體" w:hAnsi="標楷體"/>
                <w:sz w:val="28"/>
                <w:szCs w:val="28"/>
              </w:rPr>
              <w:t>防制洗錢及打擊資恐注意事項範本第4條</w:t>
            </w:r>
            <w:r w:rsidRPr="00ED66B4">
              <w:rPr>
                <w:rFonts w:ascii="標楷體" w:eastAsia="標楷體" w:hAnsi="標楷體" w:hint="eastAsia"/>
                <w:sz w:val="28"/>
                <w:szCs w:val="28"/>
              </w:rPr>
              <w:t>第12款及FATF於1</w:t>
            </w:r>
            <w:r w:rsidRPr="00ED66B4">
              <w:rPr>
                <w:rFonts w:ascii="標楷體" w:eastAsia="標楷體" w:hAnsi="標楷體"/>
                <w:sz w:val="28"/>
                <w:szCs w:val="28"/>
              </w:rPr>
              <w:t>07</w:t>
            </w:r>
            <w:r w:rsidRPr="00ED66B4">
              <w:rPr>
                <w:rFonts w:ascii="標楷體" w:eastAsia="標楷體" w:hAnsi="標楷體" w:hint="eastAsia"/>
                <w:sz w:val="28"/>
                <w:szCs w:val="28"/>
              </w:rPr>
              <w:t>年7月發布之</w:t>
            </w:r>
            <w:r w:rsidRPr="00ED66B4">
              <w:rPr>
                <w:rFonts w:ascii="標楷體" w:eastAsia="標楷體" w:hAnsi="標楷體"/>
                <w:sz w:val="28"/>
                <w:szCs w:val="28"/>
              </w:rPr>
              <w:t>「Concealment of Beneficial Ownership</w:t>
            </w:r>
            <w:r w:rsidRPr="00ED66B4">
              <w:rPr>
                <w:rFonts w:ascii="標楷體" w:eastAsia="標楷體" w:hAnsi="標楷體" w:hint="eastAsia"/>
                <w:sz w:val="28"/>
                <w:szCs w:val="28"/>
              </w:rPr>
              <w:t>」第52段及85段說明</w:t>
            </w:r>
            <w:r w:rsidRPr="00ED66B4">
              <w:rPr>
                <w:rFonts w:ascii="標楷體" w:eastAsia="標楷體" w:hAnsi="標楷體"/>
                <w:sz w:val="28"/>
                <w:szCs w:val="28"/>
              </w:rPr>
              <w:t>，爰新增三</w:t>
            </w:r>
            <w:r w:rsidRPr="00ED66B4">
              <w:rPr>
                <w:rFonts w:ascii="標楷體" w:eastAsia="標楷體" w:hAnsi="標楷體" w:hint="eastAsia"/>
                <w:sz w:val="28"/>
                <w:szCs w:val="28"/>
              </w:rPr>
              <w:t>（二）辨識實質受益人程序；有關聲明書之使用，須具備一定記載，例如具控制權之最終自然人之姓名、生日、國籍及身分證明文件號碼，又於無法依法定程序向客戶取得文件、資料或資訊時，始得使用聲明書，爰新增三（三）規定。</w:t>
            </w:r>
          </w:p>
        </w:tc>
      </w:tr>
      <w:tr w:rsidR="00ED66B4" w:rsidRPr="00ED66B4" w14:paraId="434B996D" w14:textId="77777777" w:rsidTr="00ED66B4">
        <w:trPr>
          <w:trHeight w:val="505"/>
        </w:trPr>
        <w:tc>
          <w:tcPr>
            <w:tcW w:w="5032" w:type="dxa"/>
          </w:tcPr>
          <w:p w14:paraId="211ABBA4" w14:textId="77777777" w:rsidR="00ED66B4" w:rsidRPr="00ED66B4" w:rsidRDefault="00ED66B4" w:rsidP="00ED66B4">
            <w:pPr>
              <w:numPr>
                <w:ilvl w:val="0"/>
                <w:numId w:val="1"/>
              </w:numPr>
              <w:ind w:left="567" w:hanging="567"/>
              <w:jc w:val="both"/>
              <w:rPr>
                <w:rFonts w:ascii="標楷體" w:eastAsia="標楷體" w:hAnsi="標楷體" w:cs="Times New Roman"/>
                <w:sz w:val="28"/>
              </w:rPr>
            </w:pPr>
            <w:r w:rsidRPr="00ED66B4">
              <w:rPr>
                <w:rFonts w:ascii="標楷體" w:eastAsia="標楷體" w:hAnsi="標楷體" w:cs="Times New Roman" w:hint="eastAsia"/>
                <w:sz w:val="28"/>
              </w:rPr>
              <w:lastRenderedPageBreak/>
              <w:t>資訊更新</w:t>
            </w:r>
          </w:p>
        </w:tc>
        <w:tc>
          <w:tcPr>
            <w:tcW w:w="5033" w:type="dxa"/>
          </w:tcPr>
          <w:p w14:paraId="199D517B" w14:textId="77777777" w:rsidR="00ED66B4" w:rsidRPr="00ED66B4" w:rsidRDefault="008E05C2" w:rsidP="008E05C2">
            <w:pPr>
              <w:jc w:val="center"/>
              <w:rPr>
                <w:rFonts w:ascii="標楷體" w:eastAsia="標楷體" w:hAnsi="標楷體"/>
              </w:rPr>
            </w:pPr>
            <w:r w:rsidRPr="008E05C2">
              <w:rPr>
                <w:rFonts w:ascii="標楷體" w:eastAsia="標楷體" w:hAnsi="標楷體" w:hint="eastAsia"/>
                <w:sz w:val="28"/>
                <w:szCs w:val="28"/>
              </w:rPr>
              <w:t>說明</w:t>
            </w:r>
          </w:p>
        </w:tc>
      </w:tr>
      <w:tr w:rsidR="00ED66B4" w:rsidRPr="00ED66B4" w14:paraId="01341D3D" w14:textId="77777777" w:rsidTr="00ED66B4">
        <w:trPr>
          <w:trHeight w:val="1339"/>
        </w:trPr>
        <w:tc>
          <w:tcPr>
            <w:tcW w:w="5032" w:type="dxa"/>
          </w:tcPr>
          <w:p w14:paraId="4649B7D9" w14:textId="77777777" w:rsidR="005D34CF" w:rsidRDefault="00ED66B4" w:rsidP="005D34CF">
            <w:pPr>
              <w:numPr>
                <w:ilvl w:val="0"/>
                <w:numId w:val="8"/>
              </w:numPr>
              <w:pBdr>
                <w:top w:val="nil"/>
                <w:left w:val="nil"/>
                <w:bottom w:val="nil"/>
                <w:right w:val="nil"/>
                <w:between w:val="nil"/>
                <w:bar w:val="nil"/>
              </w:pBdr>
              <w:spacing w:line="480" w:lineRule="exact"/>
              <w:ind w:left="604" w:hanging="624"/>
              <w:jc w:val="both"/>
              <w:rPr>
                <w:rFonts w:ascii="標楷體" w:eastAsia="標楷體" w:hAnsi="標楷體" w:cs="Times New Roman"/>
                <w:sz w:val="28"/>
              </w:rPr>
            </w:pPr>
            <w:r w:rsidRPr="00ED66B4">
              <w:rPr>
                <w:rFonts w:ascii="標楷體" w:eastAsia="標楷體" w:hAnsi="標楷體" w:cs="Times New Roman" w:hint="eastAsia"/>
                <w:sz w:val="28"/>
              </w:rPr>
              <w:t>投信投顧事業辦理持續審查時，得考量實質受益人資訊異動幅度，重</w:t>
            </w:r>
            <w:r w:rsidRPr="00ED66B4">
              <w:rPr>
                <w:rFonts w:ascii="標楷體" w:eastAsia="標楷體" w:hAnsi="標楷體" w:cs="Times New Roman" w:hint="eastAsia"/>
                <w:sz w:val="28"/>
              </w:rPr>
              <w:lastRenderedPageBreak/>
              <w:t>新取得實質受益人之相關資訊。例如</w:t>
            </w:r>
            <w:r w:rsidRPr="00ED66B4">
              <w:rPr>
                <w:rFonts w:ascii="標楷體" w:eastAsia="標楷體" w:hAnsi="標楷體" w:cs="Times New Roman"/>
                <w:sz w:val="28"/>
                <w:vertAlign w:val="superscript"/>
              </w:rPr>
              <w:footnoteReference w:id="16"/>
            </w:r>
            <w:r w:rsidRPr="00ED66B4">
              <w:rPr>
                <w:rFonts w:ascii="標楷體" w:eastAsia="標楷體" w:hAnsi="標楷體" w:cs="Times New Roman" w:hint="eastAsia"/>
                <w:sz w:val="28"/>
              </w:rPr>
              <w:t>：</w:t>
            </w:r>
          </w:p>
          <w:p w14:paraId="151EE417" w14:textId="77777777" w:rsidR="005D34CF" w:rsidRDefault="005D34CF" w:rsidP="005D34CF">
            <w:pPr>
              <w:pBdr>
                <w:top w:val="nil"/>
                <w:left w:val="nil"/>
                <w:bottom w:val="nil"/>
                <w:right w:val="nil"/>
                <w:between w:val="nil"/>
                <w:bar w:val="nil"/>
              </w:pBdr>
              <w:spacing w:line="480" w:lineRule="exact"/>
              <w:ind w:leftChars="260" w:left="988" w:hangingChars="130" w:hanging="364"/>
              <w:jc w:val="both"/>
              <w:rPr>
                <w:rFonts w:ascii="標楷體" w:eastAsia="標楷體" w:hAnsi="標楷體" w:cs="Times New Roman"/>
                <w:sz w:val="28"/>
              </w:rPr>
            </w:pPr>
            <w:r>
              <w:rPr>
                <w:rFonts w:ascii="標楷體" w:eastAsia="標楷體" w:hAnsi="標楷體" w:cs="Arial" w:hint="eastAsia"/>
                <w:sz w:val="28"/>
                <w:szCs w:val="23"/>
              </w:rPr>
              <w:t>1、</w:t>
            </w:r>
            <w:r w:rsidR="00ED66B4" w:rsidRPr="00ED66B4">
              <w:rPr>
                <w:rFonts w:ascii="標楷體" w:eastAsia="標楷體" w:hAnsi="標楷體" w:cs="Arial" w:hint="eastAsia"/>
                <w:sz w:val="28"/>
                <w:szCs w:val="23"/>
              </w:rPr>
              <w:t>實質受益人異動時：投信投顧事業應取得辨識新實質受益人所需之完整資訊。</w:t>
            </w:r>
          </w:p>
          <w:p w14:paraId="5D20FB2E" w14:textId="77777777" w:rsidR="00ED66B4" w:rsidRPr="00ED66B4" w:rsidRDefault="005D34CF" w:rsidP="005D34CF">
            <w:pPr>
              <w:pBdr>
                <w:top w:val="nil"/>
                <w:left w:val="nil"/>
                <w:bottom w:val="nil"/>
                <w:right w:val="nil"/>
                <w:between w:val="nil"/>
                <w:bar w:val="nil"/>
              </w:pBdr>
              <w:spacing w:line="480" w:lineRule="exact"/>
              <w:ind w:leftChars="260" w:left="988" w:hangingChars="130" w:hanging="364"/>
              <w:jc w:val="both"/>
              <w:rPr>
                <w:rFonts w:ascii="標楷體" w:eastAsia="標楷體" w:hAnsi="標楷體" w:cs="Times New Roman"/>
                <w:sz w:val="28"/>
              </w:rPr>
            </w:pPr>
            <w:r>
              <w:rPr>
                <w:rFonts w:ascii="標楷體" w:eastAsia="標楷體" w:hAnsi="標楷體" w:cs="Arial" w:hint="eastAsia"/>
                <w:sz w:val="28"/>
                <w:szCs w:val="23"/>
              </w:rPr>
              <w:t>2、</w:t>
            </w:r>
            <w:r w:rsidR="00ED66B4" w:rsidRPr="00ED66B4" w:rsidDel="001F4827">
              <w:rPr>
                <w:rFonts w:ascii="標楷體" w:eastAsia="標楷體" w:hAnsi="標楷體" w:cs="Arial" w:hint="eastAsia"/>
                <w:sz w:val="28"/>
                <w:szCs w:val="23"/>
              </w:rPr>
              <w:t>實質受益人身分未異動，</w:t>
            </w:r>
            <w:r w:rsidR="00ED66B4" w:rsidRPr="00ED66B4">
              <w:rPr>
                <w:rFonts w:ascii="標楷體" w:eastAsia="標楷體" w:hAnsi="標楷體" w:cs="Arial" w:hint="eastAsia"/>
                <w:sz w:val="28"/>
                <w:szCs w:val="23"/>
              </w:rPr>
              <w:t>若該實質受益人</w:t>
            </w:r>
            <w:r w:rsidR="00ED66B4" w:rsidRPr="00ED66B4" w:rsidDel="001F4827">
              <w:rPr>
                <w:rFonts w:ascii="標楷體" w:eastAsia="標楷體" w:hAnsi="標楷體" w:cs="Arial" w:hint="eastAsia"/>
                <w:sz w:val="28"/>
                <w:szCs w:val="23"/>
              </w:rPr>
              <w:t>僅部分資訊異動</w:t>
            </w:r>
            <w:r w:rsidR="00ED66B4" w:rsidRPr="00ED66B4">
              <w:rPr>
                <w:rFonts w:ascii="標楷體" w:eastAsia="標楷體" w:hAnsi="標楷體" w:cs="Arial" w:hint="eastAsia"/>
                <w:sz w:val="28"/>
                <w:szCs w:val="23"/>
              </w:rPr>
              <w:t>時</w:t>
            </w:r>
            <w:r w:rsidR="00ED66B4" w:rsidRPr="00ED66B4" w:rsidDel="001F4827">
              <w:rPr>
                <w:rFonts w:ascii="標楷體" w:eastAsia="標楷體" w:hAnsi="標楷體" w:cs="Arial" w:hint="eastAsia"/>
                <w:sz w:val="28"/>
                <w:szCs w:val="23"/>
              </w:rPr>
              <w:t>：</w:t>
            </w:r>
            <w:r w:rsidR="00ED66B4" w:rsidRPr="00ED66B4">
              <w:rPr>
                <w:rFonts w:ascii="標楷體" w:eastAsia="標楷體" w:hAnsi="標楷體" w:cs="Arial" w:hint="eastAsia"/>
                <w:sz w:val="28"/>
                <w:szCs w:val="23"/>
              </w:rPr>
              <w:t>投信投顧事業</w:t>
            </w:r>
            <w:r w:rsidR="00ED66B4" w:rsidRPr="00ED66B4" w:rsidDel="001F4827">
              <w:rPr>
                <w:rFonts w:ascii="標楷體" w:eastAsia="標楷體" w:hAnsi="標楷體" w:cs="Arial" w:hint="eastAsia"/>
                <w:sz w:val="28"/>
                <w:szCs w:val="23"/>
              </w:rPr>
              <w:t>應就異動項目取得最新資訊。</w:t>
            </w:r>
          </w:p>
          <w:p w14:paraId="5550EFB9" w14:textId="77777777" w:rsidR="00ED66B4" w:rsidRPr="00ED66B4" w:rsidRDefault="00ED66B4" w:rsidP="00ED66B4">
            <w:pPr>
              <w:numPr>
                <w:ilvl w:val="0"/>
                <w:numId w:val="8"/>
              </w:numPr>
              <w:pBdr>
                <w:top w:val="nil"/>
                <w:left w:val="nil"/>
                <w:bottom w:val="nil"/>
                <w:right w:val="nil"/>
                <w:between w:val="nil"/>
                <w:bar w:val="nil"/>
              </w:pBdr>
              <w:spacing w:line="480" w:lineRule="exact"/>
              <w:ind w:left="604" w:hanging="624"/>
              <w:jc w:val="both"/>
              <w:rPr>
                <w:rFonts w:ascii="標楷體" w:eastAsia="標楷體" w:hAnsi="標楷體" w:cs="Arial"/>
                <w:sz w:val="28"/>
                <w:szCs w:val="23"/>
              </w:rPr>
            </w:pPr>
            <w:r w:rsidRPr="00ED66B4">
              <w:rPr>
                <w:rFonts w:ascii="標楷體" w:eastAsia="標楷體" w:hAnsi="標楷體" w:cs="Arial" w:hint="eastAsia"/>
                <w:sz w:val="28"/>
                <w:szCs w:val="23"/>
              </w:rPr>
              <w:t>投信投顧事業亦得基於風險考量，視需要全面更新所有實質受益人資訊。</w:t>
            </w:r>
          </w:p>
          <w:p w14:paraId="1D096826" w14:textId="77777777" w:rsidR="00ED66B4" w:rsidRPr="009E77D5" w:rsidRDefault="00ED66B4" w:rsidP="00ED66B4">
            <w:pPr>
              <w:numPr>
                <w:ilvl w:val="0"/>
                <w:numId w:val="8"/>
              </w:numPr>
              <w:pBdr>
                <w:top w:val="nil"/>
                <w:left w:val="nil"/>
                <w:bottom w:val="nil"/>
                <w:right w:val="nil"/>
                <w:between w:val="nil"/>
                <w:bar w:val="nil"/>
              </w:pBdr>
              <w:spacing w:afterLines="50" w:after="180" w:line="480" w:lineRule="exact"/>
              <w:ind w:left="604" w:hanging="624"/>
              <w:jc w:val="both"/>
              <w:rPr>
                <w:rFonts w:ascii="標楷體" w:eastAsia="標楷體" w:hAnsi="標楷體" w:cs="Times New Roman"/>
                <w:sz w:val="28"/>
              </w:rPr>
            </w:pPr>
            <w:r w:rsidRPr="00ED66B4">
              <w:rPr>
                <w:rFonts w:ascii="標楷體" w:eastAsia="標楷體" w:hAnsi="標楷體" w:cs="Arial" w:hint="eastAsia"/>
                <w:sz w:val="28"/>
                <w:szCs w:val="23"/>
              </w:rPr>
              <w:t>投信投顧事業於辦理客戶定期審查或風險評估資料之取得或更新作業時，對於符合一定條件之低風險客戶，得採取簡化措施</w:t>
            </w:r>
            <w:r w:rsidR="00D5570F">
              <w:rPr>
                <w:rStyle w:val="a4"/>
                <w:rFonts w:ascii="標楷體" w:eastAsia="標楷體" w:hAnsi="標楷體" w:cs="Arial"/>
                <w:sz w:val="28"/>
                <w:szCs w:val="23"/>
              </w:rPr>
              <w:footnoteReference w:id="17"/>
            </w:r>
            <w:r w:rsidRPr="00ED66B4">
              <w:rPr>
                <w:rFonts w:ascii="標楷體" w:eastAsia="標楷體" w:hAnsi="標楷體" w:cs="Arial" w:hint="eastAsia"/>
                <w:sz w:val="28"/>
                <w:szCs w:val="23"/>
              </w:rPr>
              <w:t>。</w:t>
            </w:r>
          </w:p>
        </w:tc>
        <w:tc>
          <w:tcPr>
            <w:tcW w:w="5033" w:type="dxa"/>
          </w:tcPr>
          <w:p w14:paraId="0CED286A" w14:textId="77777777" w:rsidR="00ED66B4" w:rsidRPr="00ED66B4" w:rsidRDefault="00ED66B4" w:rsidP="00AF25A4">
            <w:pPr>
              <w:spacing w:line="480" w:lineRule="exact"/>
              <w:jc w:val="both"/>
            </w:pPr>
            <w:r w:rsidRPr="00AF25A4">
              <w:rPr>
                <w:rFonts w:ascii="標楷體" w:eastAsia="標楷體" w:hAnsi="標楷體"/>
                <w:sz w:val="28"/>
                <w:szCs w:val="28"/>
              </w:rPr>
              <w:lastRenderedPageBreak/>
              <w:t>參考金融機構防制洗錢辦法第</w:t>
            </w:r>
            <w:r w:rsidRPr="00AF25A4">
              <w:rPr>
                <w:rFonts w:ascii="標楷體" w:eastAsia="標楷體" w:hAnsi="標楷體" w:hint="eastAsia"/>
                <w:sz w:val="28"/>
                <w:szCs w:val="28"/>
              </w:rPr>
              <w:t>5條第4款規定及美國FINCEN於107年4月發布</w:t>
            </w:r>
            <w:r w:rsidRPr="00AF25A4">
              <w:rPr>
                <w:rFonts w:ascii="標楷體" w:eastAsia="標楷體" w:hAnsi="標楷體" w:hint="eastAsia"/>
                <w:sz w:val="28"/>
                <w:szCs w:val="28"/>
              </w:rPr>
              <w:lastRenderedPageBreak/>
              <w:t>之「</w:t>
            </w:r>
            <w:r w:rsidRPr="00AF25A4">
              <w:rPr>
                <w:rFonts w:ascii="標楷體" w:eastAsia="標楷體" w:hAnsi="標楷體"/>
                <w:sz w:val="28"/>
                <w:szCs w:val="28"/>
              </w:rPr>
              <w:t>Frequently Asked Questions Regarding Customer Due Diligence Requirements for Financial Institutions</w:t>
            </w:r>
            <w:r w:rsidRPr="00AF25A4">
              <w:rPr>
                <w:rFonts w:ascii="標楷體" w:eastAsia="標楷體" w:hAnsi="標楷體" w:hint="eastAsia"/>
                <w:sz w:val="28"/>
                <w:szCs w:val="28"/>
              </w:rPr>
              <w:t>」第</w:t>
            </w:r>
            <w:r w:rsidRPr="00AF25A4">
              <w:rPr>
                <w:rFonts w:ascii="標楷體" w:eastAsia="標楷體" w:hAnsi="標楷體"/>
                <w:sz w:val="28"/>
                <w:szCs w:val="28"/>
              </w:rPr>
              <w:t>12及14</w:t>
            </w:r>
            <w:proofErr w:type="gramStart"/>
            <w:r w:rsidRPr="00AF25A4">
              <w:rPr>
                <w:rFonts w:ascii="標楷體" w:eastAsia="標楷體" w:hAnsi="標楷體" w:hint="eastAsia"/>
                <w:sz w:val="28"/>
                <w:szCs w:val="28"/>
              </w:rPr>
              <w:t>題問</w:t>
            </w:r>
            <w:proofErr w:type="gramEnd"/>
            <w:r w:rsidRPr="00AF25A4">
              <w:rPr>
                <w:rFonts w:ascii="標楷體" w:eastAsia="標楷體" w:hAnsi="標楷體" w:hint="eastAsia"/>
                <w:sz w:val="28"/>
                <w:szCs w:val="28"/>
              </w:rPr>
              <w:t>答，金融機構對客戶身分與驗證程序，應取得客戶資訊，資訊須完整且最新並視需要更新資訊，</w:t>
            </w:r>
            <w:proofErr w:type="gramStart"/>
            <w:r w:rsidRPr="00AF25A4">
              <w:rPr>
                <w:rFonts w:ascii="標楷體" w:eastAsia="標楷體" w:hAnsi="標楷體" w:hint="eastAsia"/>
                <w:sz w:val="28"/>
                <w:szCs w:val="28"/>
              </w:rPr>
              <w:t>爰</w:t>
            </w:r>
            <w:proofErr w:type="gramEnd"/>
            <w:r w:rsidRPr="00AF25A4">
              <w:rPr>
                <w:rFonts w:ascii="標楷體" w:eastAsia="標楷體" w:hAnsi="標楷體" w:hint="eastAsia"/>
                <w:sz w:val="28"/>
                <w:szCs w:val="28"/>
              </w:rPr>
              <w:t>增訂本條規定。</w:t>
            </w:r>
          </w:p>
        </w:tc>
      </w:tr>
      <w:tr w:rsidR="00ED66B4" w:rsidRPr="00ED66B4" w14:paraId="79579AF5" w14:textId="77777777" w:rsidTr="00ED66B4">
        <w:trPr>
          <w:trHeight w:val="488"/>
        </w:trPr>
        <w:tc>
          <w:tcPr>
            <w:tcW w:w="5032" w:type="dxa"/>
          </w:tcPr>
          <w:p w14:paraId="47525F83" w14:textId="77777777" w:rsidR="00ED66B4" w:rsidRPr="00ED66B4" w:rsidRDefault="00ED66B4" w:rsidP="00ED66B4">
            <w:pPr>
              <w:numPr>
                <w:ilvl w:val="0"/>
                <w:numId w:val="1"/>
              </w:numPr>
              <w:ind w:left="567" w:hanging="567"/>
              <w:jc w:val="both"/>
              <w:rPr>
                <w:rFonts w:ascii="標楷體" w:eastAsia="標楷體" w:hAnsi="標楷體" w:cs="Times New Roman"/>
                <w:sz w:val="28"/>
              </w:rPr>
            </w:pPr>
            <w:r w:rsidRPr="00ED66B4">
              <w:rPr>
                <w:rFonts w:ascii="標楷體" w:eastAsia="標楷體" w:hAnsi="標楷體" w:cs="Times New Roman" w:hint="eastAsia"/>
                <w:sz w:val="28"/>
              </w:rPr>
              <w:lastRenderedPageBreak/>
              <w:t>風險基礎法之運用</w:t>
            </w:r>
          </w:p>
        </w:tc>
        <w:tc>
          <w:tcPr>
            <w:tcW w:w="5033" w:type="dxa"/>
          </w:tcPr>
          <w:p w14:paraId="3E2700D4" w14:textId="77777777" w:rsidR="00ED66B4" w:rsidRPr="00ED66B4" w:rsidRDefault="00ED66B4" w:rsidP="00ED66B4"/>
        </w:tc>
      </w:tr>
      <w:tr w:rsidR="00ED66B4" w:rsidRPr="00ED66B4" w14:paraId="46883116" w14:textId="77777777" w:rsidTr="00ED66B4">
        <w:trPr>
          <w:trHeight w:val="1339"/>
        </w:trPr>
        <w:tc>
          <w:tcPr>
            <w:tcW w:w="5032" w:type="dxa"/>
          </w:tcPr>
          <w:p w14:paraId="30E08FF5" w14:textId="77777777" w:rsidR="00ED66B4" w:rsidRPr="00ED66B4" w:rsidRDefault="00ED66B4" w:rsidP="00ED66B4">
            <w:pPr>
              <w:numPr>
                <w:ilvl w:val="0"/>
                <w:numId w:val="9"/>
              </w:numPr>
              <w:pBdr>
                <w:top w:val="nil"/>
                <w:left w:val="nil"/>
                <w:bottom w:val="nil"/>
                <w:right w:val="nil"/>
                <w:between w:val="nil"/>
                <w:bar w:val="nil"/>
              </w:pBdr>
              <w:spacing w:line="480" w:lineRule="exact"/>
              <w:ind w:left="604" w:hanging="624"/>
              <w:jc w:val="both"/>
              <w:rPr>
                <w:rFonts w:ascii="標楷體" w:eastAsia="標楷體" w:hAnsi="標楷體" w:cs="Times New Roman"/>
                <w:sz w:val="28"/>
              </w:rPr>
            </w:pPr>
            <w:r w:rsidRPr="00ED66B4">
              <w:rPr>
                <w:rFonts w:ascii="標楷體" w:eastAsia="標楷體" w:hAnsi="標楷體" w:cs="Times New Roman" w:hint="eastAsia"/>
                <w:sz w:val="28"/>
              </w:rPr>
              <w:t>投信投顧事業辦理實質受益人身分辨識及驗證，得依</w:t>
            </w:r>
            <w:r w:rsidRPr="00ED66B4">
              <w:rPr>
                <w:rFonts w:ascii="標楷體" w:eastAsia="標楷體" w:hAnsi="標楷體" w:cs="Times New Roman" w:hint="eastAsia"/>
                <w:sz w:val="28"/>
                <w:szCs w:val="24"/>
              </w:rPr>
              <w:t>風險基礎方法決定特定高風險情形之強化措施，例如調降控制權之認定門檻</w:t>
            </w:r>
            <w:r w:rsidRPr="00ED66B4">
              <w:rPr>
                <w:rFonts w:ascii="標楷體" w:eastAsia="標楷體" w:hAnsi="標楷體" w:cs="Times New Roman"/>
                <w:sz w:val="28"/>
                <w:szCs w:val="24"/>
                <w:vertAlign w:val="superscript"/>
              </w:rPr>
              <w:footnoteReference w:id="18"/>
            </w:r>
            <w:r w:rsidRPr="00ED66B4">
              <w:rPr>
                <w:rFonts w:ascii="標楷體" w:eastAsia="標楷體" w:hAnsi="標楷體" w:cs="Times New Roman" w:hint="eastAsia"/>
                <w:sz w:val="28"/>
                <w:szCs w:val="24"/>
              </w:rPr>
              <w:t>。</w:t>
            </w:r>
          </w:p>
          <w:p w14:paraId="31FF73A9" w14:textId="77777777" w:rsidR="00ED66B4" w:rsidRPr="00C146FB" w:rsidRDefault="00ED66B4" w:rsidP="00ED66B4">
            <w:pPr>
              <w:numPr>
                <w:ilvl w:val="0"/>
                <w:numId w:val="9"/>
              </w:numPr>
              <w:pBdr>
                <w:top w:val="nil"/>
                <w:left w:val="nil"/>
                <w:bottom w:val="nil"/>
                <w:right w:val="nil"/>
                <w:between w:val="nil"/>
                <w:bar w:val="nil"/>
              </w:pBdr>
              <w:spacing w:line="480" w:lineRule="exact"/>
              <w:ind w:left="604" w:hanging="624"/>
              <w:jc w:val="both"/>
              <w:rPr>
                <w:rFonts w:ascii="標楷體" w:eastAsia="標楷體" w:hAnsi="標楷體" w:cs="Times New Roman"/>
                <w:sz w:val="28"/>
              </w:rPr>
            </w:pPr>
            <w:r w:rsidRPr="00ED66B4">
              <w:rPr>
                <w:rFonts w:ascii="標楷體" w:eastAsia="標楷體" w:hAnsi="標楷體" w:cs="Times New Roman" w:hint="eastAsia"/>
                <w:sz w:val="28"/>
              </w:rPr>
              <w:t>客戶或具控制權者為辦法第三條第七款第三目之任</w:t>
            </w:r>
            <w:proofErr w:type="gramStart"/>
            <w:r w:rsidRPr="00ED66B4">
              <w:rPr>
                <w:rFonts w:ascii="標楷體" w:eastAsia="標楷體" w:hAnsi="標楷體" w:cs="Times New Roman" w:hint="eastAsia"/>
                <w:sz w:val="28"/>
              </w:rPr>
              <w:t>一</w:t>
            </w:r>
            <w:proofErr w:type="gramEnd"/>
            <w:r w:rsidRPr="00ED66B4">
              <w:rPr>
                <w:rFonts w:ascii="標楷體" w:eastAsia="標楷體" w:hAnsi="標楷體" w:cs="Times New Roman" w:hint="eastAsia"/>
                <w:sz w:val="28"/>
              </w:rPr>
              <w:t>情形者，除具辦法第六條第一項第三款但書情形或已發行無記名股票情形外，不適用</w:t>
            </w:r>
            <w:r w:rsidRPr="00ED66B4">
              <w:rPr>
                <w:rFonts w:ascii="標楷體" w:eastAsia="標楷體" w:hAnsi="標楷體" w:cs="Times New Roman" w:hint="eastAsia"/>
                <w:sz w:val="28"/>
              </w:rPr>
              <w:lastRenderedPageBreak/>
              <w:t>辨識及驗證實質受益人身分之規定</w:t>
            </w:r>
            <w:r w:rsidRPr="00ED66B4">
              <w:rPr>
                <w:rFonts w:ascii="標楷體" w:eastAsia="標楷體" w:hAnsi="標楷體" w:cs="Times New Roman"/>
                <w:sz w:val="28"/>
                <w:vertAlign w:val="superscript"/>
              </w:rPr>
              <w:footnoteReference w:id="19"/>
            </w:r>
            <w:r w:rsidRPr="00ED66B4">
              <w:rPr>
                <w:rFonts w:ascii="標楷體" w:eastAsia="標楷體" w:hAnsi="標楷體" w:cs="Times New Roman" w:hint="eastAsia"/>
                <w:sz w:val="28"/>
              </w:rPr>
              <w:t>。</w:t>
            </w:r>
          </w:p>
        </w:tc>
        <w:tc>
          <w:tcPr>
            <w:tcW w:w="5033" w:type="dxa"/>
          </w:tcPr>
          <w:p w14:paraId="3004E314" w14:textId="77777777" w:rsidR="00ED66B4" w:rsidRPr="00ED66B4" w:rsidRDefault="00ED66B4" w:rsidP="00AF25A4">
            <w:pPr>
              <w:spacing w:line="480" w:lineRule="exact"/>
              <w:jc w:val="both"/>
            </w:pPr>
            <w:r w:rsidRPr="00AF25A4">
              <w:rPr>
                <w:rFonts w:ascii="標楷體" w:eastAsia="標楷體" w:hAnsi="標楷體" w:hint="eastAsia"/>
                <w:sz w:val="28"/>
                <w:szCs w:val="28"/>
              </w:rPr>
              <w:lastRenderedPageBreak/>
              <w:t>參</w:t>
            </w:r>
            <w:r w:rsidR="008E05C2">
              <w:rPr>
                <w:rFonts w:ascii="標楷體" w:eastAsia="標楷體" w:hAnsi="標楷體" w:hint="eastAsia"/>
                <w:sz w:val="28"/>
                <w:szCs w:val="28"/>
              </w:rPr>
              <w:t>考</w:t>
            </w:r>
            <w:r w:rsidRPr="00AF25A4">
              <w:rPr>
                <w:rFonts w:ascii="標楷體" w:eastAsia="標楷體" w:hAnsi="標楷體" w:hint="eastAsia"/>
                <w:sz w:val="28"/>
                <w:szCs w:val="28"/>
              </w:rPr>
              <w:t>美國FINCEN於107年4月發布之「</w:t>
            </w:r>
            <w:r w:rsidRPr="00AF25A4">
              <w:rPr>
                <w:rFonts w:ascii="標楷體" w:eastAsia="標楷體" w:hAnsi="標楷體"/>
                <w:sz w:val="28"/>
                <w:szCs w:val="28"/>
              </w:rPr>
              <w:t>Frequently Asked Questions Regarding Customer Due Diligence Requirements</w:t>
            </w:r>
            <w:r w:rsidR="00AF25A4">
              <w:rPr>
                <w:rFonts w:ascii="標楷體" w:eastAsia="標楷體" w:hAnsi="標楷體"/>
                <w:sz w:val="28"/>
                <w:szCs w:val="28"/>
              </w:rPr>
              <w:t xml:space="preserve"> </w:t>
            </w:r>
            <w:r w:rsidRPr="00AF25A4">
              <w:rPr>
                <w:rFonts w:ascii="標楷體" w:eastAsia="標楷體" w:hAnsi="標楷體"/>
                <w:sz w:val="28"/>
                <w:szCs w:val="28"/>
              </w:rPr>
              <w:t>for Financial Institutions</w:t>
            </w:r>
            <w:r w:rsidRPr="00AF25A4">
              <w:rPr>
                <w:rFonts w:ascii="標楷體" w:eastAsia="標楷體" w:hAnsi="標楷體" w:hint="eastAsia"/>
                <w:sz w:val="28"/>
                <w:szCs w:val="28"/>
              </w:rPr>
              <w:t>」第1及2</w:t>
            </w:r>
            <w:proofErr w:type="gramStart"/>
            <w:r w:rsidRPr="00AF25A4">
              <w:rPr>
                <w:rFonts w:ascii="標楷體" w:eastAsia="標楷體" w:hAnsi="標楷體" w:hint="eastAsia"/>
                <w:sz w:val="28"/>
                <w:szCs w:val="28"/>
              </w:rPr>
              <w:t>題問</w:t>
            </w:r>
            <w:proofErr w:type="gramEnd"/>
            <w:r w:rsidRPr="00AF25A4">
              <w:rPr>
                <w:rFonts w:ascii="標楷體" w:eastAsia="標楷體" w:hAnsi="標楷體" w:hint="eastAsia"/>
                <w:sz w:val="28"/>
                <w:szCs w:val="28"/>
              </w:rPr>
              <w:t>答，依風險基礎方法決定高風險之強化措施，</w:t>
            </w:r>
            <w:proofErr w:type="gramStart"/>
            <w:r w:rsidRPr="00AF25A4">
              <w:rPr>
                <w:rFonts w:ascii="標楷體" w:eastAsia="標楷體" w:hAnsi="標楷體" w:hint="eastAsia"/>
                <w:sz w:val="28"/>
                <w:szCs w:val="28"/>
              </w:rPr>
              <w:t>爰</w:t>
            </w:r>
            <w:proofErr w:type="gramEnd"/>
            <w:r w:rsidRPr="00AF25A4">
              <w:rPr>
                <w:rFonts w:ascii="標楷體" w:eastAsia="標楷體" w:hAnsi="標楷體" w:hint="eastAsia"/>
                <w:sz w:val="28"/>
                <w:szCs w:val="28"/>
              </w:rPr>
              <w:t>新增本條規定。</w:t>
            </w:r>
          </w:p>
        </w:tc>
      </w:tr>
    </w:tbl>
    <w:p w14:paraId="71CFE305" w14:textId="77777777" w:rsidR="00C146FB" w:rsidRDefault="00C146FB" w:rsidP="00475D87">
      <w:pPr>
        <w:spacing w:line="480" w:lineRule="exact"/>
        <w:jc w:val="center"/>
        <w:rPr>
          <w:rFonts w:ascii="標楷體" w:eastAsia="標楷體" w:hAnsi="標楷體" w:cs="Times New Roman"/>
          <w:b/>
          <w:sz w:val="28"/>
          <w:szCs w:val="28"/>
        </w:rPr>
      </w:pPr>
      <w:r>
        <w:rPr>
          <w:rFonts w:ascii="標楷體" w:eastAsia="標楷體" w:hAnsi="標楷體" w:cs="Times New Roman"/>
          <w:b/>
          <w:sz w:val="28"/>
          <w:szCs w:val="28"/>
        </w:rPr>
        <w:br w:type="page"/>
      </w:r>
    </w:p>
    <w:p w14:paraId="4F452257" w14:textId="77777777" w:rsidR="00ED66B4" w:rsidRPr="005741BF" w:rsidRDefault="00ED66B4" w:rsidP="00475D87">
      <w:pPr>
        <w:spacing w:line="480" w:lineRule="exact"/>
        <w:jc w:val="center"/>
        <w:rPr>
          <w:rFonts w:ascii="標楷體" w:eastAsia="標楷體" w:hAnsi="標楷體" w:cs="Times New Roman"/>
          <w:b/>
          <w:sz w:val="28"/>
          <w:szCs w:val="28"/>
        </w:rPr>
      </w:pPr>
      <w:r w:rsidRPr="005741BF">
        <w:rPr>
          <w:rFonts w:ascii="標楷體" w:eastAsia="標楷體" w:hAnsi="標楷體" w:cs="Times New Roman" w:hint="eastAsia"/>
          <w:b/>
          <w:sz w:val="28"/>
          <w:szCs w:val="28"/>
        </w:rPr>
        <w:lastRenderedPageBreak/>
        <w:t>附錄：依常見客戶類型說明辨識實質受益人之參考做法</w:t>
      </w:r>
    </w:p>
    <w:p w14:paraId="2A433042" w14:textId="77777777" w:rsidR="00ED66B4" w:rsidRPr="005741BF" w:rsidRDefault="00ED66B4" w:rsidP="00ED66B4">
      <w:pPr>
        <w:spacing w:line="480" w:lineRule="exact"/>
        <w:jc w:val="both"/>
        <w:rPr>
          <w:rFonts w:ascii="標楷體" w:eastAsia="標楷體" w:hAnsi="標楷體" w:cs="Times New Roman"/>
          <w:sz w:val="28"/>
          <w:szCs w:val="28"/>
        </w:rPr>
      </w:pPr>
    </w:p>
    <w:p w14:paraId="6E9F26D8" w14:textId="77777777" w:rsidR="00ED66B4" w:rsidRPr="005741BF" w:rsidRDefault="00ED66B4" w:rsidP="00ED66B4">
      <w:pPr>
        <w:spacing w:afterLines="50" w:after="180" w:line="480" w:lineRule="exact"/>
        <w:jc w:val="both"/>
        <w:rPr>
          <w:rFonts w:ascii="標楷體" w:eastAsia="標楷體" w:hAnsi="標楷體" w:cs="Times New Roman"/>
          <w:sz w:val="28"/>
          <w:szCs w:val="28"/>
        </w:rPr>
      </w:pPr>
      <w:r w:rsidRPr="005741BF">
        <w:rPr>
          <w:rFonts w:ascii="標楷體" w:eastAsia="標楷體" w:hAnsi="標楷體" w:cs="Times New Roman" w:hint="eastAsia"/>
          <w:sz w:val="28"/>
          <w:szCs w:val="28"/>
        </w:rPr>
        <w:t>鑒於客戶類型</w:t>
      </w:r>
      <w:proofErr w:type="gramStart"/>
      <w:r w:rsidRPr="005741BF">
        <w:rPr>
          <w:rFonts w:ascii="標楷體" w:eastAsia="標楷體" w:hAnsi="標楷體" w:cs="Times New Roman" w:hint="eastAsia"/>
          <w:sz w:val="28"/>
          <w:szCs w:val="28"/>
        </w:rPr>
        <w:t>眾多，</w:t>
      </w:r>
      <w:proofErr w:type="gramEnd"/>
      <w:r w:rsidRPr="005741BF">
        <w:rPr>
          <w:rFonts w:ascii="標楷體" w:eastAsia="標楷體" w:hAnsi="標楷體" w:cs="Times New Roman" w:hint="eastAsia"/>
          <w:sz w:val="28"/>
          <w:szCs w:val="28"/>
        </w:rPr>
        <w:t>無法逐一列舉，本</w:t>
      </w:r>
      <w:r w:rsidR="00C146FB">
        <w:rPr>
          <w:rFonts w:ascii="標楷體" w:eastAsia="標楷體" w:hAnsi="標楷體" w:cs="Times New Roman" w:hint="eastAsia"/>
          <w:sz w:val="28"/>
          <w:szCs w:val="28"/>
        </w:rPr>
        <w:t>公</w:t>
      </w:r>
      <w:r w:rsidRPr="005741BF">
        <w:rPr>
          <w:rFonts w:ascii="標楷體" w:eastAsia="標楷體" w:hAnsi="標楷體" w:cs="Times New Roman" w:hint="eastAsia"/>
          <w:sz w:val="28"/>
          <w:szCs w:val="28"/>
        </w:rPr>
        <w:t>會僅就實務常見之客戶類型，分別說明各類型客戶實質受益人辨識實務之參考做法。下列參考做法僅為例示，</w:t>
      </w:r>
      <w:r w:rsidR="00427089">
        <w:rPr>
          <w:rFonts w:ascii="Times New Roman" w:eastAsia="標楷體" w:hAnsi="Times New Roman" w:cs="Times New Roman" w:hint="eastAsia"/>
          <w:sz w:val="28"/>
          <w:szCs w:val="28"/>
          <w:lang w:val="zh-TW"/>
        </w:rPr>
        <w:t>證券投資信託事業證券投資顧問事業（以下簡稱投信投顧事業）</w:t>
      </w:r>
      <w:r w:rsidRPr="005741BF">
        <w:rPr>
          <w:rFonts w:ascii="標楷體" w:eastAsia="標楷體" w:hAnsi="標楷體" w:cs="Times New Roman" w:hint="eastAsia"/>
          <w:sz w:val="28"/>
          <w:szCs w:val="28"/>
        </w:rPr>
        <w:t>亦得考量自身業務性質、風險程度及集團政策，訂定合適之做法。</w:t>
      </w:r>
    </w:p>
    <w:p w14:paraId="6AA2289F" w14:textId="77777777" w:rsidR="00ED66B4" w:rsidRPr="005741BF" w:rsidRDefault="00ED66B4" w:rsidP="00ED66B4">
      <w:pPr>
        <w:numPr>
          <w:ilvl w:val="0"/>
          <w:numId w:val="14"/>
        </w:numPr>
        <w:ind w:left="567" w:hanging="567"/>
        <w:jc w:val="both"/>
        <w:rPr>
          <w:rFonts w:ascii="標楷體" w:eastAsia="標楷體" w:hAnsi="標楷體" w:cs="Arial"/>
          <w:kern w:val="0"/>
          <w:sz w:val="28"/>
          <w:szCs w:val="28"/>
        </w:rPr>
      </w:pPr>
      <w:r w:rsidRPr="005741BF">
        <w:rPr>
          <w:rFonts w:ascii="標楷體" w:eastAsia="標楷體" w:hAnsi="標楷體" w:cs="Arial"/>
          <w:kern w:val="0"/>
          <w:sz w:val="28"/>
          <w:szCs w:val="28"/>
        </w:rPr>
        <w:t>非國營企業及</w:t>
      </w:r>
      <w:r w:rsidRPr="005741BF">
        <w:rPr>
          <w:rFonts w:ascii="標楷體" w:eastAsia="標楷體" w:hAnsi="標楷體" w:cs="Arial" w:hint="eastAsia"/>
          <w:kern w:val="0"/>
          <w:sz w:val="28"/>
          <w:szCs w:val="28"/>
        </w:rPr>
        <w:t>非</w:t>
      </w:r>
      <w:r w:rsidRPr="005741BF">
        <w:rPr>
          <w:rFonts w:ascii="標楷體" w:eastAsia="標楷體" w:hAnsi="標楷體" w:cs="Arial"/>
          <w:kern w:val="0"/>
          <w:sz w:val="28"/>
          <w:szCs w:val="28"/>
        </w:rPr>
        <w:t>公</w:t>
      </w:r>
      <w:r w:rsidRPr="005741BF">
        <w:rPr>
          <w:rFonts w:ascii="標楷體" w:eastAsia="標楷體" w:hAnsi="標楷體" w:cs="Arial" w:hint="eastAsia"/>
          <w:kern w:val="0"/>
          <w:sz w:val="28"/>
          <w:szCs w:val="28"/>
        </w:rPr>
        <w:t>開</w:t>
      </w:r>
      <w:r w:rsidRPr="005741BF">
        <w:rPr>
          <w:rFonts w:ascii="標楷體" w:eastAsia="標楷體" w:hAnsi="標楷體" w:cs="Arial"/>
          <w:kern w:val="0"/>
          <w:sz w:val="28"/>
          <w:szCs w:val="28"/>
        </w:rPr>
        <w:t>發</w:t>
      </w:r>
      <w:r w:rsidRPr="005741BF">
        <w:rPr>
          <w:rFonts w:ascii="標楷體" w:eastAsia="標楷體" w:hAnsi="標楷體" w:cs="Arial" w:hint="eastAsia"/>
          <w:kern w:val="0"/>
          <w:sz w:val="28"/>
          <w:szCs w:val="28"/>
        </w:rPr>
        <w:t>行</w:t>
      </w:r>
      <w:r w:rsidRPr="005741BF">
        <w:rPr>
          <w:rFonts w:ascii="標楷體" w:eastAsia="標楷體" w:hAnsi="標楷體" w:cs="Arial"/>
          <w:kern w:val="0"/>
          <w:sz w:val="28"/>
          <w:szCs w:val="28"/>
        </w:rPr>
        <w:t>之本國公司</w:t>
      </w:r>
    </w:p>
    <w:p w14:paraId="69FD5B36" w14:textId="77777777" w:rsidR="00ED66B4" w:rsidRPr="005741BF" w:rsidRDefault="00ED66B4" w:rsidP="00ED66B4">
      <w:pPr>
        <w:numPr>
          <w:ilvl w:val="0"/>
          <w:numId w:val="11"/>
        </w:numPr>
        <w:spacing w:line="480" w:lineRule="exact"/>
        <w:ind w:left="1191" w:hanging="624"/>
        <w:jc w:val="both"/>
        <w:rPr>
          <w:rFonts w:ascii="標楷體" w:eastAsia="標楷體" w:hAnsi="標楷體" w:cs="Arial"/>
          <w:kern w:val="0"/>
          <w:sz w:val="28"/>
          <w:szCs w:val="28"/>
        </w:rPr>
      </w:pPr>
      <w:r w:rsidRPr="005741BF">
        <w:rPr>
          <w:rFonts w:ascii="標楷體" w:eastAsia="標楷體" w:hAnsi="標楷體" w:cs="Arial"/>
          <w:kern w:val="0"/>
          <w:sz w:val="28"/>
          <w:szCs w:val="28"/>
        </w:rPr>
        <w:t>投信投顧事業得</w:t>
      </w:r>
      <w:r w:rsidRPr="005741BF">
        <w:rPr>
          <w:rFonts w:ascii="標楷體" w:eastAsia="標楷體" w:hAnsi="標楷體" w:cs="Arial" w:hint="eastAsia"/>
          <w:kern w:val="0"/>
          <w:sz w:val="28"/>
          <w:szCs w:val="28"/>
        </w:rPr>
        <w:t>依本參考做法第三點第三款說明</w:t>
      </w:r>
      <w:r w:rsidRPr="005741BF">
        <w:rPr>
          <w:rFonts w:ascii="標楷體" w:eastAsia="標楷體" w:hAnsi="標楷體" w:cs="Arial"/>
          <w:kern w:val="0"/>
          <w:sz w:val="28"/>
          <w:szCs w:val="28"/>
        </w:rPr>
        <w:t>辨識</w:t>
      </w:r>
      <w:r w:rsidRPr="005741BF">
        <w:rPr>
          <w:rFonts w:ascii="標楷體" w:eastAsia="標楷體" w:hAnsi="標楷體" w:cs="Arial" w:hint="eastAsia"/>
          <w:kern w:val="0"/>
          <w:sz w:val="28"/>
          <w:szCs w:val="28"/>
        </w:rPr>
        <w:t>此類客戶之</w:t>
      </w:r>
      <w:r w:rsidRPr="005741BF">
        <w:rPr>
          <w:rFonts w:ascii="標楷體" w:eastAsia="標楷體" w:hAnsi="標楷體" w:cs="Arial"/>
          <w:kern w:val="0"/>
          <w:sz w:val="28"/>
          <w:szCs w:val="28"/>
        </w:rPr>
        <w:t>實質受益人</w:t>
      </w:r>
      <w:r w:rsidRPr="005741BF">
        <w:rPr>
          <w:rFonts w:ascii="標楷體" w:eastAsia="標楷體" w:hAnsi="標楷體" w:cs="Arial" w:hint="eastAsia"/>
          <w:kern w:val="0"/>
          <w:sz w:val="28"/>
          <w:szCs w:val="28"/>
        </w:rPr>
        <w:t>。</w:t>
      </w:r>
    </w:p>
    <w:p w14:paraId="37A125B2" w14:textId="77777777" w:rsidR="00ED66B4" w:rsidRPr="005741BF" w:rsidRDefault="00ED66B4" w:rsidP="00ED66B4">
      <w:pPr>
        <w:numPr>
          <w:ilvl w:val="0"/>
          <w:numId w:val="11"/>
        </w:numPr>
        <w:spacing w:line="480" w:lineRule="exact"/>
        <w:ind w:left="1191" w:hanging="62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若客戶為兩合公司，應辨識之實質受益人為</w:t>
      </w:r>
      <w:r w:rsidRPr="005741BF">
        <w:rPr>
          <w:rFonts w:ascii="標楷體" w:eastAsia="標楷體" w:hAnsi="標楷體" w:cs="Times New Roman"/>
          <w:sz w:val="28"/>
          <w:szCs w:val="28"/>
          <w:vertAlign w:val="superscript"/>
        </w:rPr>
        <w:footnoteReference w:id="20"/>
      </w:r>
      <w:r w:rsidRPr="005741BF">
        <w:rPr>
          <w:rFonts w:ascii="標楷體" w:eastAsia="標楷體" w:hAnsi="標楷體" w:cs="Times New Roman" w:hint="eastAsia"/>
          <w:sz w:val="28"/>
          <w:szCs w:val="28"/>
        </w:rPr>
        <w:t>：</w:t>
      </w:r>
    </w:p>
    <w:p w14:paraId="3C2FF9E7" w14:textId="77777777" w:rsidR="00ED66B4" w:rsidRPr="005741BF" w:rsidRDefault="00ED66B4" w:rsidP="00ED66B4">
      <w:pPr>
        <w:numPr>
          <w:ilvl w:val="0"/>
          <w:numId w:val="15"/>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符合第三點第一款第一目敘述之自然人。</w:t>
      </w:r>
    </w:p>
    <w:p w14:paraId="1792DD66" w14:textId="77777777" w:rsidR="00ED66B4" w:rsidRPr="005741BF" w:rsidRDefault="00ED66B4" w:rsidP="00ED66B4">
      <w:pPr>
        <w:numPr>
          <w:ilvl w:val="0"/>
          <w:numId w:val="15"/>
        </w:numPr>
        <w:spacing w:afterLines="50" w:after="180"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若無上開人士，或對上開辨識結果有所懷疑時，則辨識所有無限責任股東。若無限責任股東為法人，尚應辨識該法人之實質受益人。</w:t>
      </w:r>
    </w:p>
    <w:p w14:paraId="78445AA8" w14:textId="77777777" w:rsidR="00ED66B4" w:rsidRPr="005741BF" w:rsidRDefault="00ED66B4" w:rsidP="00ED66B4">
      <w:pPr>
        <w:numPr>
          <w:ilvl w:val="0"/>
          <w:numId w:val="14"/>
        </w:numPr>
        <w:ind w:left="567" w:hanging="567"/>
        <w:jc w:val="both"/>
        <w:rPr>
          <w:rFonts w:ascii="標楷體" w:eastAsia="標楷體" w:hAnsi="標楷體" w:cs="Arial"/>
          <w:kern w:val="0"/>
          <w:sz w:val="28"/>
          <w:szCs w:val="28"/>
        </w:rPr>
      </w:pPr>
      <w:r w:rsidRPr="005741BF">
        <w:rPr>
          <w:rFonts w:ascii="標楷體" w:eastAsia="標楷體" w:hAnsi="標楷體" w:cs="Arial"/>
          <w:kern w:val="0"/>
          <w:sz w:val="28"/>
          <w:szCs w:val="28"/>
        </w:rPr>
        <w:t>未上市</w:t>
      </w:r>
      <w:r w:rsidRPr="005741BF">
        <w:rPr>
          <w:rFonts w:ascii="標楷體" w:eastAsia="標楷體" w:hAnsi="標楷體" w:cs="Arial" w:hint="eastAsia"/>
          <w:kern w:val="0"/>
          <w:sz w:val="28"/>
          <w:szCs w:val="28"/>
        </w:rPr>
        <w:t>上</w:t>
      </w:r>
      <w:r w:rsidRPr="005741BF">
        <w:rPr>
          <w:rFonts w:ascii="標楷體" w:eastAsia="標楷體" w:hAnsi="標楷體" w:cs="Arial"/>
          <w:kern w:val="0"/>
          <w:sz w:val="28"/>
          <w:szCs w:val="28"/>
        </w:rPr>
        <w:t>櫃之</w:t>
      </w:r>
      <w:r w:rsidRPr="005741BF">
        <w:rPr>
          <w:rFonts w:ascii="標楷體" w:eastAsia="標楷體" w:hAnsi="標楷體" w:cs="Arial" w:hint="eastAsia"/>
          <w:kern w:val="0"/>
          <w:sz w:val="28"/>
          <w:szCs w:val="28"/>
        </w:rPr>
        <w:t>境外客戶</w:t>
      </w:r>
    </w:p>
    <w:p w14:paraId="7156DF9B" w14:textId="77777777" w:rsidR="00ED66B4" w:rsidRPr="005741BF" w:rsidRDefault="00ED66B4" w:rsidP="00ED66B4">
      <w:pPr>
        <w:numPr>
          <w:ilvl w:val="0"/>
          <w:numId w:val="12"/>
        </w:numPr>
        <w:spacing w:line="480" w:lineRule="exact"/>
        <w:ind w:left="1191" w:hanging="62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投信投顧事業確認此類客戶之實質受益人時，除依適用之法令規定辦理，得依客戶提供之股權結構圖進行辨識，驗證實質受益人則得以文件或非文件方式辦理。若無法以文件方式取得客戶實質受益人佐證資料時，實務參考做法如下：</w:t>
      </w:r>
    </w:p>
    <w:p w14:paraId="2CCD31D3" w14:textId="77777777" w:rsidR="00ED66B4" w:rsidRPr="005741BF" w:rsidRDefault="00ED66B4" w:rsidP="00ED66B4">
      <w:pPr>
        <w:numPr>
          <w:ilvl w:val="0"/>
          <w:numId w:val="16"/>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由客戶提供或由投信投顧事業向法人註冊地之註冊機關之官方網站查詢。若無法透過上開方式查詢者，可委託本國駐外單位、該註冊國</w:t>
      </w:r>
      <w:r w:rsidRPr="005741BF">
        <w:rPr>
          <w:rFonts w:ascii="標楷體" w:eastAsia="標楷體" w:hAnsi="標楷體" w:cs="Times New Roman"/>
          <w:sz w:val="28"/>
          <w:szCs w:val="28"/>
        </w:rPr>
        <w:t>/</w:t>
      </w:r>
      <w:r w:rsidRPr="005741BF">
        <w:rPr>
          <w:rFonts w:ascii="標楷體" w:eastAsia="標楷體" w:hAnsi="標楷體" w:cs="Times New Roman" w:hint="eastAsia"/>
          <w:sz w:val="28"/>
          <w:szCs w:val="28"/>
        </w:rPr>
        <w:t>地區之駐本國單位，或投信投顧事業之海外分支機構等協助查詢。</w:t>
      </w:r>
    </w:p>
    <w:p w14:paraId="56FD3083" w14:textId="77777777" w:rsidR="00ED66B4" w:rsidRPr="005741BF" w:rsidRDefault="00ED66B4" w:rsidP="00ED66B4">
      <w:pPr>
        <w:numPr>
          <w:ilvl w:val="0"/>
          <w:numId w:val="16"/>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另亦得以過去對認識客戶的經驗</w:t>
      </w:r>
      <w:r w:rsidRPr="005741BF">
        <w:rPr>
          <w:rFonts w:ascii="標楷體" w:eastAsia="標楷體" w:hAnsi="標楷體" w:cs="Times New Roman"/>
          <w:sz w:val="28"/>
          <w:szCs w:val="28"/>
        </w:rPr>
        <w:t>（</w:t>
      </w:r>
      <w:r w:rsidRPr="005741BF">
        <w:rPr>
          <w:rFonts w:ascii="標楷體" w:eastAsia="標楷體" w:hAnsi="標楷體" w:cs="Times New Roman" w:hint="eastAsia"/>
          <w:sz w:val="28"/>
          <w:szCs w:val="28"/>
        </w:rPr>
        <w:t>如徵信報告內容</w:t>
      </w:r>
      <w:r w:rsidRPr="005741BF">
        <w:rPr>
          <w:rFonts w:ascii="標楷體" w:eastAsia="標楷體" w:hAnsi="標楷體" w:cs="Times New Roman"/>
          <w:sz w:val="28"/>
          <w:szCs w:val="28"/>
        </w:rPr>
        <w:t>）</w:t>
      </w:r>
      <w:proofErr w:type="gramStart"/>
      <w:r w:rsidRPr="005741BF">
        <w:rPr>
          <w:rFonts w:ascii="標楷體" w:eastAsia="標楷體" w:hAnsi="標楷體" w:cs="Times New Roman" w:hint="eastAsia"/>
          <w:sz w:val="28"/>
          <w:szCs w:val="28"/>
        </w:rPr>
        <w:t>或官網</w:t>
      </w:r>
      <w:proofErr w:type="gramEnd"/>
      <w:r w:rsidRPr="005741BF">
        <w:rPr>
          <w:rFonts w:ascii="標楷體" w:eastAsia="標楷體" w:hAnsi="標楷體" w:cs="Times New Roman" w:hint="eastAsia"/>
          <w:sz w:val="28"/>
          <w:szCs w:val="28"/>
        </w:rPr>
        <w:t>、網路公開媒體資訊或專業第三方取得資訊</w:t>
      </w:r>
      <w:r w:rsidRPr="005741BF">
        <w:rPr>
          <w:rFonts w:ascii="標楷體" w:eastAsia="標楷體" w:hAnsi="標楷體" w:cs="Times New Roman"/>
          <w:sz w:val="28"/>
          <w:szCs w:val="28"/>
        </w:rPr>
        <w:t>（</w:t>
      </w:r>
      <w:r w:rsidRPr="005741BF">
        <w:rPr>
          <w:rFonts w:ascii="標楷體" w:eastAsia="標楷體" w:hAnsi="標楷體" w:cs="Times New Roman" w:hint="eastAsia"/>
          <w:sz w:val="28"/>
          <w:szCs w:val="28"/>
        </w:rPr>
        <w:t>公證人、會計師、律師、稅務機關等</w:t>
      </w:r>
      <w:r w:rsidRPr="005741BF">
        <w:rPr>
          <w:rFonts w:ascii="標楷體" w:eastAsia="標楷體" w:hAnsi="標楷體" w:cs="Times New Roman"/>
          <w:sz w:val="28"/>
          <w:szCs w:val="28"/>
        </w:rPr>
        <w:t>）</w:t>
      </w:r>
      <w:r w:rsidRPr="005741BF">
        <w:rPr>
          <w:rFonts w:ascii="標楷體" w:eastAsia="標楷體" w:hAnsi="標楷體" w:cs="Times New Roman" w:hint="eastAsia"/>
          <w:sz w:val="28"/>
          <w:szCs w:val="28"/>
        </w:rPr>
        <w:t>進行驗證。</w:t>
      </w:r>
    </w:p>
    <w:p w14:paraId="4A3AE8A8" w14:textId="77777777" w:rsidR="00ED66B4" w:rsidRPr="005741BF" w:rsidRDefault="00ED66B4" w:rsidP="00ED66B4">
      <w:pPr>
        <w:numPr>
          <w:ilvl w:val="0"/>
          <w:numId w:val="12"/>
        </w:numPr>
        <w:spacing w:afterLines="50" w:after="180" w:line="480" w:lineRule="exact"/>
        <w:ind w:left="1191" w:hanging="624"/>
        <w:jc w:val="both"/>
        <w:rPr>
          <w:rFonts w:ascii="標楷體" w:eastAsia="標楷體" w:hAnsi="標楷體" w:cs="Times New Roman"/>
          <w:sz w:val="28"/>
          <w:szCs w:val="28"/>
        </w:rPr>
      </w:pPr>
      <w:r w:rsidRPr="005741BF">
        <w:rPr>
          <w:rFonts w:ascii="標楷體" w:eastAsia="標楷體" w:hAnsi="標楷體" w:cs="Arial" w:hint="eastAsia"/>
          <w:kern w:val="0"/>
          <w:sz w:val="28"/>
          <w:szCs w:val="28"/>
        </w:rPr>
        <w:t>若無法取得實質受益人佐證</w:t>
      </w:r>
      <w:r w:rsidRPr="005741BF">
        <w:rPr>
          <w:rFonts w:ascii="標楷體" w:eastAsia="標楷體" w:hAnsi="標楷體" w:cs="Times New Roman" w:hint="eastAsia"/>
          <w:sz w:val="28"/>
          <w:szCs w:val="28"/>
        </w:rPr>
        <w:t>資訊時，得參考本參考做法第三點第三款說明辦理。</w:t>
      </w:r>
    </w:p>
    <w:p w14:paraId="50FC516B" w14:textId="77777777" w:rsidR="00ED66B4" w:rsidRPr="005741BF" w:rsidRDefault="00ED66B4" w:rsidP="00ED66B4">
      <w:pPr>
        <w:numPr>
          <w:ilvl w:val="0"/>
          <w:numId w:val="14"/>
        </w:numPr>
        <w:ind w:left="567" w:hanging="567"/>
        <w:jc w:val="both"/>
        <w:rPr>
          <w:rFonts w:ascii="標楷體" w:eastAsia="標楷體" w:hAnsi="標楷體" w:cs="Times New Roman"/>
          <w:sz w:val="28"/>
          <w:szCs w:val="28"/>
        </w:rPr>
      </w:pPr>
      <w:r w:rsidRPr="005741BF">
        <w:rPr>
          <w:rFonts w:ascii="標楷體" w:eastAsia="標楷體" w:hAnsi="標楷體" w:cs="Times New Roman" w:hint="eastAsia"/>
          <w:sz w:val="28"/>
          <w:szCs w:val="28"/>
        </w:rPr>
        <w:lastRenderedPageBreak/>
        <w:t>於未採取</w:t>
      </w:r>
      <w:r w:rsidRPr="005741BF">
        <w:rPr>
          <w:rFonts w:ascii="標楷體" w:eastAsia="標楷體" w:hAnsi="標楷體" w:cs="Times New Roman"/>
          <w:sz w:val="28"/>
          <w:szCs w:val="28"/>
        </w:rPr>
        <w:t>FATF</w:t>
      </w:r>
      <w:r w:rsidRPr="005741BF">
        <w:rPr>
          <w:rFonts w:ascii="標楷體" w:eastAsia="標楷體" w:hAnsi="標楷體" w:cs="Times New Roman" w:hint="eastAsia"/>
          <w:sz w:val="28"/>
          <w:szCs w:val="28"/>
        </w:rPr>
        <w:t>標準之國家或地區設立之境外金融機構或其管理之投資工具</w:t>
      </w:r>
    </w:p>
    <w:p w14:paraId="7ACC4E49" w14:textId="77777777" w:rsidR="00ED66B4" w:rsidRPr="005741BF" w:rsidRDefault="00ED66B4" w:rsidP="00ED66B4">
      <w:pPr>
        <w:numPr>
          <w:ilvl w:val="0"/>
          <w:numId w:val="10"/>
        </w:numPr>
        <w:spacing w:line="480" w:lineRule="exact"/>
        <w:ind w:left="1191" w:hanging="62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投信投顧事業得參考「F</w:t>
      </w:r>
      <w:r w:rsidRPr="005741BF">
        <w:rPr>
          <w:rFonts w:ascii="標楷體" w:eastAsia="標楷體" w:hAnsi="標楷體" w:cs="Times New Roman"/>
          <w:sz w:val="28"/>
          <w:szCs w:val="28"/>
        </w:rPr>
        <w:t>ATF</w:t>
      </w:r>
      <w:r w:rsidRPr="005741BF">
        <w:rPr>
          <w:rFonts w:ascii="標楷體" w:eastAsia="標楷體" w:hAnsi="標楷體" w:cs="Times New Roman" w:hint="eastAsia"/>
          <w:sz w:val="28"/>
          <w:szCs w:val="28"/>
        </w:rPr>
        <w:t>高風險及其他觀察國家或地區（</w:t>
      </w:r>
      <w:r w:rsidRPr="005741BF">
        <w:rPr>
          <w:rFonts w:ascii="標楷體" w:eastAsia="標楷體" w:hAnsi="標楷體" w:cs="Times New Roman"/>
          <w:sz w:val="28"/>
          <w:szCs w:val="28"/>
        </w:rPr>
        <w:t>High-risk and other monitored jurisdictions）</w:t>
      </w:r>
      <w:r w:rsidRPr="005741BF">
        <w:rPr>
          <w:rFonts w:ascii="標楷體" w:eastAsia="標楷體" w:hAnsi="標楷體" w:cs="Times New Roman" w:hint="eastAsia"/>
          <w:sz w:val="28"/>
          <w:szCs w:val="28"/>
        </w:rPr>
        <w:t>」名單</w:t>
      </w:r>
      <w:r w:rsidRPr="005741BF">
        <w:rPr>
          <w:rFonts w:ascii="標楷體" w:eastAsia="標楷體" w:hAnsi="標楷體" w:cs="Times New Roman"/>
          <w:sz w:val="28"/>
          <w:szCs w:val="28"/>
          <w:vertAlign w:val="superscript"/>
        </w:rPr>
        <w:footnoteReference w:id="21"/>
      </w:r>
      <w:r w:rsidRPr="005741BF">
        <w:rPr>
          <w:rFonts w:ascii="標楷體" w:eastAsia="標楷體" w:hAnsi="標楷體" w:cs="Times New Roman" w:hint="eastAsia"/>
          <w:sz w:val="28"/>
          <w:szCs w:val="28"/>
        </w:rPr>
        <w:t>(即主管機關轉知之「防制洗錢與打擊資助恐怖主義份子有嚴重缺失之國家或地區」</w:t>
      </w:r>
      <w:r w:rsidRPr="005741BF">
        <w:rPr>
          <w:rFonts w:ascii="標楷體" w:eastAsia="標楷體" w:hAnsi="標楷體" w:cs="Times New Roman"/>
          <w:sz w:val="28"/>
          <w:szCs w:val="28"/>
          <w:vertAlign w:val="superscript"/>
        </w:rPr>
        <w:footnoteReference w:id="22"/>
      </w:r>
      <w:r w:rsidRPr="005741BF">
        <w:rPr>
          <w:rFonts w:ascii="標楷體" w:eastAsia="標楷體" w:hAnsi="標楷體" w:cs="Times New Roman" w:hint="eastAsia"/>
          <w:sz w:val="28"/>
          <w:szCs w:val="28"/>
        </w:rPr>
        <w:t>及「其他未遵循或未充分遵循國際防制洗錢組織建議之國家或地區」</w:t>
      </w:r>
      <w:r w:rsidRPr="005741BF">
        <w:rPr>
          <w:rFonts w:ascii="標楷體" w:eastAsia="標楷體" w:hAnsi="標楷體" w:cs="Times New Roman"/>
          <w:sz w:val="28"/>
          <w:szCs w:val="28"/>
          <w:vertAlign w:val="superscript"/>
        </w:rPr>
        <w:footnoteReference w:id="23"/>
      </w:r>
      <w:r w:rsidRPr="005741BF">
        <w:rPr>
          <w:rFonts w:ascii="標楷體" w:eastAsia="標楷體" w:hAnsi="標楷體" w:cs="Times New Roman" w:hint="eastAsia"/>
          <w:sz w:val="28"/>
          <w:szCs w:val="28"/>
        </w:rPr>
        <w:t>名單)，將上開名單所列之國家或地區視為未採取F</w:t>
      </w:r>
      <w:r w:rsidRPr="005741BF">
        <w:rPr>
          <w:rFonts w:ascii="標楷體" w:eastAsia="標楷體" w:hAnsi="標楷體" w:cs="Times New Roman"/>
          <w:sz w:val="28"/>
          <w:szCs w:val="28"/>
        </w:rPr>
        <w:t>ATF</w:t>
      </w:r>
      <w:r w:rsidRPr="005741BF">
        <w:rPr>
          <w:rFonts w:ascii="標楷體" w:eastAsia="標楷體" w:hAnsi="標楷體" w:cs="Times New Roman" w:hint="eastAsia"/>
          <w:sz w:val="28"/>
          <w:szCs w:val="28"/>
        </w:rPr>
        <w:t>標準之國家或地區。</w:t>
      </w:r>
    </w:p>
    <w:p w14:paraId="0AE42D40" w14:textId="77777777" w:rsidR="00ED66B4" w:rsidRPr="005741BF" w:rsidRDefault="00ED66B4" w:rsidP="00ED66B4">
      <w:pPr>
        <w:numPr>
          <w:ilvl w:val="0"/>
          <w:numId w:val="10"/>
        </w:numPr>
        <w:spacing w:line="480" w:lineRule="exact"/>
        <w:ind w:left="1191" w:hanging="62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常見之實質受益人身分及說明：</w:t>
      </w:r>
    </w:p>
    <w:p w14:paraId="6EA8A4EC" w14:textId="77777777" w:rsidR="00ED66B4" w:rsidRPr="005741BF" w:rsidRDefault="00ED66B4" w:rsidP="00ED66B4">
      <w:pPr>
        <w:numPr>
          <w:ilvl w:val="0"/>
          <w:numId w:val="17"/>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如客戶為共同基金，且係於未採取</w:t>
      </w:r>
      <w:r w:rsidRPr="005741BF">
        <w:rPr>
          <w:rFonts w:ascii="標楷體" w:eastAsia="標楷體" w:hAnsi="標楷體" w:cs="Times New Roman"/>
          <w:sz w:val="28"/>
          <w:szCs w:val="28"/>
        </w:rPr>
        <w:t>FATF</w:t>
      </w:r>
      <w:r w:rsidRPr="005741BF">
        <w:rPr>
          <w:rFonts w:ascii="標楷體" w:eastAsia="標楷體" w:hAnsi="標楷體" w:cs="Times New Roman" w:hint="eastAsia"/>
          <w:sz w:val="28"/>
          <w:szCs w:val="28"/>
        </w:rPr>
        <w:t>標準之國家或地區設立之境外金融機構或其管理之投資工具：因共同基金持有人分散，不適用本參考做法第三點第一款第一目規定，故審查重點在於第二目或第三目（如適用）。一般而言，符合第二目敘述之人士包含可控制、管理或指示該基金之經理人（F</w:t>
      </w:r>
      <w:r w:rsidRPr="005741BF">
        <w:rPr>
          <w:rFonts w:ascii="標楷體" w:eastAsia="標楷體" w:hAnsi="標楷體" w:cs="Times New Roman"/>
          <w:sz w:val="28"/>
          <w:szCs w:val="28"/>
        </w:rPr>
        <w:t>und operator</w:t>
      </w:r>
      <w:r w:rsidRPr="005741BF">
        <w:rPr>
          <w:rFonts w:ascii="標楷體" w:eastAsia="標楷體" w:hAnsi="標楷體" w:cs="Times New Roman" w:hint="eastAsia"/>
          <w:sz w:val="28"/>
          <w:szCs w:val="28"/>
        </w:rPr>
        <w:t>、F</w:t>
      </w:r>
      <w:r w:rsidRPr="005741BF">
        <w:rPr>
          <w:rFonts w:ascii="標楷體" w:eastAsia="標楷體" w:hAnsi="標楷體" w:cs="Times New Roman"/>
          <w:sz w:val="28"/>
          <w:szCs w:val="28"/>
        </w:rPr>
        <w:t>und manager</w:t>
      </w:r>
      <w:r w:rsidRPr="005741BF">
        <w:rPr>
          <w:rFonts w:ascii="標楷體" w:eastAsia="標楷體" w:hAnsi="標楷體" w:cs="Times New Roman" w:hint="eastAsia"/>
          <w:sz w:val="28"/>
          <w:szCs w:val="28"/>
        </w:rPr>
        <w:t>或G</w:t>
      </w:r>
      <w:r w:rsidRPr="005741BF">
        <w:rPr>
          <w:rFonts w:ascii="標楷體" w:eastAsia="標楷體" w:hAnsi="標楷體" w:cs="Times New Roman"/>
          <w:sz w:val="28"/>
          <w:szCs w:val="28"/>
        </w:rPr>
        <w:t>eneral part</w:t>
      </w:r>
      <w:r w:rsidRPr="005741BF">
        <w:rPr>
          <w:rFonts w:ascii="標楷體" w:eastAsia="標楷體" w:hAnsi="標楷體" w:cs="Times New Roman" w:hint="eastAsia"/>
          <w:sz w:val="28"/>
          <w:szCs w:val="28"/>
        </w:rPr>
        <w:t>n</w:t>
      </w:r>
      <w:r w:rsidRPr="005741BF">
        <w:rPr>
          <w:rFonts w:ascii="標楷體" w:eastAsia="標楷體" w:hAnsi="標楷體" w:cs="Times New Roman"/>
          <w:sz w:val="28"/>
          <w:szCs w:val="28"/>
        </w:rPr>
        <w:t>er）</w:t>
      </w:r>
      <w:r w:rsidRPr="005741BF">
        <w:rPr>
          <w:rFonts w:ascii="標楷體" w:eastAsia="標楷體" w:hAnsi="標楷體" w:cs="Times New Roman" w:hint="eastAsia"/>
          <w:sz w:val="28"/>
          <w:szCs w:val="28"/>
        </w:rPr>
        <w:t>之人士。符合第三目敘述之人士則為基金本身之經理人（F</w:t>
      </w:r>
      <w:r w:rsidRPr="005741BF">
        <w:rPr>
          <w:rFonts w:ascii="標楷體" w:eastAsia="標楷體" w:hAnsi="標楷體" w:cs="Times New Roman"/>
          <w:sz w:val="28"/>
          <w:szCs w:val="28"/>
        </w:rPr>
        <w:t>und operator</w:t>
      </w:r>
      <w:r w:rsidRPr="005741BF">
        <w:rPr>
          <w:rFonts w:ascii="標楷體" w:eastAsia="標楷體" w:hAnsi="標楷體" w:cs="Times New Roman" w:hint="eastAsia"/>
          <w:sz w:val="28"/>
          <w:szCs w:val="28"/>
        </w:rPr>
        <w:t>或F</w:t>
      </w:r>
      <w:r w:rsidRPr="005741BF">
        <w:rPr>
          <w:rFonts w:ascii="標楷體" w:eastAsia="標楷體" w:hAnsi="標楷體" w:cs="Times New Roman"/>
          <w:sz w:val="28"/>
          <w:szCs w:val="28"/>
        </w:rPr>
        <w:t>und manager）</w:t>
      </w:r>
      <w:r w:rsidRPr="005741BF">
        <w:rPr>
          <w:rFonts w:ascii="標楷體" w:eastAsia="標楷體" w:hAnsi="標楷體" w:cs="Times New Roman" w:hint="eastAsia"/>
          <w:sz w:val="28"/>
          <w:szCs w:val="28"/>
        </w:rPr>
        <w:t>、M</w:t>
      </w:r>
      <w:r w:rsidRPr="005741BF">
        <w:rPr>
          <w:rFonts w:ascii="標楷體" w:eastAsia="標楷體" w:hAnsi="標楷體" w:cs="Times New Roman"/>
          <w:sz w:val="28"/>
          <w:szCs w:val="28"/>
        </w:rPr>
        <w:t>anaging member（</w:t>
      </w:r>
      <w:r w:rsidRPr="005741BF">
        <w:rPr>
          <w:rFonts w:ascii="標楷體" w:eastAsia="標楷體" w:hAnsi="標楷體" w:cs="Times New Roman" w:hint="eastAsia"/>
          <w:sz w:val="28"/>
          <w:szCs w:val="28"/>
        </w:rPr>
        <w:t>如基金為有限公司型態）或G</w:t>
      </w:r>
      <w:r w:rsidRPr="005741BF">
        <w:rPr>
          <w:rFonts w:ascii="標楷體" w:eastAsia="標楷體" w:hAnsi="標楷體" w:cs="Times New Roman"/>
          <w:sz w:val="28"/>
          <w:szCs w:val="28"/>
        </w:rPr>
        <w:t>eneral partner</w:t>
      </w:r>
      <w:r w:rsidRPr="005741BF">
        <w:rPr>
          <w:rFonts w:ascii="標楷體" w:eastAsia="標楷體" w:hAnsi="標楷體" w:cs="Times New Roman" w:hint="eastAsia"/>
          <w:sz w:val="28"/>
          <w:szCs w:val="28"/>
        </w:rPr>
        <w:t>（如基金為有限合夥型態）等。</w:t>
      </w:r>
    </w:p>
    <w:p w14:paraId="56CBE62C" w14:textId="77777777" w:rsidR="00ED66B4" w:rsidRPr="005741BF" w:rsidRDefault="00ED66B4" w:rsidP="00ED66B4">
      <w:pPr>
        <w:numPr>
          <w:ilvl w:val="0"/>
          <w:numId w:val="17"/>
        </w:numPr>
        <w:spacing w:afterLines="50" w:after="180"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如客戶為私募基金或避險基金，且係於未採取</w:t>
      </w:r>
      <w:r w:rsidRPr="005741BF">
        <w:rPr>
          <w:rFonts w:ascii="標楷體" w:eastAsia="標楷體" w:hAnsi="標楷體" w:cs="Times New Roman"/>
          <w:sz w:val="28"/>
          <w:szCs w:val="28"/>
        </w:rPr>
        <w:t>FATF</w:t>
      </w:r>
      <w:r w:rsidRPr="005741BF">
        <w:rPr>
          <w:rFonts w:ascii="標楷體" w:eastAsia="標楷體" w:hAnsi="標楷體" w:cs="Times New Roman" w:hint="eastAsia"/>
          <w:sz w:val="28"/>
          <w:szCs w:val="28"/>
        </w:rPr>
        <w:t>標準之國家或地區設立之境外金融機構或其管理之投資工具：考量私募基金或避險基金持有人數量較低，可能適用本參考做法第三點第一款第一目規定，故審查時仍須自上開步驟始，</w:t>
      </w:r>
      <w:proofErr w:type="gramStart"/>
      <w:r w:rsidRPr="005741BF">
        <w:rPr>
          <w:rFonts w:ascii="標楷體" w:eastAsia="標楷體" w:hAnsi="標楷體" w:cs="Times New Roman" w:hint="eastAsia"/>
          <w:sz w:val="28"/>
          <w:szCs w:val="28"/>
        </w:rPr>
        <w:t>餘同前一</w:t>
      </w:r>
      <w:proofErr w:type="gramEnd"/>
      <w:r w:rsidRPr="005741BF">
        <w:rPr>
          <w:rFonts w:ascii="標楷體" w:eastAsia="標楷體" w:hAnsi="標楷體" w:cs="Times New Roman" w:hint="eastAsia"/>
          <w:sz w:val="28"/>
          <w:szCs w:val="28"/>
        </w:rPr>
        <w:t>目說明。</w:t>
      </w:r>
    </w:p>
    <w:p w14:paraId="674A0A50" w14:textId="77777777" w:rsidR="00ED66B4" w:rsidRPr="005741BF" w:rsidRDefault="00ED66B4" w:rsidP="00ED66B4">
      <w:pPr>
        <w:numPr>
          <w:ilvl w:val="0"/>
          <w:numId w:val="14"/>
        </w:numPr>
        <w:ind w:left="567" w:hanging="567"/>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合夥組織</w:t>
      </w:r>
    </w:p>
    <w:p w14:paraId="1E7A8139" w14:textId="77777777" w:rsidR="00ED66B4" w:rsidRPr="005741BF" w:rsidRDefault="00ED66B4" w:rsidP="00ED66B4">
      <w:pPr>
        <w:spacing w:line="480" w:lineRule="exact"/>
        <w:ind w:left="567"/>
        <w:jc w:val="both"/>
        <w:rPr>
          <w:rFonts w:ascii="標楷體" w:eastAsia="標楷體" w:hAnsi="標楷體" w:cs="Times New Roman"/>
          <w:sz w:val="28"/>
          <w:szCs w:val="28"/>
        </w:rPr>
      </w:pPr>
      <w:r w:rsidRPr="005741BF">
        <w:rPr>
          <w:rFonts w:ascii="標楷體" w:eastAsia="標楷體" w:hAnsi="標楷體" w:cs="Times New Roman" w:hint="eastAsia"/>
          <w:sz w:val="28"/>
          <w:szCs w:val="28"/>
        </w:rPr>
        <w:t>依合夥組織型態，投信投顧事業應辨識之實質受益人身分如下：</w:t>
      </w:r>
    </w:p>
    <w:p w14:paraId="5CBC193C" w14:textId="77777777" w:rsidR="00ED66B4" w:rsidRPr="005741BF" w:rsidRDefault="00ED66B4" w:rsidP="00ED66B4">
      <w:pPr>
        <w:numPr>
          <w:ilvl w:val="0"/>
          <w:numId w:val="13"/>
        </w:numPr>
        <w:spacing w:line="480" w:lineRule="exact"/>
        <w:ind w:left="1191" w:hanging="62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合夥事業：符合本參考做法第三點第一款第一目敘述之合夥人。若無上開人士、因故無法取得合夥人出資比例，或對上開辨識結果有所懷疑時，則辨識所有合夥人。</w:t>
      </w:r>
    </w:p>
    <w:p w14:paraId="3720EF1C" w14:textId="77777777" w:rsidR="00ED66B4" w:rsidRPr="005741BF" w:rsidRDefault="00ED66B4" w:rsidP="00ED66B4">
      <w:pPr>
        <w:numPr>
          <w:ilvl w:val="0"/>
          <w:numId w:val="13"/>
        </w:numPr>
        <w:spacing w:line="480" w:lineRule="exact"/>
        <w:ind w:left="1191" w:hanging="62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有限合夥</w:t>
      </w:r>
      <w:r w:rsidRPr="005741BF">
        <w:rPr>
          <w:rFonts w:ascii="標楷體" w:eastAsia="標楷體" w:hAnsi="標楷體" w:cs="Times New Roman"/>
          <w:sz w:val="28"/>
          <w:szCs w:val="28"/>
          <w:vertAlign w:val="superscript"/>
        </w:rPr>
        <w:footnoteReference w:id="24"/>
      </w:r>
      <w:r w:rsidRPr="005741BF">
        <w:rPr>
          <w:rFonts w:ascii="標楷體" w:eastAsia="標楷體" w:hAnsi="標楷體" w:cs="Times New Roman" w:hint="eastAsia"/>
          <w:sz w:val="28"/>
          <w:szCs w:val="28"/>
        </w:rPr>
        <w:t>：</w:t>
      </w:r>
    </w:p>
    <w:p w14:paraId="0581D69F" w14:textId="77777777" w:rsidR="00ED66B4" w:rsidRPr="005741BF" w:rsidRDefault="00ED66B4" w:rsidP="00ED66B4">
      <w:pPr>
        <w:numPr>
          <w:ilvl w:val="0"/>
          <w:numId w:val="18"/>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lastRenderedPageBreak/>
        <w:t>符合本參考做法第三點第一款第一目敘述之自然人。</w:t>
      </w:r>
    </w:p>
    <w:p w14:paraId="6113563F" w14:textId="77777777" w:rsidR="00ED66B4" w:rsidRPr="005741BF" w:rsidRDefault="00ED66B4" w:rsidP="00ED66B4">
      <w:pPr>
        <w:numPr>
          <w:ilvl w:val="0"/>
          <w:numId w:val="18"/>
        </w:numPr>
        <w:spacing w:afterLines="50" w:after="180"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若無上開人士，或對上開辨識結果有所懷疑時，則辨識所有普通合夥人及有限合夥代表人。若普通合夥人為法人，尚應辨識該法人之實質受益人。</w:t>
      </w:r>
    </w:p>
    <w:p w14:paraId="3DE0897A" w14:textId="77777777" w:rsidR="00ED66B4" w:rsidRPr="005741BF" w:rsidRDefault="00ED66B4" w:rsidP="00ED66B4">
      <w:pPr>
        <w:numPr>
          <w:ilvl w:val="0"/>
          <w:numId w:val="14"/>
        </w:numPr>
        <w:ind w:left="567" w:hanging="567"/>
        <w:jc w:val="both"/>
        <w:rPr>
          <w:rFonts w:ascii="標楷體" w:eastAsia="標楷體" w:hAnsi="標楷體" w:cs="Times New Roman"/>
          <w:sz w:val="28"/>
          <w:szCs w:val="28"/>
        </w:rPr>
      </w:pPr>
      <w:r w:rsidRPr="005741BF">
        <w:rPr>
          <w:rFonts w:ascii="標楷體" w:eastAsia="標楷體" w:hAnsi="標楷體" w:cs="Times New Roman" w:hint="eastAsia"/>
          <w:sz w:val="28"/>
          <w:szCs w:val="28"/>
        </w:rPr>
        <w:t>非營利組織</w:t>
      </w:r>
    </w:p>
    <w:p w14:paraId="6A06D7F2" w14:textId="77777777" w:rsidR="00ED66B4" w:rsidRPr="005741BF" w:rsidRDefault="00ED66B4" w:rsidP="00ED66B4">
      <w:pPr>
        <w:numPr>
          <w:ilvl w:val="0"/>
          <w:numId w:val="19"/>
        </w:numPr>
        <w:spacing w:line="480" w:lineRule="exact"/>
        <w:ind w:left="1191" w:hanging="62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非營利組織如財團法人、私立學校等。</w:t>
      </w:r>
    </w:p>
    <w:p w14:paraId="23975BD2" w14:textId="77777777" w:rsidR="00ED66B4" w:rsidRPr="005741BF" w:rsidRDefault="00ED66B4" w:rsidP="00ED66B4">
      <w:pPr>
        <w:numPr>
          <w:ilvl w:val="0"/>
          <w:numId w:val="19"/>
        </w:numPr>
        <w:spacing w:line="480" w:lineRule="exact"/>
        <w:ind w:left="1191" w:hanging="62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較常見之實質受益人身分舉例如下：</w:t>
      </w:r>
    </w:p>
    <w:p w14:paraId="00AA5944"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負責人、代表人。</w:t>
      </w:r>
    </w:p>
    <w:p w14:paraId="222F2E3E"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董事長。</w:t>
      </w:r>
    </w:p>
    <w:p w14:paraId="070DBE45"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董事。</w:t>
      </w:r>
    </w:p>
    <w:p w14:paraId="35490F75"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理事長。</w:t>
      </w:r>
    </w:p>
    <w:p w14:paraId="4EE2C80B"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校長、副校長。</w:t>
      </w:r>
    </w:p>
    <w:p w14:paraId="6D212998"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院長、副院長。</w:t>
      </w:r>
    </w:p>
    <w:p w14:paraId="2C459B6A"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監察人。</w:t>
      </w:r>
    </w:p>
    <w:p w14:paraId="0567FA44"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執行長、執行秘書。</w:t>
      </w:r>
    </w:p>
    <w:p w14:paraId="00F8C47F"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主任委員。</w:t>
      </w:r>
    </w:p>
    <w:p w14:paraId="6296DBAE"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創辦人。</w:t>
      </w:r>
    </w:p>
    <w:p w14:paraId="50768E1C"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創辦人之家庭成員及有密切關係之人。</w:t>
      </w:r>
    </w:p>
    <w:p w14:paraId="6F369CB0"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主要捐助人。</w:t>
      </w:r>
    </w:p>
    <w:p w14:paraId="1D2607F2" w14:textId="77777777" w:rsidR="00ED66B4" w:rsidRPr="005741BF" w:rsidRDefault="00ED66B4" w:rsidP="00ED66B4">
      <w:pPr>
        <w:numPr>
          <w:ilvl w:val="0"/>
          <w:numId w:val="20"/>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 xml:space="preserve">有權管理人員或有權簽章人。 </w:t>
      </w:r>
    </w:p>
    <w:p w14:paraId="570B9A11" w14:textId="77777777" w:rsidR="00ED66B4" w:rsidRPr="005741BF" w:rsidRDefault="00ED66B4" w:rsidP="00ED66B4">
      <w:pPr>
        <w:numPr>
          <w:ilvl w:val="0"/>
          <w:numId w:val="19"/>
        </w:numPr>
        <w:spacing w:line="480" w:lineRule="exact"/>
        <w:ind w:left="1191" w:hanging="62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投信投顧事業得透過下列文件（若適用）辨識前款所列之實質受益人身分：</w:t>
      </w:r>
    </w:p>
    <w:p w14:paraId="73225F21" w14:textId="77777777" w:rsidR="00ED66B4" w:rsidRPr="005741BF" w:rsidRDefault="00ED66B4" w:rsidP="00ED66B4">
      <w:pPr>
        <w:numPr>
          <w:ilvl w:val="0"/>
          <w:numId w:val="21"/>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法人登記證明文件。</w:t>
      </w:r>
    </w:p>
    <w:p w14:paraId="08A876D8" w14:textId="77777777" w:rsidR="00ED66B4" w:rsidRPr="005741BF" w:rsidRDefault="00ED66B4" w:rsidP="00ED66B4">
      <w:pPr>
        <w:numPr>
          <w:ilvl w:val="0"/>
          <w:numId w:val="21"/>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董事名冊。</w:t>
      </w:r>
    </w:p>
    <w:p w14:paraId="41E3E7B4" w14:textId="77777777" w:rsidR="00ED66B4" w:rsidRPr="005741BF" w:rsidRDefault="00ED66B4" w:rsidP="00ED66B4">
      <w:pPr>
        <w:numPr>
          <w:ilvl w:val="0"/>
          <w:numId w:val="21"/>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組織或管理章程。</w:t>
      </w:r>
    </w:p>
    <w:p w14:paraId="5F3CB6CF" w14:textId="77777777" w:rsidR="00ED66B4" w:rsidRPr="005741BF" w:rsidRDefault="00ED66B4" w:rsidP="00ED66B4">
      <w:pPr>
        <w:numPr>
          <w:ilvl w:val="0"/>
          <w:numId w:val="21"/>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捐助章程。</w:t>
      </w:r>
    </w:p>
    <w:p w14:paraId="373E1BE9" w14:textId="77777777" w:rsidR="00ED66B4" w:rsidRPr="005741BF" w:rsidRDefault="00ED66B4" w:rsidP="00ED66B4">
      <w:pPr>
        <w:numPr>
          <w:ilvl w:val="0"/>
          <w:numId w:val="21"/>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財務報表。</w:t>
      </w:r>
    </w:p>
    <w:p w14:paraId="64C18505" w14:textId="77777777" w:rsidR="00ED66B4" w:rsidRPr="005741BF" w:rsidRDefault="00ED66B4" w:rsidP="00ED66B4">
      <w:pPr>
        <w:numPr>
          <w:ilvl w:val="0"/>
          <w:numId w:val="21"/>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寺廟登記證、執事名冊。（限宗教類非營利組織）</w:t>
      </w:r>
      <w:r w:rsidRPr="005741BF">
        <w:rPr>
          <w:rFonts w:ascii="標楷體" w:eastAsia="標楷體" w:hAnsi="標楷體" w:cs="Times New Roman"/>
          <w:vertAlign w:val="superscript"/>
        </w:rPr>
        <w:footnoteReference w:id="25"/>
      </w:r>
      <w:r w:rsidRPr="005741BF">
        <w:rPr>
          <w:rFonts w:ascii="標楷體" w:eastAsia="標楷體" w:hAnsi="標楷體" w:cs="Times New Roman" w:hint="eastAsia"/>
          <w:sz w:val="28"/>
          <w:szCs w:val="28"/>
        </w:rPr>
        <w:t>。</w:t>
      </w:r>
    </w:p>
    <w:p w14:paraId="6F1906AD" w14:textId="77777777" w:rsidR="00ED66B4" w:rsidRPr="005741BF" w:rsidRDefault="00ED66B4" w:rsidP="00ED66B4">
      <w:pPr>
        <w:numPr>
          <w:ilvl w:val="0"/>
          <w:numId w:val="21"/>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其他可信文件。</w:t>
      </w:r>
    </w:p>
    <w:p w14:paraId="2E221056" w14:textId="77777777" w:rsidR="00ED66B4" w:rsidRPr="005741BF" w:rsidRDefault="00ED66B4" w:rsidP="00ED66B4">
      <w:pPr>
        <w:numPr>
          <w:ilvl w:val="0"/>
          <w:numId w:val="19"/>
        </w:numPr>
        <w:spacing w:line="480" w:lineRule="exact"/>
        <w:ind w:left="1191" w:hanging="624"/>
        <w:jc w:val="both"/>
        <w:rPr>
          <w:rFonts w:ascii="標楷體" w:eastAsia="標楷體" w:hAnsi="標楷體" w:cs="Times New Roman"/>
          <w:sz w:val="28"/>
          <w:szCs w:val="28"/>
        </w:rPr>
      </w:pPr>
      <w:r w:rsidRPr="005741BF">
        <w:rPr>
          <w:rFonts w:ascii="標楷體" w:eastAsia="標楷體" w:hAnsi="標楷體" w:cs="Times New Roman" w:hint="eastAsia"/>
          <w:sz w:val="28"/>
          <w:szCs w:val="28"/>
        </w:rPr>
        <w:lastRenderedPageBreak/>
        <w:t>投信投顧事業得透過以下公開資訊來源驗證經設立登記之非營利組織客戶提供之實質受益人資訊：</w:t>
      </w:r>
    </w:p>
    <w:p w14:paraId="6BD985E3" w14:textId="77777777" w:rsidR="00ED66B4" w:rsidRPr="005741BF" w:rsidRDefault="00ED66B4" w:rsidP="00ED66B4">
      <w:pPr>
        <w:numPr>
          <w:ilvl w:val="0"/>
          <w:numId w:val="22"/>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司法院「法人及夫妻財產登記公告」網站</w:t>
      </w:r>
      <w:r w:rsidRPr="005741BF">
        <w:rPr>
          <w:rFonts w:ascii="標楷體" w:eastAsia="標楷體" w:hAnsi="標楷體" w:cs="Times New Roman"/>
          <w:sz w:val="28"/>
          <w:szCs w:val="28"/>
          <w:vertAlign w:val="superscript"/>
        </w:rPr>
        <w:footnoteReference w:id="26"/>
      </w:r>
      <w:r w:rsidRPr="005741BF">
        <w:rPr>
          <w:rFonts w:ascii="標楷體" w:eastAsia="標楷體" w:hAnsi="標楷體" w:cs="Times New Roman" w:hint="eastAsia"/>
          <w:sz w:val="28"/>
          <w:szCs w:val="28"/>
        </w:rPr>
        <w:t>。</w:t>
      </w:r>
    </w:p>
    <w:p w14:paraId="12F23CB8" w14:textId="77777777" w:rsidR="00ED66B4" w:rsidRPr="005741BF" w:rsidRDefault="00ED66B4" w:rsidP="00ED66B4">
      <w:pPr>
        <w:numPr>
          <w:ilvl w:val="0"/>
          <w:numId w:val="22"/>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內政部「合作及人民團體司籌備處」網站</w:t>
      </w:r>
      <w:r w:rsidRPr="005741BF">
        <w:rPr>
          <w:rFonts w:ascii="標楷體" w:eastAsia="標楷體" w:hAnsi="標楷體" w:cs="Times New Roman"/>
          <w:sz w:val="28"/>
          <w:szCs w:val="28"/>
          <w:vertAlign w:val="superscript"/>
        </w:rPr>
        <w:footnoteReference w:id="27"/>
      </w:r>
      <w:r w:rsidRPr="005741BF">
        <w:rPr>
          <w:rFonts w:ascii="標楷體" w:eastAsia="標楷體" w:hAnsi="標楷體" w:cs="Times New Roman" w:hint="eastAsia"/>
          <w:sz w:val="28"/>
          <w:szCs w:val="28"/>
        </w:rPr>
        <w:t>。</w:t>
      </w:r>
    </w:p>
    <w:p w14:paraId="72101E01" w14:textId="77777777" w:rsidR="00ED66B4" w:rsidRPr="005741BF" w:rsidRDefault="00ED66B4" w:rsidP="00ED66B4">
      <w:pPr>
        <w:numPr>
          <w:ilvl w:val="0"/>
          <w:numId w:val="22"/>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內政部「公益資訊平台」網站</w:t>
      </w:r>
      <w:r w:rsidRPr="005741BF">
        <w:rPr>
          <w:rFonts w:ascii="標楷體" w:eastAsia="標楷體" w:hAnsi="標楷體" w:cs="Times New Roman"/>
          <w:sz w:val="28"/>
          <w:szCs w:val="28"/>
          <w:vertAlign w:val="superscript"/>
        </w:rPr>
        <w:footnoteReference w:id="28"/>
      </w:r>
      <w:r w:rsidRPr="005741BF">
        <w:rPr>
          <w:rFonts w:ascii="標楷體" w:eastAsia="標楷體" w:hAnsi="標楷體" w:cs="Times New Roman" w:hint="eastAsia"/>
          <w:sz w:val="28"/>
          <w:szCs w:val="28"/>
        </w:rPr>
        <w:t>。</w:t>
      </w:r>
    </w:p>
    <w:p w14:paraId="6F5C1149" w14:textId="77777777" w:rsidR="00ED66B4" w:rsidRPr="005741BF" w:rsidRDefault="00ED66B4" w:rsidP="00ED66B4">
      <w:pPr>
        <w:numPr>
          <w:ilvl w:val="0"/>
          <w:numId w:val="22"/>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Times New Roman" w:hint="eastAsia"/>
          <w:sz w:val="28"/>
          <w:szCs w:val="28"/>
        </w:rPr>
        <w:t>全國宗教資訊網</w:t>
      </w:r>
      <w:proofErr w:type="gramStart"/>
      <w:r w:rsidRPr="005741BF">
        <w:rPr>
          <w:rFonts w:ascii="標楷體" w:eastAsia="標楷體" w:hAnsi="標楷體" w:cs="Times New Roman" w:hint="eastAsia"/>
          <w:sz w:val="28"/>
          <w:szCs w:val="28"/>
        </w:rPr>
        <w:t>─</w:t>
      </w:r>
      <w:proofErr w:type="gramEnd"/>
      <w:r w:rsidRPr="005741BF">
        <w:rPr>
          <w:rFonts w:ascii="標楷體" w:eastAsia="標楷體" w:hAnsi="標楷體" w:cs="Times New Roman" w:hint="eastAsia"/>
          <w:sz w:val="28"/>
          <w:szCs w:val="28"/>
        </w:rPr>
        <w:t>宗教團體查詢網站</w:t>
      </w:r>
      <w:r w:rsidRPr="005741BF">
        <w:rPr>
          <w:rFonts w:ascii="標楷體" w:eastAsia="標楷體" w:hAnsi="標楷體" w:cs="Times New Roman"/>
          <w:sz w:val="28"/>
          <w:szCs w:val="28"/>
          <w:vertAlign w:val="superscript"/>
        </w:rPr>
        <w:footnoteReference w:id="29"/>
      </w:r>
      <w:r w:rsidRPr="005741BF">
        <w:rPr>
          <w:rFonts w:ascii="標楷體" w:eastAsia="標楷體" w:hAnsi="標楷體" w:cs="Times New Roman" w:hint="eastAsia"/>
          <w:sz w:val="28"/>
          <w:szCs w:val="28"/>
        </w:rPr>
        <w:t>。</w:t>
      </w:r>
    </w:p>
    <w:p w14:paraId="3A10005A" w14:textId="77777777" w:rsidR="00ED66B4" w:rsidRPr="005741BF" w:rsidRDefault="00ED66B4" w:rsidP="00ED66B4">
      <w:pPr>
        <w:numPr>
          <w:ilvl w:val="0"/>
          <w:numId w:val="22"/>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Arial" w:hint="eastAsia"/>
          <w:sz w:val="28"/>
          <w:szCs w:val="28"/>
        </w:rPr>
        <w:t>衛生福利部社會及家庭署「</w:t>
      </w:r>
      <w:r w:rsidRPr="005741BF">
        <w:rPr>
          <w:rFonts w:ascii="標楷體" w:eastAsia="標楷體" w:hAnsi="標楷體" w:cs="Arial"/>
          <w:sz w:val="28"/>
          <w:szCs w:val="28"/>
        </w:rPr>
        <w:t>全國性財團法人社會福利基金會</w:t>
      </w:r>
      <w:r w:rsidRPr="005741BF">
        <w:rPr>
          <w:rFonts w:ascii="標楷體" w:eastAsia="標楷體" w:hAnsi="標楷體" w:cs="Arial" w:hint="eastAsia"/>
          <w:sz w:val="28"/>
          <w:szCs w:val="28"/>
        </w:rPr>
        <w:t>」網站</w:t>
      </w:r>
      <w:r w:rsidRPr="005741BF">
        <w:rPr>
          <w:rFonts w:ascii="標楷體" w:eastAsia="標楷體" w:hAnsi="標楷體" w:cs="Arial"/>
          <w:sz w:val="28"/>
          <w:szCs w:val="28"/>
          <w:vertAlign w:val="superscript"/>
        </w:rPr>
        <w:footnoteReference w:id="30"/>
      </w:r>
      <w:r w:rsidRPr="005741BF">
        <w:rPr>
          <w:rFonts w:ascii="標楷體" w:eastAsia="標楷體" w:hAnsi="標楷體" w:cs="Times New Roman" w:hint="eastAsia"/>
          <w:sz w:val="28"/>
          <w:szCs w:val="28"/>
        </w:rPr>
        <w:t>。</w:t>
      </w:r>
    </w:p>
    <w:p w14:paraId="12EA46A7" w14:textId="77777777" w:rsidR="00ED66B4" w:rsidRPr="005741BF" w:rsidRDefault="00ED66B4" w:rsidP="00ED66B4">
      <w:pPr>
        <w:numPr>
          <w:ilvl w:val="0"/>
          <w:numId w:val="22"/>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Arial" w:hint="eastAsia"/>
          <w:sz w:val="28"/>
          <w:szCs w:val="28"/>
        </w:rPr>
        <w:t>衛生福利部</w:t>
      </w:r>
      <w:proofErr w:type="gramStart"/>
      <w:r w:rsidRPr="005741BF">
        <w:rPr>
          <w:rFonts w:ascii="標楷體" w:eastAsia="標楷體" w:hAnsi="標楷體" w:cs="Arial" w:hint="eastAsia"/>
          <w:sz w:val="28"/>
          <w:szCs w:val="28"/>
        </w:rPr>
        <w:t>醫</w:t>
      </w:r>
      <w:proofErr w:type="gramEnd"/>
      <w:r w:rsidRPr="005741BF">
        <w:rPr>
          <w:rFonts w:ascii="標楷體" w:eastAsia="標楷體" w:hAnsi="標楷體" w:cs="Arial" w:hint="eastAsia"/>
          <w:sz w:val="28"/>
          <w:szCs w:val="28"/>
        </w:rPr>
        <w:t>事司「</w:t>
      </w:r>
      <w:r w:rsidRPr="005741BF">
        <w:rPr>
          <w:rFonts w:ascii="標楷體" w:eastAsia="標楷體" w:hAnsi="標楷體" w:cs="Arial"/>
          <w:sz w:val="28"/>
          <w:szCs w:val="28"/>
        </w:rPr>
        <w:t>醫療財團法人歷年財務報表</w:t>
      </w:r>
      <w:r w:rsidRPr="005741BF">
        <w:rPr>
          <w:rFonts w:ascii="標楷體" w:eastAsia="標楷體" w:hAnsi="標楷體" w:cs="Arial" w:hint="eastAsia"/>
          <w:sz w:val="28"/>
          <w:szCs w:val="28"/>
        </w:rPr>
        <w:t>」網站</w:t>
      </w:r>
      <w:r w:rsidRPr="005741BF">
        <w:rPr>
          <w:rFonts w:ascii="標楷體" w:eastAsia="標楷體" w:hAnsi="標楷體" w:cs="Arial"/>
          <w:sz w:val="28"/>
          <w:szCs w:val="28"/>
          <w:vertAlign w:val="superscript"/>
        </w:rPr>
        <w:footnoteReference w:id="31"/>
      </w:r>
      <w:r w:rsidRPr="005741BF">
        <w:rPr>
          <w:rFonts w:ascii="標楷體" w:eastAsia="標楷體" w:hAnsi="標楷體" w:cs="Times New Roman" w:hint="eastAsia"/>
          <w:sz w:val="28"/>
          <w:szCs w:val="28"/>
        </w:rPr>
        <w:t>。</w:t>
      </w:r>
    </w:p>
    <w:p w14:paraId="40A532DC" w14:textId="77777777" w:rsidR="00ED66B4" w:rsidRPr="005741BF" w:rsidRDefault="00ED66B4" w:rsidP="00ED66B4">
      <w:pPr>
        <w:numPr>
          <w:ilvl w:val="0"/>
          <w:numId w:val="22"/>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Arial"/>
          <w:sz w:val="28"/>
          <w:szCs w:val="28"/>
        </w:rPr>
        <w:t>教育部</w:t>
      </w:r>
      <w:r w:rsidRPr="005741BF">
        <w:rPr>
          <w:rFonts w:ascii="標楷體" w:eastAsia="標楷體" w:hAnsi="標楷體" w:cs="Arial" w:hint="eastAsia"/>
          <w:sz w:val="28"/>
          <w:szCs w:val="28"/>
        </w:rPr>
        <w:t>「</w:t>
      </w:r>
      <w:r w:rsidRPr="005741BF">
        <w:rPr>
          <w:rFonts w:ascii="標楷體" w:eastAsia="標楷體" w:hAnsi="標楷體" w:cs="Arial"/>
          <w:sz w:val="28"/>
          <w:szCs w:val="28"/>
        </w:rPr>
        <w:t>教育基金會資訊網</w:t>
      </w:r>
      <w:r w:rsidRPr="005741BF">
        <w:rPr>
          <w:rFonts w:ascii="標楷體" w:eastAsia="標楷體" w:hAnsi="標楷體" w:cs="Arial" w:hint="eastAsia"/>
          <w:sz w:val="28"/>
          <w:szCs w:val="28"/>
        </w:rPr>
        <w:t>」網站</w:t>
      </w:r>
      <w:r w:rsidRPr="005741BF">
        <w:rPr>
          <w:rFonts w:ascii="標楷體" w:eastAsia="標楷體" w:hAnsi="標楷體" w:cs="Arial"/>
          <w:sz w:val="28"/>
          <w:szCs w:val="28"/>
          <w:vertAlign w:val="superscript"/>
        </w:rPr>
        <w:footnoteReference w:id="32"/>
      </w:r>
      <w:r w:rsidRPr="005741BF">
        <w:rPr>
          <w:rFonts w:ascii="標楷體" w:eastAsia="標楷體" w:hAnsi="標楷體" w:cs="Times New Roman" w:hint="eastAsia"/>
          <w:sz w:val="28"/>
          <w:szCs w:val="28"/>
        </w:rPr>
        <w:t>。</w:t>
      </w:r>
    </w:p>
    <w:p w14:paraId="1C9CF29F" w14:textId="77777777" w:rsidR="00ED66B4" w:rsidRPr="002E2B07" w:rsidRDefault="00ED66B4" w:rsidP="00ED66B4">
      <w:pPr>
        <w:numPr>
          <w:ilvl w:val="0"/>
          <w:numId w:val="22"/>
        </w:numPr>
        <w:spacing w:line="480" w:lineRule="exact"/>
        <w:ind w:leftChars="506" w:left="1668" w:hanging="454"/>
        <w:jc w:val="both"/>
        <w:rPr>
          <w:rFonts w:ascii="標楷體" w:eastAsia="標楷體" w:hAnsi="標楷體" w:cs="Times New Roman"/>
          <w:sz w:val="28"/>
          <w:szCs w:val="28"/>
        </w:rPr>
      </w:pPr>
      <w:r w:rsidRPr="005741BF">
        <w:rPr>
          <w:rFonts w:ascii="標楷體" w:eastAsia="標楷體" w:hAnsi="標楷體" w:cs="Arial"/>
          <w:sz w:val="28"/>
          <w:szCs w:val="28"/>
        </w:rPr>
        <w:t>文化部</w:t>
      </w:r>
      <w:r w:rsidRPr="005741BF">
        <w:rPr>
          <w:rFonts w:ascii="標楷體" w:eastAsia="標楷體" w:hAnsi="標楷體" w:cs="Arial" w:hint="eastAsia"/>
          <w:sz w:val="28"/>
          <w:szCs w:val="28"/>
        </w:rPr>
        <w:t>「</w:t>
      </w:r>
      <w:r w:rsidRPr="005741BF">
        <w:rPr>
          <w:rFonts w:ascii="標楷體" w:eastAsia="標楷體" w:hAnsi="標楷體" w:cs="Arial"/>
          <w:sz w:val="28"/>
          <w:szCs w:val="28"/>
        </w:rPr>
        <w:t>財團法人專區</w:t>
      </w:r>
      <w:r w:rsidRPr="005741BF">
        <w:rPr>
          <w:rFonts w:ascii="標楷體" w:eastAsia="標楷體" w:hAnsi="標楷體" w:cs="Arial" w:hint="eastAsia"/>
          <w:sz w:val="28"/>
          <w:szCs w:val="28"/>
        </w:rPr>
        <w:t>」網站</w:t>
      </w:r>
      <w:r w:rsidRPr="005741BF">
        <w:rPr>
          <w:rFonts w:ascii="標楷體" w:eastAsia="標楷體" w:hAnsi="標楷體" w:cs="Arial"/>
          <w:sz w:val="28"/>
          <w:szCs w:val="28"/>
          <w:vertAlign w:val="superscript"/>
        </w:rPr>
        <w:footnoteReference w:id="33"/>
      </w:r>
      <w:r w:rsidRPr="005741BF">
        <w:rPr>
          <w:rFonts w:ascii="標楷體" w:eastAsia="標楷體" w:hAnsi="標楷體" w:cs="Times New Roman" w:hint="eastAsia"/>
          <w:sz w:val="28"/>
          <w:szCs w:val="28"/>
        </w:rPr>
        <w:t>。</w:t>
      </w:r>
    </w:p>
    <w:p w14:paraId="4C14894A" w14:textId="77777777" w:rsidR="00ED66B4" w:rsidRPr="005741BF" w:rsidRDefault="00ED66B4" w:rsidP="00ED66B4"/>
    <w:p w14:paraId="4AE3B951" w14:textId="77777777" w:rsidR="003358F1" w:rsidRPr="00ED66B4" w:rsidRDefault="003358F1"/>
    <w:sectPr w:rsidR="003358F1" w:rsidRPr="00ED66B4" w:rsidSect="00ED66B4">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998C8" w14:textId="77777777" w:rsidR="00ED66B4" w:rsidRDefault="00ED66B4" w:rsidP="00ED66B4">
      <w:r>
        <w:separator/>
      </w:r>
    </w:p>
  </w:endnote>
  <w:endnote w:type="continuationSeparator" w:id="0">
    <w:p w14:paraId="542298F7" w14:textId="77777777" w:rsidR="00ED66B4" w:rsidRDefault="00ED66B4" w:rsidP="00ED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F36C" w14:textId="77777777" w:rsidR="00D02F94" w:rsidRDefault="00D02F94">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721438"/>
      <w:docPartObj>
        <w:docPartGallery w:val="Page Numbers (Bottom of Page)"/>
        <w:docPartUnique/>
      </w:docPartObj>
    </w:sdtPr>
    <w:sdtEndPr/>
    <w:sdtContent>
      <w:p w14:paraId="019D6ADA" w14:textId="77777777" w:rsidR="008E05C2" w:rsidRDefault="008E05C2">
        <w:pPr>
          <w:pStyle w:val="ac"/>
          <w:jc w:val="center"/>
        </w:pPr>
        <w:r>
          <w:fldChar w:fldCharType="begin"/>
        </w:r>
        <w:r>
          <w:instrText>PAGE   \* MERGEFORMAT</w:instrText>
        </w:r>
        <w:r>
          <w:fldChar w:fldCharType="separate"/>
        </w:r>
        <w:r>
          <w:rPr>
            <w:lang w:val="zh-TW"/>
          </w:rPr>
          <w:t>2</w:t>
        </w:r>
        <w:r>
          <w:fldChar w:fldCharType="end"/>
        </w:r>
      </w:p>
    </w:sdtContent>
  </w:sdt>
  <w:p w14:paraId="0F18D210" w14:textId="77777777" w:rsidR="008E05C2" w:rsidRDefault="008E05C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32E09" w14:textId="77777777" w:rsidR="00D02F94" w:rsidRDefault="00D02F9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4945AC" w14:textId="77777777" w:rsidR="00ED66B4" w:rsidRDefault="00ED66B4" w:rsidP="00ED66B4">
      <w:r>
        <w:separator/>
      </w:r>
    </w:p>
  </w:footnote>
  <w:footnote w:type="continuationSeparator" w:id="0">
    <w:p w14:paraId="446259F2" w14:textId="77777777" w:rsidR="00ED66B4" w:rsidRDefault="00ED66B4" w:rsidP="00ED66B4">
      <w:r>
        <w:continuationSeparator/>
      </w:r>
    </w:p>
  </w:footnote>
  <w:footnote w:id="1">
    <w:p w14:paraId="5F5FA9F6" w14:textId="77777777" w:rsidR="00ED66B4" w:rsidRPr="00400466" w:rsidRDefault="00ED66B4" w:rsidP="00ED66B4">
      <w:pPr>
        <w:rPr>
          <w:rFonts w:ascii="標楷體" w:eastAsia="標楷體" w:hAnsi="標楷體"/>
          <w:sz w:val="20"/>
          <w:szCs w:val="20"/>
        </w:rPr>
      </w:pPr>
      <w:r w:rsidRPr="00400466">
        <w:rPr>
          <w:rStyle w:val="a4"/>
          <w:rFonts w:ascii="標楷體" w:eastAsia="標楷體" w:hAnsi="標楷體"/>
          <w:sz w:val="20"/>
          <w:szCs w:val="20"/>
        </w:rPr>
        <w:footnoteRef/>
      </w:r>
      <w:r w:rsidRPr="00400466">
        <w:rPr>
          <w:rFonts w:ascii="標楷體" w:eastAsia="標楷體" w:hAnsi="標楷體"/>
          <w:sz w:val="20"/>
          <w:szCs w:val="20"/>
        </w:rPr>
        <w:t xml:space="preserve"> </w:t>
      </w:r>
      <w:r w:rsidRPr="00400466">
        <w:rPr>
          <w:rFonts w:ascii="標楷體" w:eastAsia="標楷體" w:hAnsi="標楷體" w:hint="eastAsia"/>
          <w:sz w:val="20"/>
          <w:szCs w:val="20"/>
        </w:rPr>
        <w:t>依據「金融機構防制洗錢辦法」第三條第二、四及五款規定。</w:t>
      </w:r>
    </w:p>
  </w:footnote>
  <w:footnote w:id="2">
    <w:p w14:paraId="74083C46" w14:textId="77777777" w:rsidR="00ED66B4" w:rsidRPr="00400466" w:rsidRDefault="00ED66B4" w:rsidP="00ED66B4">
      <w:pPr>
        <w:rPr>
          <w:rFonts w:ascii="標楷體" w:eastAsia="標楷體" w:hAnsi="標楷體"/>
          <w:sz w:val="20"/>
          <w:szCs w:val="20"/>
        </w:rPr>
      </w:pPr>
      <w:r w:rsidRPr="00400466">
        <w:rPr>
          <w:rStyle w:val="a4"/>
          <w:rFonts w:ascii="標楷體" w:eastAsia="標楷體" w:hAnsi="標楷體"/>
          <w:sz w:val="20"/>
          <w:szCs w:val="20"/>
        </w:rPr>
        <w:footnoteRef/>
      </w:r>
      <w:r w:rsidRPr="00400466">
        <w:rPr>
          <w:rFonts w:ascii="標楷體" w:eastAsia="標楷體" w:hAnsi="標楷體"/>
          <w:sz w:val="20"/>
          <w:szCs w:val="20"/>
        </w:rPr>
        <w:t xml:space="preserve"> </w:t>
      </w:r>
      <w:r w:rsidRPr="00400466">
        <w:rPr>
          <w:rFonts w:ascii="標楷體" w:eastAsia="標楷體" w:hAnsi="標楷體" w:hint="eastAsia"/>
          <w:sz w:val="20"/>
          <w:szCs w:val="20"/>
        </w:rPr>
        <w:t>依據「金融機構防制洗錢辦法」第三條第七款及第九款規定</w:t>
      </w:r>
      <w:r w:rsidRPr="00400466">
        <w:rPr>
          <w:rFonts w:ascii="標楷體" w:eastAsia="標楷體" w:hAnsi="標楷體" w:cs="Arial" w:hint="eastAsia"/>
          <w:color w:val="000000"/>
          <w:kern w:val="0"/>
          <w:sz w:val="20"/>
          <w:szCs w:val="20"/>
        </w:rPr>
        <w:t>。</w:t>
      </w:r>
    </w:p>
  </w:footnote>
  <w:footnote w:id="3">
    <w:p w14:paraId="7AFD3792" w14:textId="77777777" w:rsidR="00ED66B4" w:rsidRPr="00400466" w:rsidRDefault="00ED66B4" w:rsidP="00ED66B4">
      <w:pPr>
        <w:rPr>
          <w:rFonts w:ascii="標楷體" w:eastAsia="標楷體" w:hAnsi="標楷體"/>
          <w:sz w:val="20"/>
          <w:szCs w:val="20"/>
        </w:rPr>
      </w:pPr>
      <w:r w:rsidRPr="00400466">
        <w:rPr>
          <w:rStyle w:val="a4"/>
          <w:rFonts w:ascii="標楷體" w:eastAsia="標楷體" w:hAnsi="標楷體"/>
          <w:sz w:val="20"/>
          <w:szCs w:val="20"/>
        </w:rPr>
        <w:footnoteRef/>
      </w:r>
      <w:r w:rsidRPr="00400466">
        <w:rPr>
          <w:rFonts w:ascii="標楷體" w:eastAsia="標楷體" w:hAnsi="標楷體"/>
          <w:sz w:val="20"/>
          <w:szCs w:val="20"/>
        </w:rPr>
        <w:t xml:space="preserve"> </w:t>
      </w:r>
      <w:r w:rsidRPr="00400466">
        <w:rPr>
          <w:rFonts w:ascii="標楷體" w:eastAsia="標楷體" w:hAnsi="標楷體" w:hint="eastAsia"/>
          <w:sz w:val="20"/>
          <w:szCs w:val="20"/>
        </w:rPr>
        <w:t>依據「金融機構防制洗錢辦法」第三條第七款第三目規定。</w:t>
      </w:r>
    </w:p>
  </w:footnote>
  <w:footnote w:id="4">
    <w:p w14:paraId="5F49DCD7" w14:textId="77777777" w:rsidR="00ED66B4" w:rsidRPr="00400466" w:rsidRDefault="00ED66B4" w:rsidP="00ED66B4">
      <w:pPr>
        <w:rPr>
          <w:sz w:val="20"/>
          <w:szCs w:val="20"/>
        </w:rPr>
      </w:pPr>
      <w:r w:rsidRPr="00400466">
        <w:rPr>
          <w:rStyle w:val="a4"/>
          <w:rFonts w:ascii="標楷體" w:eastAsia="標楷體" w:hAnsi="標楷體"/>
          <w:sz w:val="20"/>
          <w:szCs w:val="20"/>
        </w:rPr>
        <w:footnoteRef/>
      </w:r>
      <w:r w:rsidRPr="00400466">
        <w:rPr>
          <w:rFonts w:ascii="標楷體" w:eastAsia="標楷體" w:hAnsi="標楷體"/>
          <w:sz w:val="20"/>
          <w:szCs w:val="20"/>
        </w:rPr>
        <w:t xml:space="preserve"> </w:t>
      </w:r>
      <w:r w:rsidRPr="00400466">
        <w:rPr>
          <w:rFonts w:ascii="標楷體" w:eastAsia="標楷體" w:hAnsi="標楷體" w:hint="eastAsia"/>
          <w:sz w:val="20"/>
          <w:szCs w:val="20"/>
        </w:rPr>
        <w:t>依據「金融機構防制洗錢辦法」第三條第九款規定。</w:t>
      </w:r>
    </w:p>
  </w:footnote>
  <w:footnote w:id="5">
    <w:p w14:paraId="2FAA073D" w14:textId="77777777" w:rsidR="00ED66B4" w:rsidRPr="00400466" w:rsidRDefault="00ED66B4" w:rsidP="00ED66B4">
      <w:pPr>
        <w:rPr>
          <w:rFonts w:ascii="標楷體" w:eastAsia="標楷體" w:hAnsi="標楷體"/>
          <w:sz w:val="20"/>
          <w:szCs w:val="20"/>
        </w:rPr>
      </w:pPr>
      <w:r w:rsidRPr="00400466">
        <w:rPr>
          <w:rStyle w:val="a4"/>
          <w:rFonts w:ascii="標楷體" w:eastAsia="標楷體" w:hAnsi="標楷體"/>
          <w:sz w:val="20"/>
          <w:szCs w:val="20"/>
        </w:rPr>
        <w:footnoteRef/>
      </w:r>
      <w:r w:rsidRPr="00400466">
        <w:rPr>
          <w:rFonts w:ascii="標楷體" w:eastAsia="標楷體" w:hAnsi="標楷體"/>
          <w:sz w:val="20"/>
          <w:szCs w:val="20"/>
        </w:rPr>
        <w:t xml:space="preserve"> </w:t>
      </w:r>
      <w:r w:rsidRPr="00400466">
        <w:rPr>
          <w:rFonts w:ascii="標楷體" w:eastAsia="標楷體" w:hAnsi="標楷體" w:hint="eastAsia"/>
          <w:sz w:val="20"/>
          <w:szCs w:val="20"/>
        </w:rPr>
        <w:t>常見客戶類型之實質受益人辨識範例請參考附錄。</w:t>
      </w:r>
    </w:p>
  </w:footnote>
  <w:footnote w:id="6">
    <w:p w14:paraId="28E46E8D" w14:textId="77777777" w:rsidR="00ED66B4" w:rsidRPr="00716C90" w:rsidRDefault="00ED66B4" w:rsidP="00ED66B4">
      <w:pPr>
        <w:rPr>
          <w:rFonts w:ascii="標楷體" w:eastAsia="標楷體" w:hAnsi="標楷體"/>
          <w:sz w:val="20"/>
          <w:szCs w:val="20"/>
        </w:rPr>
      </w:pPr>
      <w:r w:rsidRPr="00716C90">
        <w:rPr>
          <w:rStyle w:val="a4"/>
          <w:rFonts w:ascii="標楷體" w:eastAsia="標楷體" w:hAnsi="標楷體"/>
          <w:sz w:val="20"/>
          <w:szCs w:val="20"/>
        </w:rPr>
        <w:footnoteRef/>
      </w:r>
      <w:r w:rsidRPr="00716C90">
        <w:rPr>
          <w:rFonts w:ascii="標楷體" w:eastAsia="標楷體" w:hAnsi="標楷體"/>
          <w:sz w:val="20"/>
          <w:szCs w:val="20"/>
        </w:rPr>
        <w:t xml:space="preserve"> </w:t>
      </w:r>
      <w:r w:rsidRPr="00716C90">
        <w:rPr>
          <w:rFonts w:ascii="標楷體" w:eastAsia="標楷體" w:hAnsi="標楷體" w:hint="eastAsia"/>
          <w:sz w:val="20"/>
          <w:szCs w:val="20"/>
        </w:rPr>
        <w:t>依據「金融機構防制洗錢辦法」第三條第七款第一目規定。</w:t>
      </w:r>
    </w:p>
  </w:footnote>
  <w:footnote w:id="7">
    <w:p w14:paraId="5E71E453" w14:textId="77777777" w:rsidR="00F74F82" w:rsidRPr="00716C90" w:rsidRDefault="00F74F82">
      <w:pPr>
        <w:pStyle w:val="a5"/>
        <w:rPr>
          <w:rFonts w:ascii="標楷體" w:eastAsia="標楷體" w:hAnsi="標楷體"/>
        </w:rPr>
      </w:pPr>
      <w:r w:rsidRPr="00716C90">
        <w:rPr>
          <w:rStyle w:val="a4"/>
          <w:rFonts w:ascii="標楷體" w:eastAsia="標楷體" w:hAnsi="標楷體"/>
        </w:rPr>
        <w:footnoteRef/>
      </w:r>
      <w:r w:rsidRPr="00716C90">
        <w:rPr>
          <w:rFonts w:ascii="標楷體" w:eastAsia="標楷體" w:hAnsi="標楷體"/>
        </w:rPr>
        <w:t xml:space="preserve"> </w:t>
      </w:r>
      <w:r w:rsidRPr="00716C90">
        <w:rPr>
          <w:rFonts w:ascii="標楷體" w:eastAsia="標楷體" w:hAnsi="標楷體" w:hint="eastAsia"/>
        </w:rPr>
        <w:t>同前</w:t>
      </w:r>
      <w:proofErr w:type="gramStart"/>
      <w:r w:rsidRPr="00716C90">
        <w:rPr>
          <w:rFonts w:ascii="標楷體" w:eastAsia="標楷體" w:hAnsi="標楷體" w:hint="eastAsia"/>
        </w:rPr>
        <w:t>註</w:t>
      </w:r>
      <w:proofErr w:type="gramEnd"/>
      <w:r w:rsidRPr="00716C90">
        <w:rPr>
          <w:rFonts w:ascii="標楷體" w:eastAsia="標楷體" w:hAnsi="標楷體" w:hint="eastAsia"/>
        </w:rPr>
        <w:t>。</w:t>
      </w:r>
    </w:p>
  </w:footnote>
  <w:footnote w:id="8">
    <w:p w14:paraId="52511A78" w14:textId="77777777" w:rsidR="00F74F82" w:rsidRPr="00716C90" w:rsidRDefault="00F74F82">
      <w:pPr>
        <w:pStyle w:val="a5"/>
        <w:rPr>
          <w:rFonts w:ascii="標楷體" w:eastAsia="標楷體" w:hAnsi="標楷體"/>
        </w:rPr>
      </w:pPr>
      <w:r w:rsidRPr="00716C90">
        <w:rPr>
          <w:rStyle w:val="a4"/>
          <w:rFonts w:ascii="標楷體" w:eastAsia="標楷體" w:hAnsi="標楷體"/>
        </w:rPr>
        <w:footnoteRef/>
      </w:r>
      <w:r w:rsidRPr="00716C90">
        <w:rPr>
          <w:rFonts w:ascii="標楷體" w:eastAsia="標楷體" w:hAnsi="標楷體"/>
        </w:rPr>
        <w:t xml:space="preserve"> </w:t>
      </w:r>
      <w:r w:rsidRPr="00716C90">
        <w:rPr>
          <w:rFonts w:ascii="標楷體" w:eastAsia="標楷體" w:hAnsi="標楷體" w:hint="eastAsia"/>
          <w:szCs w:val="24"/>
        </w:rPr>
        <w:t>參酌公司法第一百零二條、第一百五十七條、第三百五十六條之七、香港金融管理局於1</w:t>
      </w:r>
      <w:r w:rsidRPr="00716C90">
        <w:rPr>
          <w:rFonts w:ascii="標楷體" w:eastAsia="標楷體" w:hAnsi="標楷體"/>
          <w:szCs w:val="24"/>
        </w:rPr>
        <w:t>0</w:t>
      </w:r>
      <w:r w:rsidR="000E6713">
        <w:rPr>
          <w:rFonts w:ascii="標楷體" w:eastAsia="標楷體" w:hAnsi="標楷體" w:hint="eastAsia"/>
          <w:szCs w:val="24"/>
        </w:rPr>
        <w:t>7</w:t>
      </w:r>
      <w:r w:rsidRPr="00716C90">
        <w:rPr>
          <w:rFonts w:ascii="標楷體" w:eastAsia="標楷體" w:hAnsi="標楷體" w:hint="eastAsia"/>
          <w:szCs w:val="24"/>
        </w:rPr>
        <w:t>年1</w:t>
      </w:r>
      <w:r w:rsidRPr="00716C90">
        <w:rPr>
          <w:rFonts w:ascii="標楷體" w:eastAsia="標楷體" w:hAnsi="標楷體"/>
          <w:szCs w:val="24"/>
        </w:rPr>
        <w:t>0</w:t>
      </w:r>
      <w:r w:rsidRPr="00716C90">
        <w:rPr>
          <w:rFonts w:ascii="標楷體" w:eastAsia="標楷體" w:hAnsi="標楷體" w:hint="eastAsia"/>
          <w:szCs w:val="24"/>
        </w:rPr>
        <w:t>月修正之「打擊洗錢及恐怖分子資金籌集指引」第4</w:t>
      </w:r>
      <w:r w:rsidRPr="00716C90">
        <w:rPr>
          <w:rFonts w:ascii="標楷體" w:eastAsia="標楷體" w:hAnsi="標楷體"/>
          <w:szCs w:val="24"/>
        </w:rPr>
        <w:t>.4.5</w:t>
      </w:r>
      <w:r w:rsidRPr="00716C90">
        <w:rPr>
          <w:rFonts w:ascii="標楷體" w:eastAsia="標楷體" w:hAnsi="標楷體" w:hint="eastAsia"/>
          <w:szCs w:val="24"/>
        </w:rPr>
        <w:t>節(法團實益擁有人)及第4</w:t>
      </w:r>
      <w:r w:rsidRPr="00716C90">
        <w:rPr>
          <w:rFonts w:ascii="標楷體" w:eastAsia="標楷體" w:hAnsi="標楷體"/>
          <w:szCs w:val="24"/>
        </w:rPr>
        <w:t>.4.6</w:t>
      </w:r>
      <w:r w:rsidRPr="00716C90">
        <w:rPr>
          <w:rFonts w:ascii="標楷體" w:eastAsia="標楷體" w:hAnsi="標楷體" w:hint="eastAsia"/>
          <w:szCs w:val="24"/>
        </w:rPr>
        <w:t>節(合夥實益擁有人)規定。</w:t>
      </w:r>
    </w:p>
  </w:footnote>
  <w:footnote w:id="9">
    <w:p w14:paraId="0C715107" w14:textId="77777777" w:rsidR="00F74F82" w:rsidRPr="00716C90" w:rsidRDefault="00F74F82">
      <w:pPr>
        <w:pStyle w:val="a5"/>
        <w:rPr>
          <w:rFonts w:ascii="標楷體" w:eastAsia="標楷體" w:hAnsi="標楷體"/>
        </w:rPr>
      </w:pPr>
      <w:r w:rsidRPr="00716C90">
        <w:rPr>
          <w:rStyle w:val="a4"/>
          <w:rFonts w:ascii="標楷體" w:eastAsia="標楷體" w:hAnsi="標楷體"/>
        </w:rPr>
        <w:footnoteRef/>
      </w:r>
      <w:r w:rsidRPr="00716C90">
        <w:rPr>
          <w:rFonts w:ascii="標楷體" w:eastAsia="標楷體" w:hAnsi="標楷體"/>
        </w:rPr>
        <w:t xml:space="preserve"> </w:t>
      </w:r>
      <w:r w:rsidRPr="00716C90">
        <w:rPr>
          <w:rFonts w:ascii="標楷體" w:eastAsia="標楷體" w:hAnsi="標楷體" w:hint="eastAsia"/>
        </w:rPr>
        <w:t>同前</w:t>
      </w:r>
      <w:proofErr w:type="gramStart"/>
      <w:r w:rsidRPr="00716C90">
        <w:rPr>
          <w:rFonts w:ascii="標楷體" w:eastAsia="標楷體" w:hAnsi="標楷體" w:hint="eastAsia"/>
        </w:rPr>
        <w:t>註</w:t>
      </w:r>
      <w:proofErr w:type="gramEnd"/>
      <w:r w:rsidRPr="00716C90">
        <w:rPr>
          <w:rFonts w:ascii="標楷體" w:eastAsia="標楷體" w:hAnsi="標楷體" w:hint="eastAsia"/>
        </w:rPr>
        <w:t>6。</w:t>
      </w:r>
    </w:p>
  </w:footnote>
  <w:footnote w:id="10">
    <w:p w14:paraId="723E2E71" w14:textId="77777777" w:rsidR="00A50498" w:rsidRPr="00716C90" w:rsidRDefault="00A50498">
      <w:pPr>
        <w:pStyle w:val="a5"/>
        <w:rPr>
          <w:rFonts w:ascii="標楷體" w:eastAsia="標楷體" w:hAnsi="標楷體"/>
        </w:rPr>
      </w:pPr>
      <w:r w:rsidRPr="00716C90">
        <w:rPr>
          <w:rStyle w:val="a4"/>
          <w:rFonts w:ascii="標楷體" w:eastAsia="標楷體" w:hAnsi="標楷體"/>
        </w:rPr>
        <w:footnoteRef/>
      </w:r>
      <w:r w:rsidRPr="00716C90">
        <w:rPr>
          <w:rFonts w:ascii="標楷體" w:eastAsia="標楷體" w:hAnsi="標楷體"/>
        </w:rPr>
        <w:t xml:space="preserve"> </w:t>
      </w:r>
      <w:r w:rsidR="00AF25A4" w:rsidRPr="00716C90">
        <w:rPr>
          <w:rFonts w:ascii="標楷體" w:eastAsia="標楷體" w:hAnsi="標楷體" w:hint="eastAsia"/>
        </w:rPr>
        <w:t>參酌FATF於107年10月發布之「</w:t>
      </w:r>
      <w:r w:rsidR="00AF25A4" w:rsidRPr="00716C90">
        <w:rPr>
          <w:rFonts w:ascii="標楷體" w:eastAsia="標楷體" w:hAnsi="標楷體"/>
        </w:rPr>
        <w:t xml:space="preserve">GUIDANCE FOR A RISK-BASED APPROACH FOR THE SECURITIES SECTOR </w:t>
      </w:r>
      <w:r w:rsidR="00AF25A4" w:rsidRPr="00716C90">
        <w:rPr>
          <w:rFonts w:ascii="標楷體" w:eastAsia="標楷體" w:hAnsi="標楷體" w:hint="eastAsia"/>
        </w:rPr>
        <w:t>」</w:t>
      </w:r>
      <w:r w:rsidR="00716C90" w:rsidRPr="00716C90">
        <w:rPr>
          <w:rFonts w:ascii="標楷體" w:eastAsia="標楷體" w:hAnsi="標楷體" w:hint="eastAsia"/>
        </w:rPr>
        <w:t>第93段說明。</w:t>
      </w:r>
    </w:p>
  </w:footnote>
  <w:footnote w:id="11">
    <w:p w14:paraId="56888808" w14:textId="77777777" w:rsidR="00ED66B4" w:rsidRPr="00716C90" w:rsidRDefault="00ED66B4" w:rsidP="00ED66B4">
      <w:pPr>
        <w:rPr>
          <w:rFonts w:ascii="標楷體" w:eastAsia="標楷體" w:hAnsi="標楷體"/>
          <w:sz w:val="20"/>
          <w:szCs w:val="20"/>
        </w:rPr>
      </w:pPr>
      <w:r w:rsidRPr="00716C90">
        <w:rPr>
          <w:rStyle w:val="a4"/>
          <w:rFonts w:ascii="標楷體" w:eastAsia="標楷體" w:hAnsi="標楷體"/>
          <w:sz w:val="20"/>
          <w:szCs w:val="20"/>
        </w:rPr>
        <w:footnoteRef/>
      </w:r>
      <w:r w:rsidRPr="00716C90">
        <w:rPr>
          <w:rFonts w:ascii="標楷體" w:eastAsia="標楷體" w:hAnsi="標楷體"/>
          <w:sz w:val="20"/>
          <w:szCs w:val="20"/>
        </w:rPr>
        <w:t xml:space="preserve"> </w:t>
      </w:r>
      <w:r w:rsidRPr="00716C90">
        <w:rPr>
          <w:rFonts w:ascii="標楷體" w:eastAsia="標楷體" w:hAnsi="標楷體" w:hint="eastAsia"/>
          <w:sz w:val="20"/>
          <w:szCs w:val="20"/>
        </w:rPr>
        <w:t>依據修正前之公司法第1</w:t>
      </w:r>
      <w:r w:rsidRPr="00716C90">
        <w:rPr>
          <w:rFonts w:ascii="標楷體" w:eastAsia="標楷體" w:hAnsi="標楷體"/>
          <w:sz w:val="20"/>
          <w:szCs w:val="20"/>
        </w:rPr>
        <w:t>66</w:t>
      </w:r>
      <w:r w:rsidRPr="00716C90">
        <w:rPr>
          <w:rFonts w:ascii="標楷體" w:eastAsia="標楷體" w:hAnsi="標楷體" w:hint="eastAsia"/>
          <w:sz w:val="20"/>
          <w:szCs w:val="20"/>
        </w:rPr>
        <w:t>條第一項規定及現行公司法第447條之</w:t>
      </w:r>
      <w:proofErr w:type="gramStart"/>
      <w:r w:rsidRPr="00716C90">
        <w:rPr>
          <w:rFonts w:ascii="標楷體" w:eastAsia="標楷體" w:hAnsi="標楷體" w:hint="eastAsia"/>
          <w:sz w:val="20"/>
          <w:szCs w:val="20"/>
        </w:rPr>
        <w:t>一</w:t>
      </w:r>
      <w:proofErr w:type="gramEnd"/>
      <w:r w:rsidRPr="00716C90">
        <w:rPr>
          <w:rFonts w:ascii="標楷體" w:eastAsia="標楷體" w:hAnsi="標楷體" w:hint="eastAsia"/>
          <w:sz w:val="20"/>
          <w:szCs w:val="20"/>
        </w:rPr>
        <w:t>規定。</w:t>
      </w:r>
    </w:p>
  </w:footnote>
  <w:footnote w:id="12">
    <w:p w14:paraId="4ED772CC" w14:textId="77777777" w:rsidR="00ED66B4" w:rsidRPr="00716C90" w:rsidRDefault="00ED66B4" w:rsidP="00ED66B4">
      <w:pPr>
        <w:rPr>
          <w:rFonts w:ascii="標楷體" w:eastAsia="標楷體" w:hAnsi="標楷體"/>
          <w:sz w:val="20"/>
          <w:szCs w:val="20"/>
        </w:rPr>
      </w:pPr>
      <w:r w:rsidRPr="00716C90">
        <w:rPr>
          <w:rStyle w:val="a4"/>
          <w:rFonts w:ascii="標楷體" w:eastAsia="標楷體" w:hAnsi="標楷體"/>
          <w:sz w:val="20"/>
          <w:szCs w:val="20"/>
        </w:rPr>
        <w:footnoteRef/>
      </w:r>
      <w:r w:rsidRPr="00716C90">
        <w:rPr>
          <w:rFonts w:ascii="標楷體" w:eastAsia="標楷體" w:hAnsi="標楷體"/>
          <w:sz w:val="20"/>
          <w:szCs w:val="20"/>
        </w:rPr>
        <w:t xml:space="preserve"> </w:t>
      </w:r>
      <w:r w:rsidRPr="00716C90">
        <w:rPr>
          <w:rFonts w:ascii="標楷體" w:eastAsia="標楷體" w:hAnsi="標楷體" w:hint="eastAsia"/>
          <w:sz w:val="20"/>
          <w:szCs w:val="20"/>
        </w:rPr>
        <w:t>參酌「</w:t>
      </w:r>
      <w:bookmarkStart w:id="1" w:name="_Hlk42004641"/>
      <w:r w:rsidRPr="00716C90">
        <w:rPr>
          <w:rFonts w:ascii="標楷體" w:eastAsia="標楷體" w:hAnsi="標楷體" w:hint="eastAsia"/>
          <w:sz w:val="20"/>
          <w:szCs w:val="20"/>
        </w:rPr>
        <w:t>證券投資信託事業證券投資顧問事業防制洗錢及</w:t>
      </w:r>
      <w:proofErr w:type="gramStart"/>
      <w:r w:rsidRPr="00716C90">
        <w:rPr>
          <w:rFonts w:ascii="標楷體" w:eastAsia="標楷體" w:hAnsi="標楷體" w:hint="eastAsia"/>
          <w:sz w:val="20"/>
          <w:szCs w:val="20"/>
        </w:rPr>
        <w:t>打擊資恐注意事項</w:t>
      </w:r>
      <w:proofErr w:type="gramEnd"/>
      <w:r w:rsidRPr="00716C90">
        <w:rPr>
          <w:rFonts w:ascii="標楷體" w:eastAsia="標楷體" w:hAnsi="標楷體" w:hint="eastAsia"/>
          <w:sz w:val="20"/>
          <w:szCs w:val="20"/>
        </w:rPr>
        <w:t>範本</w:t>
      </w:r>
      <w:bookmarkEnd w:id="1"/>
      <w:r w:rsidRPr="00716C90">
        <w:rPr>
          <w:rFonts w:ascii="標楷體" w:eastAsia="標楷體" w:hAnsi="標楷體" w:hint="eastAsia"/>
          <w:sz w:val="20"/>
          <w:szCs w:val="20"/>
        </w:rPr>
        <w:t>」第四條第十二款。</w:t>
      </w:r>
    </w:p>
  </w:footnote>
  <w:footnote w:id="13">
    <w:p w14:paraId="3A5BD86C" w14:textId="77777777" w:rsidR="00ED66B4" w:rsidRPr="00AF25A4" w:rsidRDefault="00ED66B4" w:rsidP="00ED66B4">
      <w:pPr>
        <w:rPr>
          <w:sz w:val="20"/>
          <w:szCs w:val="20"/>
        </w:rPr>
      </w:pPr>
      <w:r w:rsidRPr="00AF25A4">
        <w:rPr>
          <w:rStyle w:val="a4"/>
          <w:rFonts w:ascii="標楷體" w:eastAsia="標楷體" w:hAnsi="標楷體"/>
          <w:sz w:val="20"/>
          <w:szCs w:val="20"/>
        </w:rPr>
        <w:footnoteRef/>
      </w:r>
      <w:r w:rsidRPr="00AF25A4">
        <w:rPr>
          <w:rFonts w:ascii="標楷體" w:eastAsia="標楷體" w:hAnsi="標楷體"/>
          <w:sz w:val="20"/>
          <w:szCs w:val="20"/>
        </w:rPr>
        <w:t xml:space="preserve"> </w:t>
      </w:r>
      <w:r w:rsidRPr="00AF25A4">
        <w:rPr>
          <w:rFonts w:ascii="標楷體" w:eastAsia="標楷體" w:hAnsi="標楷體" w:hint="eastAsia"/>
          <w:sz w:val="20"/>
          <w:szCs w:val="20"/>
        </w:rPr>
        <w:t>參酌F</w:t>
      </w:r>
      <w:r w:rsidRPr="00AF25A4">
        <w:rPr>
          <w:rFonts w:ascii="標楷體" w:eastAsia="標楷體" w:hAnsi="標楷體"/>
          <w:sz w:val="20"/>
          <w:szCs w:val="20"/>
        </w:rPr>
        <w:t>ATF</w:t>
      </w:r>
      <w:r w:rsidRPr="00AF25A4">
        <w:rPr>
          <w:rFonts w:ascii="標楷體" w:eastAsia="標楷體" w:hAnsi="標楷體" w:hint="eastAsia"/>
          <w:sz w:val="20"/>
          <w:szCs w:val="20"/>
        </w:rPr>
        <w:t>於1</w:t>
      </w:r>
      <w:r w:rsidRPr="00AF25A4">
        <w:rPr>
          <w:rFonts w:ascii="標楷體" w:eastAsia="標楷體" w:hAnsi="標楷體"/>
          <w:sz w:val="20"/>
          <w:szCs w:val="20"/>
        </w:rPr>
        <w:t>07</w:t>
      </w:r>
      <w:r w:rsidRPr="00AF25A4">
        <w:rPr>
          <w:rFonts w:ascii="標楷體" w:eastAsia="標楷體" w:hAnsi="標楷體" w:hint="eastAsia"/>
          <w:sz w:val="20"/>
          <w:szCs w:val="20"/>
        </w:rPr>
        <w:t>年7月發布之</w:t>
      </w:r>
      <w:r w:rsidRPr="00AF25A4">
        <w:rPr>
          <w:rFonts w:ascii="標楷體" w:eastAsia="標楷體" w:hAnsi="標楷體"/>
          <w:sz w:val="20"/>
          <w:szCs w:val="20"/>
        </w:rPr>
        <w:t>「Concealment of Beneficial Ownership</w:t>
      </w:r>
      <w:r w:rsidRPr="00AF25A4">
        <w:rPr>
          <w:rFonts w:ascii="標楷體" w:eastAsia="標楷體" w:hAnsi="標楷體" w:hint="eastAsia"/>
          <w:sz w:val="20"/>
          <w:szCs w:val="20"/>
        </w:rPr>
        <w:t>」第</w:t>
      </w:r>
      <w:r w:rsidRPr="00AF25A4">
        <w:rPr>
          <w:rFonts w:ascii="標楷體" w:eastAsia="標楷體" w:hAnsi="標楷體"/>
          <w:sz w:val="20"/>
          <w:szCs w:val="20"/>
        </w:rPr>
        <w:t>52</w:t>
      </w:r>
      <w:r w:rsidRPr="00AF25A4">
        <w:rPr>
          <w:rFonts w:ascii="標楷體" w:eastAsia="標楷體" w:hAnsi="標楷體" w:hint="eastAsia"/>
          <w:sz w:val="20"/>
          <w:szCs w:val="20"/>
        </w:rPr>
        <w:t>段及第</w:t>
      </w:r>
      <w:r w:rsidRPr="00AF25A4">
        <w:rPr>
          <w:rFonts w:ascii="標楷體" w:eastAsia="標楷體" w:hAnsi="標楷體" w:cs="Arial"/>
          <w:color w:val="000000"/>
          <w:kern w:val="0"/>
          <w:sz w:val="20"/>
          <w:szCs w:val="20"/>
        </w:rPr>
        <w:t>85</w:t>
      </w:r>
      <w:r w:rsidRPr="00AF25A4">
        <w:rPr>
          <w:rFonts w:ascii="標楷體" w:eastAsia="標楷體" w:hAnsi="標楷體" w:cs="Arial" w:hint="eastAsia"/>
          <w:color w:val="000000"/>
          <w:kern w:val="0"/>
          <w:sz w:val="20"/>
          <w:szCs w:val="20"/>
        </w:rPr>
        <w:t>段說明。</w:t>
      </w:r>
    </w:p>
  </w:footnote>
  <w:footnote w:id="14">
    <w:p w14:paraId="708A78AE" w14:textId="77777777" w:rsidR="00ED66B4" w:rsidRPr="00716C90" w:rsidRDefault="00ED66B4" w:rsidP="00ED66B4">
      <w:pPr>
        <w:ind w:left="200" w:hangingChars="100" w:hanging="200"/>
        <w:rPr>
          <w:rFonts w:ascii="標楷體" w:eastAsia="標楷體" w:hAnsi="標楷體"/>
          <w:sz w:val="20"/>
          <w:szCs w:val="20"/>
        </w:rPr>
      </w:pPr>
      <w:r w:rsidRPr="00716C90">
        <w:rPr>
          <w:rStyle w:val="a4"/>
          <w:rFonts w:ascii="標楷體" w:eastAsia="標楷體" w:hAnsi="標楷體"/>
          <w:sz w:val="20"/>
          <w:szCs w:val="20"/>
        </w:rPr>
        <w:footnoteRef/>
      </w:r>
      <w:r w:rsidRPr="00716C90">
        <w:rPr>
          <w:rFonts w:ascii="標楷體" w:eastAsia="標楷體" w:hAnsi="標楷體"/>
          <w:sz w:val="20"/>
          <w:szCs w:val="20"/>
        </w:rPr>
        <w:t xml:space="preserve"> </w:t>
      </w:r>
      <w:r w:rsidRPr="00716C90">
        <w:rPr>
          <w:rFonts w:ascii="標楷體" w:eastAsia="標楷體" w:hAnsi="標楷體" w:hint="eastAsia"/>
          <w:sz w:val="20"/>
          <w:szCs w:val="20"/>
        </w:rPr>
        <w:t>參酌「證券投資信託事業證券投資顧問事業防制洗錢及</w:t>
      </w:r>
      <w:proofErr w:type="gramStart"/>
      <w:r w:rsidRPr="00716C90">
        <w:rPr>
          <w:rFonts w:ascii="標楷體" w:eastAsia="標楷體" w:hAnsi="標楷體" w:hint="eastAsia"/>
          <w:sz w:val="20"/>
          <w:szCs w:val="20"/>
        </w:rPr>
        <w:t>打擊資恐注意事項</w:t>
      </w:r>
      <w:proofErr w:type="gramEnd"/>
      <w:r w:rsidRPr="00716C90">
        <w:rPr>
          <w:rFonts w:ascii="標楷體" w:eastAsia="標楷體" w:hAnsi="標楷體" w:hint="eastAsia"/>
          <w:sz w:val="20"/>
          <w:szCs w:val="20"/>
        </w:rPr>
        <w:t>範本」</w:t>
      </w:r>
      <w:r w:rsidRPr="00716C90">
        <w:rPr>
          <w:rFonts w:ascii="標楷體" w:eastAsia="標楷體" w:hAnsi="標楷體"/>
          <w:sz w:val="20"/>
          <w:szCs w:val="20"/>
        </w:rPr>
        <w:t>第四條第七款第一目第一小目</w:t>
      </w:r>
      <w:r w:rsidRPr="00716C90">
        <w:rPr>
          <w:rFonts w:ascii="標楷體" w:eastAsia="標楷體" w:hAnsi="標楷體" w:hint="eastAsia"/>
          <w:sz w:val="20"/>
          <w:szCs w:val="20"/>
        </w:rPr>
        <w:t>。</w:t>
      </w:r>
    </w:p>
  </w:footnote>
  <w:footnote w:id="15">
    <w:p w14:paraId="0B449610" w14:textId="77777777" w:rsidR="00BC3B3B" w:rsidRPr="00716C90" w:rsidRDefault="00BC3B3B" w:rsidP="00716C90">
      <w:pPr>
        <w:ind w:left="200" w:hangingChars="100" w:hanging="200"/>
        <w:rPr>
          <w:rFonts w:ascii="標楷體" w:eastAsia="標楷體" w:hAnsi="標楷體"/>
          <w:sz w:val="20"/>
          <w:szCs w:val="20"/>
        </w:rPr>
      </w:pPr>
      <w:r w:rsidRPr="00716C90">
        <w:rPr>
          <w:rStyle w:val="a4"/>
          <w:rFonts w:ascii="標楷體" w:eastAsia="標楷體" w:hAnsi="標楷體"/>
          <w:sz w:val="20"/>
          <w:szCs w:val="20"/>
        </w:rPr>
        <w:footnoteRef/>
      </w:r>
      <w:r w:rsidRPr="00716C90">
        <w:rPr>
          <w:rFonts w:ascii="標楷體" w:eastAsia="標楷體" w:hAnsi="標楷體"/>
          <w:sz w:val="20"/>
          <w:szCs w:val="20"/>
        </w:rPr>
        <w:t xml:space="preserve"> </w:t>
      </w:r>
      <w:r w:rsidRPr="00716C90">
        <w:rPr>
          <w:rFonts w:ascii="標楷體" w:eastAsia="標楷體" w:hAnsi="標楷體" w:hint="eastAsia"/>
          <w:sz w:val="20"/>
          <w:szCs w:val="20"/>
        </w:rPr>
        <w:t>參酌「證券投資信託事業證券投資顧問事業防制洗錢及</w:t>
      </w:r>
      <w:proofErr w:type="gramStart"/>
      <w:r w:rsidRPr="00716C90">
        <w:rPr>
          <w:rFonts w:ascii="標楷體" w:eastAsia="標楷體" w:hAnsi="標楷體" w:hint="eastAsia"/>
          <w:sz w:val="20"/>
          <w:szCs w:val="20"/>
        </w:rPr>
        <w:t>打擊資恐注意事項</w:t>
      </w:r>
      <w:proofErr w:type="gramEnd"/>
      <w:r w:rsidRPr="00716C90">
        <w:rPr>
          <w:rFonts w:ascii="標楷體" w:eastAsia="標楷體" w:hAnsi="標楷體" w:hint="eastAsia"/>
          <w:sz w:val="20"/>
          <w:szCs w:val="20"/>
        </w:rPr>
        <w:t>範本」</w:t>
      </w:r>
      <w:r w:rsidRPr="00716C90">
        <w:rPr>
          <w:rFonts w:ascii="標楷體" w:eastAsia="標楷體" w:hAnsi="標楷體"/>
          <w:sz w:val="20"/>
          <w:szCs w:val="20"/>
        </w:rPr>
        <w:t>第四條第</w:t>
      </w:r>
      <w:r w:rsidRPr="00716C90">
        <w:rPr>
          <w:rFonts w:ascii="標楷體" w:eastAsia="標楷體" w:hAnsi="標楷體" w:hint="eastAsia"/>
          <w:sz w:val="20"/>
          <w:szCs w:val="20"/>
        </w:rPr>
        <w:t>八</w:t>
      </w:r>
      <w:r w:rsidRPr="00716C90">
        <w:rPr>
          <w:rFonts w:ascii="標楷體" w:eastAsia="標楷體" w:hAnsi="標楷體"/>
          <w:sz w:val="20"/>
          <w:szCs w:val="20"/>
        </w:rPr>
        <w:t>款</w:t>
      </w:r>
      <w:r w:rsidRPr="00716C90">
        <w:rPr>
          <w:rFonts w:ascii="標楷體" w:eastAsia="標楷體" w:hAnsi="標楷體" w:hint="eastAsia"/>
          <w:sz w:val="20"/>
          <w:szCs w:val="20"/>
        </w:rPr>
        <w:t>。</w:t>
      </w:r>
    </w:p>
  </w:footnote>
  <w:footnote w:id="16">
    <w:p w14:paraId="613D9830" w14:textId="77777777" w:rsidR="00ED66B4" w:rsidRPr="00716C90" w:rsidRDefault="00ED66B4" w:rsidP="00ED66B4">
      <w:pPr>
        <w:pStyle w:val="1"/>
        <w:rPr>
          <w:rFonts w:ascii="標楷體" w:eastAsia="標楷體" w:hAnsi="標楷體"/>
        </w:rPr>
      </w:pPr>
      <w:r w:rsidRPr="00716C90">
        <w:rPr>
          <w:rStyle w:val="a4"/>
          <w:rFonts w:ascii="標楷體" w:eastAsia="標楷體" w:hAnsi="標楷體"/>
        </w:rPr>
        <w:footnoteRef/>
      </w:r>
      <w:r w:rsidRPr="00716C90">
        <w:rPr>
          <w:rFonts w:ascii="標楷體" w:eastAsia="標楷體" w:hAnsi="標楷體"/>
        </w:rPr>
        <w:t xml:space="preserve"> </w:t>
      </w:r>
      <w:r w:rsidRPr="00716C90">
        <w:rPr>
          <w:rFonts w:ascii="標楷體" w:eastAsia="標楷體" w:hAnsi="標楷體" w:hint="eastAsia"/>
        </w:rPr>
        <w:t>依據「金融機構防制洗錢辦法」第五條第四款規定，並參酌美國FINCEN於107年4月發布之「</w:t>
      </w:r>
      <w:r w:rsidRPr="00716C90">
        <w:rPr>
          <w:rFonts w:ascii="標楷體" w:eastAsia="標楷體" w:hAnsi="標楷體" w:cs="Arial"/>
          <w:color w:val="000000"/>
          <w:kern w:val="0"/>
        </w:rPr>
        <w:t>Frequently Asked Questions Regarding Customer Due Diligence Requirements for Financial Institutions</w:t>
      </w:r>
      <w:r w:rsidRPr="00716C90">
        <w:rPr>
          <w:rFonts w:ascii="標楷體" w:eastAsia="標楷體" w:hAnsi="標楷體" w:cs="Arial" w:hint="eastAsia"/>
          <w:color w:val="000000"/>
          <w:kern w:val="0"/>
        </w:rPr>
        <w:t>」第</w:t>
      </w:r>
      <w:r w:rsidRPr="00716C90">
        <w:rPr>
          <w:rFonts w:ascii="標楷體" w:eastAsia="標楷體" w:hAnsi="標楷體" w:cs="Arial"/>
          <w:color w:val="000000"/>
          <w:kern w:val="0"/>
        </w:rPr>
        <w:t>12及14</w:t>
      </w:r>
      <w:proofErr w:type="gramStart"/>
      <w:r w:rsidRPr="00716C90">
        <w:rPr>
          <w:rFonts w:ascii="標楷體" w:eastAsia="標楷體" w:hAnsi="標楷體" w:cs="Arial" w:hint="eastAsia"/>
          <w:color w:val="000000"/>
          <w:kern w:val="0"/>
        </w:rPr>
        <w:t>題問</w:t>
      </w:r>
      <w:proofErr w:type="gramEnd"/>
      <w:r w:rsidRPr="00716C90">
        <w:rPr>
          <w:rFonts w:ascii="標楷體" w:eastAsia="標楷體" w:hAnsi="標楷體" w:cs="Arial" w:hint="eastAsia"/>
          <w:color w:val="000000"/>
          <w:kern w:val="0"/>
        </w:rPr>
        <w:t>答。</w:t>
      </w:r>
    </w:p>
  </w:footnote>
  <w:footnote w:id="17">
    <w:p w14:paraId="13044201" w14:textId="77777777" w:rsidR="00D5570F" w:rsidRPr="00716C90" w:rsidRDefault="00D5570F">
      <w:pPr>
        <w:pStyle w:val="a5"/>
        <w:rPr>
          <w:rFonts w:ascii="標楷體" w:eastAsia="標楷體" w:hAnsi="標楷體"/>
        </w:rPr>
      </w:pPr>
      <w:r w:rsidRPr="00716C90">
        <w:rPr>
          <w:rStyle w:val="a4"/>
          <w:rFonts w:ascii="標楷體" w:eastAsia="標楷體" w:hAnsi="標楷體"/>
        </w:rPr>
        <w:footnoteRef/>
      </w:r>
      <w:r w:rsidRPr="00716C90">
        <w:rPr>
          <w:rFonts w:ascii="標楷體" w:eastAsia="標楷體" w:hAnsi="標楷體"/>
        </w:rPr>
        <w:t xml:space="preserve"> </w:t>
      </w:r>
      <w:r w:rsidRPr="00716C90">
        <w:rPr>
          <w:rFonts w:ascii="標楷體" w:eastAsia="標楷體" w:hAnsi="標楷體" w:hint="eastAsia"/>
        </w:rPr>
        <w:t>參酌「證券投資信託事業證券投資顧問事業辦理低風險客戶防制洗錢及</w:t>
      </w:r>
      <w:proofErr w:type="gramStart"/>
      <w:r w:rsidRPr="00716C90">
        <w:rPr>
          <w:rFonts w:ascii="標楷體" w:eastAsia="標楷體" w:hAnsi="標楷體" w:hint="eastAsia"/>
        </w:rPr>
        <w:t>打擊資恐作業</w:t>
      </w:r>
      <w:proofErr w:type="gramEnd"/>
      <w:r w:rsidRPr="00716C90">
        <w:rPr>
          <w:rFonts w:ascii="標楷體" w:eastAsia="標楷體" w:hAnsi="標楷體" w:hint="eastAsia"/>
        </w:rPr>
        <w:t>簡化措施實務參考作法」。</w:t>
      </w:r>
    </w:p>
  </w:footnote>
  <w:footnote w:id="18">
    <w:p w14:paraId="2564EEAA" w14:textId="77777777" w:rsidR="00ED66B4" w:rsidRPr="00716C90" w:rsidRDefault="00ED66B4" w:rsidP="00ED66B4">
      <w:pPr>
        <w:pStyle w:val="a5"/>
        <w:rPr>
          <w:rFonts w:ascii="標楷體" w:eastAsia="標楷體" w:hAnsi="標楷體"/>
        </w:rPr>
      </w:pPr>
      <w:r w:rsidRPr="00716C90">
        <w:rPr>
          <w:rStyle w:val="a4"/>
          <w:rFonts w:ascii="標楷體" w:eastAsia="標楷體" w:hAnsi="標楷體"/>
        </w:rPr>
        <w:footnoteRef/>
      </w:r>
      <w:r w:rsidRPr="00716C90">
        <w:rPr>
          <w:rFonts w:ascii="標楷體" w:eastAsia="標楷體" w:hAnsi="標楷體"/>
        </w:rPr>
        <w:t xml:space="preserve"> </w:t>
      </w:r>
      <w:r w:rsidRPr="00716C90">
        <w:rPr>
          <w:rFonts w:ascii="標楷體" w:eastAsia="標楷體" w:hAnsi="標楷體" w:hint="eastAsia"/>
        </w:rPr>
        <w:t>參酌美國FINCEN於107年4月發布之「</w:t>
      </w:r>
      <w:r w:rsidRPr="00716C90">
        <w:rPr>
          <w:rFonts w:ascii="標楷體" w:eastAsia="標楷體" w:hAnsi="標楷體" w:cs="Arial"/>
          <w:color w:val="000000"/>
          <w:kern w:val="0"/>
        </w:rPr>
        <w:t>Frequently Asked Questions Regarding Customer Due Diligence Requirements for Financial Institutions</w:t>
      </w:r>
      <w:r w:rsidRPr="00716C90">
        <w:rPr>
          <w:rFonts w:ascii="標楷體" w:eastAsia="標楷體" w:hAnsi="標楷體" w:cs="Arial" w:hint="eastAsia"/>
          <w:color w:val="000000"/>
          <w:kern w:val="0"/>
        </w:rPr>
        <w:t>」第1及2</w:t>
      </w:r>
      <w:proofErr w:type="gramStart"/>
      <w:r w:rsidRPr="00716C90">
        <w:rPr>
          <w:rFonts w:ascii="標楷體" w:eastAsia="標楷體" w:hAnsi="標楷體" w:cs="Arial" w:hint="eastAsia"/>
          <w:color w:val="000000"/>
          <w:kern w:val="0"/>
        </w:rPr>
        <w:t>題問</w:t>
      </w:r>
      <w:proofErr w:type="gramEnd"/>
      <w:r w:rsidRPr="00716C90">
        <w:rPr>
          <w:rFonts w:ascii="標楷體" w:eastAsia="標楷體" w:hAnsi="標楷體" w:cs="Arial" w:hint="eastAsia"/>
          <w:color w:val="000000"/>
          <w:kern w:val="0"/>
        </w:rPr>
        <w:t>答。</w:t>
      </w:r>
    </w:p>
  </w:footnote>
  <w:footnote w:id="19">
    <w:p w14:paraId="2C24C27B" w14:textId="77777777" w:rsidR="00ED66B4" w:rsidRPr="00716C90" w:rsidRDefault="00ED66B4" w:rsidP="00ED66B4">
      <w:pPr>
        <w:pStyle w:val="a5"/>
        <w:rPr>
          <w:rFonts w:ascii="標楷體" w:eastAsia="標楷體" w:hAnsi="標楷體"/>
        </w:rPr>
      </w:pPr>
      <w:r w:rsidRPr="00716C90">
        <w:rPr>
          <w:rStyle w:val="a4"/>
          <w:rFonts w:ascii="標楷體" w:eastAsia="標楷體" w:hAnsi="標楷體"/>
        </w:rPr>
        <w:footnoteRef/>
      </w:r>
      <w:r w:rsidRPr="00716C90">
        <w:rPr>
          <w:rFonts w:ascii="標楷體" w:eastAsia="標楷體" w:hAnsi="標楷體"/>
        </w:rPr>
        <w:t xml:space="preserve"> </w:t>
      </w:r>
      <w:r w:rsidRPr="00716C90">
        <w:rPr>
          <w:rFonts w:ascii="標楷體" w:eastAsia="標楷體" w:hAnsi="標楷體" w:hint="eastAsia"/>
        </w:rPr>
        <w:t>依據「金融機構防制洗錢辦法」第三條第七款第三目規定。</w:t>
      </w:r>
    </w:p>
  </w:footnote>
  <w:footnote w:id="20">
    <w:p w14:paraId="1945B08B" w14:textId="77777777" w:rsidR="00ED66B4" w:rsidRPr="00CD5B18" w:rsidRDefault="00ED66B4" w:rsidP="00ED66B4">
      <w:pPr>
        <w:pStyle w:val="1"/>
      </w:pPr>
      <w:r>
        <w:rPr>
          <w:rStyle w:val="a4"/>
        </w:rPr>
        <w:footnoteRef/>
      </w:r>
      <w:r>
        <w:t xml:space="preserve"> </w:t>
      </w:r>
      <w:r w:rsidRPr="008417A6">
        <w:rPr>
          <w:rFonts w:ascii="標楷體" w:eastAsia="標楷體" w:hAnsi="標楷體" w:hint="eastAsia"/>
        </w:rPr>
        <w:t>參酌公司法第一百二十二條規定。</w:t>
      </w:r>
    </w:p>
  </w:footnote>
  <w:footnote w:id="21">
    <w:p w14:paraId="21927F64" w14:textId="77777777" w:rsidR="00ED66B4" w:rsidRDefault="00ED66B4" w:rsidP="00ED66B4">
      <w:pPr>
        <w:pStyle w:val="1"/>
      </w:pPr>
      <w:r>
        <w:rPr>
          <w:rStyle w:val="a4"/>
        </w:rPr>
        <w:footnoteRef/>
      </w:r>
      <w:r>
        <w:t xml:space="preserve"> </w:t>
      </w:r>
      <w:hyperlink r:id="rId1" w:anchor="high-risk" w:history="1">
        <w:r>
          <w:rPr>
            <w:rStyle w:val="10"/>
          </w:rPr>
          <w:t>https://www.fatf-gafi.org/countries/#high-risk</w:t>
        </w:r>
      </w:hyperlink>
    </w:p>
  </w:footnote>
  <w:footnote w:id="22">
    <w:p w14:paraId="0C2DF054" w14:textId="77777777" w:rsidR="00ED66B4" w:rsidRDefault="00ED66B4" w:rsidP="00ED66B4">
      <w:pPr>
        <w:pStyle w:val="1"/>
      </w:pPr>
      <w:r>
        <w:rPr>
          <w:rStyle w:val="a4"/>
        </w:rPr>
        <w:footnoteRef/>
      </w:r>
      <w:r>
        <w:t xml:space="preserve"> </w:t>
      </w:r>
      <w:hyperlink r:id="rId2" w:history="1">
        <w:r>
          <w:rPr>
            <w:rStyle w:val="10"/>
          </w:rPr>
          <w:t>https://www.mjib.gov.tw/EditPage/?PageID=497e1e11-cc63-446d-b58f-cc3c6bfa41bb</w:t>
        </w:r>
      </w:hyperlink>
    </w:p>
  </w:footnote>
  <w:footnote w:id="23">
    <w:p w14:paraId="5969878D" w14:textId="77777777" w:rsidR="00ED66B4" w:rsidRDefault="00ED66B4" w:rsidP="00ED66B4">
      <w:pPr>
        <w:pStyle w:val="1"/>
      </w:pPr>
      <w:r>
        <w:rPr>
          <w:rStyle w:val="a4"/>
        </w:rPr>
        <w:footnoteRef/>
      </w:r>
      <w:r>
        <w:t xml:space="preserve"> </w:t>
      </w:r>
      <w:hyperlink r:id="rId3" w:history="1">
        <w:r>
          <w:rPr>
            <w:rStyle w:val="10"/>
          </w:rPr>
          <w:t>https://www.mjib.gov.tw/EditPage/?PageID=e5bd8f22-5f6f-4b09-8688-632cd37b2692</w:t>
        </w:r>
      </w:hyperlink>
    </w:p>
  </w:footnote>
  <w:footnote w:id="24">
    <w:p w14:paraId="40821F8A" w14:textId="77777777" w:rsidR="00ED66B4" w:rsidRPr="00CD5B18" w:rsidRDefault="00ED66B4" w:rsidP="00ED66B4">
      <w:pPr>
        <w:pStyle w:val="1"/>
      </w:pPr>
      <w:r>
        <w:rPr>
          <w:rStyle w:val="a4"/>
        </w:rPr>
        <w:footnoteRef/>
      </w:r>
      <w:r>
        <w:t xml:space="preserve"> </w:t>
      </w:r>
      <w:r w:rsidRPr="008417A6">
        <w:rPr>
          <w:rFonts w:ascii="標楷體" w:eastAsia="標楷體" w:hAnsi="標楷體" w:hint="eastAsia"/>
        </w:rPr>
        <w:t>參酌經濟部「有限合夥法」第四條、第六條第二項、第二十四條及第二十六條規定。</w:t>
      </w:r>
    </w:p>
  </w:footnote>
  <w:footnote w:id="25">
    <w:p w14:paraId="5B00B983" w14:textId="77777777" w:rsidR="00ED66B4" w:rsidRPr="00900F25" w:rsidRDefault="00ED66B4" w:rsidP="00ED66B4">
      <w:pPr>
        <w:pStyle w:val="1"/>
      </w:pPr>
      <w:r>
        <w:rPr>
          <w:rStyle w:val="a4"/>
        </w:rPr>
        <w:footnoteRef/>
      </w:r>
      <w:r>
        <w:t xml:space="preserve"> </w:t>
      </w:r>
      <w:r w:rsidRPr="008417A6">
        <w:rPr>
          <w:rFonts w:ascii="標楷體" w:eastAsia="標楷體" w:hAnsi="標楷體" w:hint="eastAsia"/>
        </w:rPr>
        <w:t>參酌內政部「</w:t>
      </w:r>
      <w:r w:rsidRPr="008417A6">
        <w:rPr>
          <w:rFonts w:ascii="標楷體" w:eastAsia="標楷體" w:hAnsi="標楷體" w:hint="eastAsia"/>
          <w:szCs w:val="24"/>
        </w:rPr>
        <w:t>內政部審查全國性宗教財團法人設立許可及監督要點」及「辦理寺廟登記須知」規定。</w:t>
      </w:r>
    </w:p>
  </w:footnote>
  <w:footnote w:id="26">
    <w:p w14:paraId="45D9C243" w14:textId="77777777" w:rsidR="00ED66B4" w:rsidRDefault="00ED66B4" w:rsidP="00ED66B4">
      <w:pPr>
        <w:pStyle w:val="1"/>
      </w:pPr>
      <w:r>
        <w:rPr>
          <w:rStyle w:val="a4"/>
        </w:rPr>
        <w:footnoteRef/>
      </w:r>
      <w:r>
        <w:t xml:space="preserve"> </w:t>
      </w:r>
      <w:hyperlink r:id="rId4" w:history="1">
        <w:r w:rsidRPr="00470B69">
          <w:rPr>
            <w:rStyle w:val="10"/>
            <w:rFonts w:ascii="標楷體" w:eastAsia="標楷體" w:hAnsi="標楷體" w:cs="Arial"/>
            <w:szCs w:val="24"/>
          </w:rPr>
          <w:t>http://cdcb.judicial.gov.tw/abbs/wkw/WHD6K00.jsp</w:t>
        </w:r>
      </w:hyperlink>
    </w:p>
  </w:footnote>
  <w:footnote w:id="27">
    <w:p w14:paraId="4DFE5EDA" w14:textId="77777777" w:rsidR="00ED66B4" w:rsidRDefault="00ED66B4" w:rsidP="00ED66B4">
      <w:pPr>
        <w:pStyle w:val="1"/>
      </w:pPr>
      <w:r>
        <w:rPr>
          <w:rStyle w:val="a4"/>
        </w:rPr>
        <w:footnoteRef/>
      </w:r>
      <w:r>
        <w:t xml:space="preserve"> </w:t>
      </w:r>
      <w:hyperlink r:id="rId5" w:history="1">
        <w:r w:rsidRPr="00470B69">
          <w:rPr>
            <w:rStyle w:val="10"/>
            <w:rFonts w:ascii="標楷體" w:eastAsia="標楷體" w:hAnsi="標楷體"/>
            <w:szCs w:val="24"/>
          </w:rPr>
          <w:t>https://group.moi.gov.tw/sgms/html/new_search_team!searchteam.action</w:t>
        </w:r>
      </w:hyperlink>
    </w:p>
  </w:footnote>
  <w:footnote w:id="28">
    <w:p w14:paraId="3289BB38" w14:textId="77777777" w:rsidR="00ED66B4" w:rsidRDefault="00ED66B4" w:rsidP="00ED66B4">
      <w:pPr>
        <w:pStyle w:val="1"/>
      </w:pPr>
      <w:r>
        <w:rPr>
          <w:rStyle w:val="a4"/>
        </w:rPr>
        <w:footnoteRef/>
      </w:r>
      <w:r>
        <w:t xml:space="preserve"> </w:t>
      </w:r>
      <w:hyperlink r:id="rId6" w:history="1">
        <w:r w:rsidRPr="008E5399">
          <w:rPr>
            <w:rStyle w:val="10"/>
            <w:rFonts w:ascii="標楷體" w:eastAsia="標楷體" w:hAnsi="標楷體"/>
            <w:szCs w:val="24"/>
          </w:rPr>
          <w:t>http://npo.moi.gov.tw/npom/</w:t>
        </w:r>
      </w:hyperlink>
    </w:p>
  </w:footnote>
  <w:footnote w:id="29">
    <w:p w14:paraId="68E02E01" w14:textId="77777777" w:rsidR="00ED66B4" w:rsidRDefault="00ED66B4" w:rsidP="00ED66B4">
      <w:pPr>
        <w:pStyle w:val="1"/>
      </w:pPr>
      <w:r>
        <w:rPr>
          <w:rStyle w:val="a4"/>
        </w:rPr>
        <w:footnoteRef/>
      </w:r>
      <w:r>
        <w:t xml:space="preserve"> </w:t>
      </w:r>
      <w:hyperlink r:id="rId7" w:history="1">
        <w:r w:rsidRPr="00470B69">
          <w:rPr>
            <w:rStyle w:val="10"/>
            <w:rFonts w:ascii="標楷體" w:eastAsia="標楷體" w:hAnsi="標楷體" w:cs="Arial"/>
            <w:szCs w:val="24"/>
          </w:rPr>
          <w:t>https://religion.moi.gov.tw/Religion/FoundationTemple?ci=1</w:t>
        </w:r>
      </w:hyperlink>
    </w:p>
  </w:footnote>
  <w:footnote w:id="30">
    <w:p w14:paraId="7B51D452" w14:textId="77777777" w:rsidR="00ED66B4" w:rsidRDefault="00ED66B4" w:rsidP="00ED66B4">
      <w:pPr>
        <w:pStyle w:val="1"/>
      </w:pPr>
      <w:r>
        <w:rPr>
          <w:rStyle w:val="a4"/>
        </w:rPr>
        <w:footnoteRef/>
      </w:r>
      <w:r>
        <w:t xml:space="preserve"> </w:t>
      </w:r>
      <w:hyperlink r:id="rId8" w:history="1">
        <w:r w:rsidRPr="00470B69">
          <w:rPr>
            <w:rStyle w:val="10"/>
            <w:rFonts w:ascii="標楷體" w:eastAsia="標楷體" w:hAnsi="標楷體" w:cs="Arial"/>
            <w:szCs w:val="24"/>
          </w:rPr>
          <w:t>https://sowffd.sfaa.gov.tw/fsfundPublic/index/resourceMap</w:t>
        </w:r>
      </w:hyperlink>
    </w:p>
  </w:footnote>
  <w:footnote w:id="31">
    <w:p w14:paraId="0D4B4694" w14:textId="77777777" w:rsidR="00ED66B4" w:rsidRDefault="00ED66B4" w:rsidP="00ED66B4">
      <w:pPr>
        <w:pStyle w:val="1"/>
      </w:pPr>
      <w:r>
        <w:rPr>
          <w:rStyle w:val="a4"/>
        </w:rPr>
        <w:footnoteRef/>
      </w:r>
      <w:r>
        <w:t xml:space="preserve"> </w:t>
      </w:r>
      <w:hyperlink r:id="rId9" w:history="1">
        <w:r w:rsidRPr="00470B69">
          <w:rPr>
            <w:rStyle w:val="10"/>
            <w:rFonts w:ascii="標楷體" w:eastAsia="標楷體" w:hAnsi="標楷體" w:cs="Arial"/>
            <w:szCs w:val="24"/>
          </w:rPr>
          <w:t>https://dep.mohw.gov.tw/DOMA/cp-3175-15984-106.html</w:t>
        </w:r>
      </w:hyperlink>
    </w:p>
  </w:footnote>
  <w:footnote w:id="32">
    <w:p w14:paraId="1BDF47C0" w14:textId="77777777" w:rsidR="00ED66B4" w:rsidRDefault="00ED66B4" w:rsidP="00ED66B4">
      <w:pPr>
        <w:pStyle w:val="1"/>
      </w:pPr>
      <w:r>
        <w:rPr>
          <w:rStyle w:val="a4"/>
        </w:rPr>
        <w:footnoteRef/>
      </w:r>
      <w:r>
        <w:t xml:space="preserve"> </w:t>
      </w:r>
      <w:hyperlink r:id="rId10" w:history="1">
        <w:r w:rsidRPr="00470B69">
          <w:rPr>
            <w:rStyle w:val="10"/>
            <w:rFonts w:ascii="標楷體" w:eastAsia="標楷體" w:hAnsi="標楷體" w:cs="Arial"/>
            <w:szCs w:val="24"/>
          </w:rPr>
          <w:t>https://foundation.moe.edu.tw/eFound/web/FoundationQuery/FrontDeskFoundationSearch.aspx</w:t>
        </w:r>
      </w:hyperlink>
    </w:p>
  </w:footnote>
  <w:footnote w:id="33">
    <w:p w14:paraId="5FD05C20" w14:textId="77777777" w:rsidR="00ED66B4" w:rsidRDefault="00ED66B4" w:rsidP="00ED66B4">
      <w:pPr>
        <w:pStyle w:val="1"/>
      </w:pPr>
      <w:r>
        <w:rPr>
          <w:rStyle w:val="a4"/>
        </w:rPr>
        <w:footnoteRef/>
      </w:r>
      <w:r>
        <w:t xml:space="preserve"> </w:t>
      </w:r>
      <w:hyperlink r:id="rId11" w:history="1">
        <w:r w:rsidRPr="00470B69">
          <w:rPr>
            <w:rStyle w:val="10"/>
            <w:rFonts w:ascii="標楷體" w:eastAsia="標楷體" w:hAnsi="標楷體" w:cs="Arial"/>
            <w:szCs w:val="24"/>
          </w:rPr>
          <w:t>https://www.moc.gov.tw/informationlist_392.html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6202D" w14:textId="77777777" w:rsidR="00D02F94" w:rsidRDefault="00D02F94">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358AF" w14:textId="22ACD50D" w:rsidR="00475D87" w:rsidRPr="00F013D5" w:rsidRDefault="00F013D5">
    <w:pPr>
      <w:pStyle w:val="aa"/>
      <w:rPr>
        <w:rFonts w:ascii="標楷體" w:eastAsia="標楷體" w:hAnsi="標楷體"/>
      </w:rPr>
    </w:pPr>
    <w:r w:rsidRPr="00F013D5">
      <w:rPr>
        <w:rFonts w:ascii="標楷體" w:eastAsia="標楷體" w:hAnsi="標楷體" w:hint="eastAsia"/>
      </w:rPr>
      <w:t xml:space="preserve">109.11.12 </w:t>
    </w:r>
    <w:r w:rsidR="00D02F94">
      <w:rPr>
        <w:rFonts w:ascii="標楷體" w:eastAsia="標楷體" w:hAnsi="標楷體" w:hint="eastAsia"/>
      </w:rPr>
      <w:t xml:space="preserve">   </w:t>
    </w:r>
    <w:r w:rsidRPr="00F013D5">
      <w:rPr>
        <w:rFonts w:ascii="標楷體" w:eastAsia="標楷體" w:hAnsi="標楷體" w:hint="eastAsia"/>
      </w:rPr>
      <w:t xml:space="preserve">              金融監督管理委員會109年11月12日金管證投字第1090142691號函</w:t>
    </w:r>
    <w:r w:rsidR="00E77324">
      <w:rPr>
        <w:rFonts w:ascii="標楷體" w:eastAsia="標楷體" w:hAnsi="標楷體" w:hint="eastAsia"/>
      </w:rPr>
      <w:t>同意備查</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9EE6B" w14:textId="77777777" w:rsidR="00D02F94" w:rsidRDefault="00D02F9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43031"/>
    <w:multiLevelType w:val="hybridMultilevel"/>
    <w:tmpl w:val="4078BDE8"/>
    <w:lvl w:ilvl="0" w:tplc="18FE2556">
      <w:start w:val="1"/>
      <w:numFmt w:val="taiwaneseCountingThousand"/>
      <w:lvlText w:val="(%1)  "/>
      <w:lvlJc w:val="left"/>
      <w:pPr>
        <w:ind w:left="480" w:hanging="480"/>
      </w:pPr>
      <w:rPr>
        <w:rFonts w:ascii="Times New Roman" w:hAnsi="Times New Roman" w:cs="Times New Roman" w:hint="default"/>
      </w:rPr>
    </w:lvl>
    <w:lvl w:ilvl="1" w:tplc="A7028AD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0D1F68"/>
    <w:multiLevelType w:val="hybridMultilevel"/>
    <w:tmpl w:val="A08CC4A2"/>
    <w:lvl w:ilvl="0" w:tplc="1B2A81AA">
      <w:start w:val="1"/>
      <w:numFmt w:val="decimal"/>
      <w:lvlText w:val="%1、"/>
      <w:lvlJc w:val="left"/>
      <w:pPr>
        <w:ind w:left="1095" w:hanging="360"/>
      </w:pPr>
      <w:rPr>
        <w:rFonts w:eastAsia="標楷體" w:hint="eastAsia"/>
        <w:b w:val="0"/>
        <w:i w:val="0"/>
        <w:color w:val="auto"/>
        <w:sz w:val="28"/>
        <w:szCs w:val="28"/>
        <w:u w:val="none"/>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2" w15:restartNumberingAfterBreak="0">
    <w:nsid w:val="193B144D"/>
    <w:multiLevelType w:val="hybridMultilevel"/>
    <w:tmpl w:val="A08CC4A2"/>
    <w:lvl w:ilvl="0" w:tplc="1B2A81AA">
      <w:start w:val="1"/>
      <w:numFmt w:val="decimal"/>
      <w:lvlText w:val="%1、"/>
      <w:lvlJc w:val="left"/>
      <w:pPr>
        <w:ind w:left="1095" w:hanging="360"/>
      </w:pPr>
      <w:rPr>
        <w:rFonts w:eastAsia="標楷體" w:hint="eastAsia"/>
        <w:b w:val="0"/>
        <w:i w:val="0"/>
        <w:color w:val="auto"/>
        <w:sz w:val="28"/>
        <w:szCs w:val="28"/>
        <w:u w:val="none"/>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3" w15:restartNumberingAfterBreak="0">
    <w:nsid w:val="1CD25706"/>
    <w:multiLevelType w:val="hybridMultilevel"/>
    <w:tmpl w:val="A4AE500A"/>
    <w:lvl w:ilvl="0" w:tplc="28D8576A">
      <w:start w:val="1"/>
      <w:numFmt w:val="taiwaneseCountingThousand"/>
      <w:lvlText w:val="(%1)  "/>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667FA7"/>
    <w:multiLevelType w:val="hybridMultilevel"/>
    <w:tmpl w:val="A08CC4A2"/>
    <w:lvl w:ilvl="0" w:tplc="1B2A81AA">
      <w:start w:val="1"/>
      <w:numFmt w:val="decimal"/>
      <w:lvlText w:val="%1、"/>
      <w:lvlJc w:val="left"/>
      <w:pPr>
        <w:ind w:left="1095" w:hanging="360"/>
      </w:pPr>
      <w:rPr>
        <w:rFonts w:eastAsia="標楷體" w:hint="eastAsia"/>
        <w:b w:val="0"/>
        <w:i w:val="0"/>
        <w:color w:val="auto"/>
        <w:sz w:val="28"/>
        <w:szCs w:val="28"/>
        <w:u w:val="none"/>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5" w15:restartNumberingAfterBreak="0">
    <w:nsid w:val="2E5940F1"/>
    <w:multiLevelType w:val="hybridMultilevel"/>
    <w:tmpl w:val="A08CC4A2"/>
    <w:lvl w:ilvl="0" w:tplc="1B2A81AA">
      <w:start w:val="1"/>
      <w:numFmt w:val="decimal"/>
      <w:lvlText w:val="%1、"/>
      <w:lvlJc w:val="left"/>
      <w:pPr>
        <w:ind w:left="1095" w:hanging="360"/>
      </w:pPr>
      <w:rPr>
        <w:rFonts w:eastAsia="標楷體" w:hint="eastAsia"/>
        <w:b w:val="0"/>
        <w:i w:val="0"/>
        <w:color w:val="auto"/>
        <w:sz w:val="28"/>
        <w:szCs w:val="28"/>
        <w:u w:val="none"/>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6" w15:restartNumberingAfterBreak="0">
    <w:nsid w:val="2FA91DBA"/>
    <w:multiLevelType w:val="hybridMultilevel"/>
    <w:tmpl w:val="3550B23A"/>
    <w:lvl w:ilvl="0" w:tplc="EEAA6EF4">
      <w:start w:val="1"/>
      <w:numFmt w:val="taiwaneseCountingThousand"/>
      <w:lvlText w:val="(%1)  "/>
      <w:lvlJc w:val="left"/>
      <w:pPr>
        <w:ind w:left="480" w:hanging="480"/>
      </w:pPr>
      <w:rPr>
        <w:rFonts w:ascii="Times New Roman" w:hAnsi="Times New Roman" w:cs="Times New Roman" w:hint="default"/>
      </w:rPr>
    </w:lvl>
    <w:lvl w:ilvl="1" w:tplc="A7028AD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DE3C44"/>
    <w:multiLevelType w:val="hybridMultilevel"/>
    <w:tmpl w:val="A08CC4A2"/>
    <w:lvl w:ilvl="0" w:tplc="1B2A81AA">
      <w:start w:val="1"/>
      <w:numFmt w:val="decimal"/>
      <w:lvlText w:val="%1、"/>
      <w:lvlJc w:val="left"/>
      <w:pPr>
        <w:ind w:left="1095" w:hanging="360"/>
      </w:pPr>
      <w:rPr>
        <w:rFonts w:eastAsia="標楷體" w:hint="eastAsia"/>
        <w:b w:val="0"/>
        <w:i w:val="0"/>
        <w:color w:val="auto"/>
        <w:sz w:val="28"/>
        <w:szCs w:val="28"/>
        <w:u w:val="none"/>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8" w15:restartNumberingAfterBreak="0">
    <w:nsid w:val="35E147CB"/>
    <w:multiLevelType w:val="hybridMultilevel"/>
    <w:tmpl w:val="A08CC4A2"/>
    <w:lvl w:ilvl="0" w:tplc="1B2A81AA">
      <w:start w:val="1"/>
      <w:numFmt w:val="decimal"/>
      <w:lvlText w:val="%1、"/>
      <w:lvlJc w:val="left"/>
      <w:pPr>
        <w:ind w:left="1095" w:hanging="360"/>
      </w:pPr>
      <w:rPr>
        <w:rFonts w:eastAsia="標楷體" w:hint="eastAsia"/>
        <w:b w:val="0"/>
        <w:i w:val="0"/>
        <w:color w:val="auto"/>
        <w:sz w:val="28"/>
        <w:szCs w:val="28"/>
        <w:u w:val="none"/>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9" w15:restartNumberingAfterBreak="0">
    <w:nsid w:val="36D959C9"/>
    <w:multiLevelType w:val="hybridMultilevel"/>
    <w:tmpl w:val="6BE6C466"/>
    <w:lvl w:ilvl="0" w:tplc="F212619E">
      <w:start w:val="1"/>
      <w:numFmt w:val="decimal"/>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10" w15:restartNumberingAfterBreak="0">
    <w:nsid w:val="49E17DF4"/>
    <w:multiLevelType w:val="hybridMultilevel"/>
    <w:tmpl w:val="BC6E789C"/>
    <w:lvl w:ilvl="0" w:tplc="5950DA1E">
      <w:start w:val="1"/>
      <w:numFmt w:val="taiwaneseCountingThousand"/>
      <w:lvlText w:val="(%1)  "/>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E4F733C"/>
    <w:multiLevelType w:val="hybridMultilevel"/>
    <w:tmpl w:val="BC6E789C"/>
    <w:lvl w:ilvl="0" w:tplc="5950DA1E">
      <w:start w:val="1"/>
      <w:numFmt w:val="taiwaneseCountingThousand"/>
      <w:lvlText w:val="(%1)  "/>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E530C96"/>
    <w:multiLevelType w:val="hybridMultilevel"/>
    <w:tmpl w:val="4792116E"/>
    <w:lvl w:ilvl="0" w:tplc="0EB0B314">
      <w:start w:val="1"/>
      <w:numFmt w:val="decimal"/>
      <w:lvlText w:val="(%1)"/>
      <w:lvlJc w:val="left"/>
      <w:pPr>
        <w:ind w:left="1429" w:hanging="360"/>
      </w:pPr>
      <w:rPr>
        <w:rFonts w:hint="default"/>
        <w:sz w:val="28"/>
        <w:szCs w:val="28"/>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13" w15:restartNumberingAfterBreak="0">
    <w:nsid w:val="5572308B"/>
    <w:multiLevelType w:val="hybridMultilevel"/>
    <w:tmpl w:val="A08CC4A2"/>
    <w:lvl w:ilvl="0" w:tplc="1B2A81AA">
      <w:start w:val="1"/>
      <w:numFmt w:val="decimal"/>
      <w:lvlText w:val="%1、"/>
      <w:lvlJc w:val="left"/>
      <w:pPr>
        <w:ind w:left="1095" w:hanging="360"/>
      </w:pPr>
      <w:rPr>
        <w:rFonts w:eastAsia="標楷體" w:hint="eastAsia"/>
        <w:b w:val="0"/>
        <w:i w:val="0"/>
        <w:color w:val="auto"/>
        <w:sz w:val="28"/>
        <w:szCs w:val="28"/>
        <w:u w:val="none"/>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14" w15:restartNumberingAfterBreak="0">
    <w:nsid w:val="5D78078F"/>
    <w:multiLevelType w:val="hybridMultilevel"/>
    <w:tmpl w:val="A08CC4A2"/>
    <w:lvl w:ilvl="0" w:tplc="1B2A81AA">
      <w:start w:val="1"/>
      <w:numFmt w:val="decimal"/>
      <w:lvlText w:val="%1、"/>
      <w:lvlJc w:val="left"/>
      <w:pPr>
        <w:ind w:left="1095" w:hanging="360"/>
      </w:pPr>
      <w:rPr>
        <w:rFonts w:eastAsia="標楷體" w:hint="eastAsia"/>
        <w:b w:val="0"/>
        <w:i w:val="0"/>
        <w:color w:val="auto"/>
        <w:sz w:val="28"/>
        <w:szCs w:val="28"/>
        <w:u w:val="none"/>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15" w15:restartNumberingAfterBreak="0">
    <w:nsid w:val="60A84C68"/>
    <w:multiLevelType w:val="hybridMultilevel"/>
    <w:tmpl w:val="6040E184"/>
    <w:lvl w:ilvl="0" w:tplc="199483AA">
      <w:start w:val="1"/>
      <w:numFmt w:val="taiwaneseCountingThousand"/>
      <w:lvlText w:val="(%1)  "/>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2F239A7"/>
    <w:multiLevelType w:val="hybridMultilevel"/>
    <w:tmpl w:val="CBF289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54E40F4"/>
    <w:multiLevelType w:val="hybridMultilevel"/>
    <w:tmpl w:val="A08CC4A2"/>
    <w:lvl w:ilvl="0" w:tplc="1B2A81AA">
      <w:start w:val="1"/>
      <w:numFmt w:val="decimal"/>
      <w:lvlText w:val="%1、"/>
      <w:lvlJc w:val="left"/>
      <w:pPr>
        <w:ind w:left="1095" w:hanging="360"/>
      </w:pPr>
      <w:rPr>
        <w:rFonts w:eastAsia="標楷體" w:hint="eastAsia"/>
        <w:b w:val="0"/>
        <w:i w:val="0"/>
        <w:color w:val="auto"/>
        <w:sz w:val="28"/>
        <w:szCs w:val="28"/>
        <w:u w:val="none"/>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18" w15:restartNumberingAfterBreak="0">
    <w:nsid w:val="70DF70A3"/>
    <w:multiLevelType w:val="hybridMultilevel"/>
    <w:tmpl w:val="6BE6C466"/>
    <w:lvl w:ilvl="0" w:tplc="F212619E">
      <w:start w:val="1"/>
      <w:numFmt w:val="decimal"/>
      <w:lvlText w:val="(%1)"/>
      <w:lvlJc w:val="left"/>
      <w:pPr>
        <w:ind w:left="1429" w:hanging="360"/>
      </w:pPr>
      <w:rPr>
        <w:rFonts w:hint="default"/>
      </w:rPr>
    </w:lvl>
    <w:lvl w:ilvl="1" w:tplc="04090019" w:tentative="1">
      <w:start w:val="1"/>
      <w:numFmt w:val="ideographTraditional"/>
      <w:lvlText w:val="%2、"/>
      <w:lvlJc w:val="left"/>
      <w:pPr>
        <w:ind w:left="2029" w:hanging="480"/>
      </w:pPr>
    </w:lvl>
    <w:lvl w:ilvl="2" w:tplc="0409001B" w:tentative="1">
      <w:start w:val="1"/>
      <w:numFmt w:val="lowerRoman"/>
      <w:lvlText w:val="%3."/>
      <w:lvlJc w:val="right"/>
      <w:pPr>
        <w:ind w:left="2509" w:hanging="480"/>
      </w:pPr>
    </w:lvl>
    <w:lvl w:ilvl="3" w:tplc="0409000F" w:tentative="1">
      <w:start w:val="1"/>
      <w:numFmt w:val="decimal"/>
      <w:lvlText w:val="%4."/>
      <w:lvlJc w:val="left"/>
      <w:pPr>
        <w:ind w:left="2989" w:hanging="480"/>
      </w:pPr>
    </w:lvl>
    <w:lvl w:ilvl="4" w:tplc="04090019" w:tentative="1">
      <w:start w:val="1"/>
      <w:numFmt w:val="ideographTraditional"/>
      <w:lvlText w:val="%5、"/>
      <w:lvlJc w:val="left"/>
      <w:pPr>
        <w:ind w:left="3469" w:hanging="480"/>
      </w:pPr>
    </w:lvl>
    <w:lvl w:ilvl="5" w:tplc="0409001B" w:tentative="1">
      <w:start w:val="1"/>
      <w:numFmt w:val="lowerRoman"/>
      <w:lvlText w:val="%6."/>
      <w:lvlJc w:val="right"/>
      <w:pPr>
        <w:ind w:left="3949" w:hanging="480"/>
      </w:pPr>
    </w:lvl>
    <w:lvl w:ilvl="6" w:tplc="0409000F" w:tentative="1">
      <w:start w:val="1"/>
      <w:numFmt w:val="decimal"/>
      <w:lvlText w:val="%7."/>
      <w:lvlJc w:val="left"/>
      <w:pPr>
        <w:ind w:left="4429" w:hanging="480"/>
      </w:pPr>
    </w:lvl>
    <w:lvl w:ilvl="7" w:tplc="04090019" w:tentative="1">
      <w:start w:val="1"/>
      <w:numFmt w:val="ideographTraditional"/>
      <w:lvlText w:val="%8、"/>
      <w:lvlJc w:val="left"/>
      <w:pPr>
        <w:ind w:left="4909" w:hanging="480"/>
      </w:pPr>
    </w:lvl>
    <w:lvl w:ilvl="8" w:tplc="0409001B" w:tentative="1">
      <w:start w:val="1"/>
      <w:numFmt w:val="lowerRoman"/>
      <w:lvlText w:val="%9."/>
      <w:lvlJc w:val="right"/>
      <w:pPr>
        <w:ind w:left="5389" w:hanging="480"/>
      </w:pPr>
    </w:lvl>
  </w:abstractNum>
  <w:abstractNum w:abstractNumId="19" w15:restartNumberingAfterBreak="0">
    <w:nsid w:val="75A17A9A"/>
    <w:multiLevelType w:val="hybridMultilevel"/>
    <w:tmpl w:val="6040E184"/>
    <w:lvl w:ilvl="0" w:tplc="199483AA">
      <w:start w:val="1"/>
      <w:numFmt w:val="taiwaneseCountingThousand"/>
      <w:lvlText w:val="(%1)  "/>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6E1F0D"/>
    <w:multiLevelType w:val="hybridMultilevel"/>
    <w:tmpl w:val="A08CC4A2"/>
    <w:lvl w:ilvl="0" w:tplc="1B2A81AA">
      <w:start w:val="1"/>
      <w:numFmt w:val="decimal"/>
      <w:lvlText w:val="%1、"/>
      <w:lvlJc w:val="left"/>
      <w:pPr>
        <w:ind w:left="1095" w:hanging="360"/>
      </w:pPr>
      <w:rPr>
        <w:rFonts w:eastAsia="標楷體" w:hint="eastAsia"/>
        <w:b w:val="0"/>
        <w:i w:val="0"/>
        <w:color w:val="auto"/>
        <w:sz w:val="28"/>
        <w:szCs w:val="28"/>
        <w:u w:val="none"/>
      </w:rPr>
    </w:lvl>
    <w:lvl w:ilvl="1" w:tplc="04090019" w:tentative="1">
      <w:start w:val="1"/>
      <w:numFmt w:val="ideographTraditional"/>
      <w:lvlText w:val="%2、"/>
      <w:lvlJc w:val="left"/>
      <w:pPr>
        <w:ind w:left="1695" w:hanging="480"/>
      </w:pPr>
    </w:lvl>
    <w:lvl w:ilvl="2" w:tplc="0409001B" w:tentative="1">
      <w:start w:val="1"/>
      <w:numFmt w:val="lowerRoman"/>
      <w:lvlText w:val="%3."/>
      <w:lvlJc w:val="right"/>
      <w:pPr>
        <w:ind w:left="2175" w:hanging="480"/>
      </w:pPr>
    </w:lvl>
    <w:lvl w:ilvl="3" w:tplc="0409000F" w:tentative="1">
      <w:start w:val="1"/>
      <w:numFmt w:val="decimal"/>
      <w:lvlText w:val="%4."/>
      <w:lvlJc w:val="left"/>
      <w:pPr>
        <w:ind w:left="2655" w:hanging="480"/>
      </w:pPr>
    </w:lvl>
    <w:lvl w:ilvl="4" w:tplc="04090019" w:tentative="1">
      <w:start w:val="1"/>
      <w:numFmt w:val="ideographTraditional"/>
      <w:lvlText w:val="%5、"/>
      <w:lvlJc w:val="left"/>
      <w:pPr>
        <w:ind w:left="3135" w:hanging="480"/>
      </w:pPr>
    </w:lvl>
    <w:lvl w:ilvl="5" w:tplc="0409001B" w:tentative="1">
      <w:start w:val="1"/>
      <w:numFmt w:val="lowerRoman"/>
      <w:lvlText w:val="%6."/>
      <w:lvlJc w:val="right"/>
      <w:pPr>
        <w:ind w:left="3615" w:hanging="480"/>
      </w:pPr>
    </w:lvl>
    <w:lvl w:ilvl="6" w:tplc="0409000F" w:tentative="1">
      <w:start w:val="1"/>
      <w:numFmt w:val="decimal"/>
      <w:lvlText w:val="%7."/>
      <w:lvlJc w:val="left"/>
      <w:pPr>
        <w:ind w:left="4095" w:hanging="480"/>
      </w:pPr>
    </w:lvl>
    <w:lvl w:ilvl="7" w:tplc="04090019" w:tentative="1">
      <w:start w:val="1"/>
      <w:numFmt w:val="ideographTraditional"/>
      <w:lvlText w:val="%8、"/>
      <w:lvlJc w:val="left"/>
      <w:pPr>
        <w:ind w:left="4575" w:hanging="480"/>
      </w:pPr>
    </w:lvl>
    <w:lvl w:ilvl="8" w:tplc="0409001B" w:tentative="1">
      <w:start w:val="1"/>
      <w:numFmt w:val="lowerRoman"/>
      <w:lvlText w:val="%9."/>
      <w:lvlJc w:val="right"/>
      <w:pPr>
        <w:ind w:left="5055" w:hanging="480"/>
      </w:pPr>
    </w:lvl>
  </w:abstractNum>
  <w:abstractNum w:abstractNumId="21" w15:restartNumberingAfterBreak="0">
    <w:nsid w:val="7D2E11DB"/>
    <w:multiLevelType w:val="hybridMultilevel"/>
    <w:tmpl w:val="CBF289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9"/>
  </w:num>
  <w:num w:numId="3">
    <w:abstractNumId w:val="5"/>
  </w:num>
  <w:num w:numId="4">
    <w:abstractNumId w:val="13"/>
  </w:num>
  <w:num w:numId="5">
    <w:abstractNumId w:val="18"/>
  </w:num>
  <w:num w:numId="6">
    <w:abstractNumId w:val="12"/>
  </w:num>
  <w:num w:numId="7">
    <w:abstractNumId w:val="1"/>
  </w:num>
  <w:num w:numId="8">
    <w:abstractNumId w:val="11"/>
  </w:num>
  <w:num w:numId="9">
    <w:abstractNumId w:val="10"/>
  </w:num>
  <w:num w:numId="10">
    <w:abstractNumId w:val="3"/>
  </w:num>
  <w:num w:numId="11">
    <w:abstractNumId w:val="0"/>
  </w:num>
  <w:num w:numId="12">
    <w:abstractNumId w:val="6"/>
  </w:num>
  <w:num w:numId="13">
    <w:abstractNumId w:val="19"/>
  </w:num>
  <w:num w:numId="14">
    <w:abstractNumId w:val="16"/>
  </w:num>
  <w:num w:numId="15">
    <w:abstractNumId w:val="4"/>
  </w:num>
  <w:num w:numId="16">
    <w:abstractNumId w:val="2"/>
  </w:num>
  <w:num w:numId="17">
    <w:abstractNumId w:val="20"/>
  </w:num>
  <w:num w:numId="18">
    <w:abstractNumId w:val="17"/>
  </w:num>
  <w:num w:numId="19">
    <w:abstractNumId w:val="15"/>
  </w:num>
  <w:num w:numId="20">
    <w:abstractNumId w:val="7"/>
  </w:num>
  <w:num w:numId="21">
    <w:abstractNumId w:val="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B4"/>
    <w:rsid w:val="00095A12"/>
    <w:rsid w:val="000E6713"/>
    <w:rsid w:val="00100211"/>
    <w:rsid w:val="001452C1"/>
    <w:rsid w:val="002239C9"/>
    <w:rsid w:val="00243C0B"/>
    <w:rsid w:val="002E2B07"/>
    <w:rsid w:val="003358F1"/>
    <w:rsid w:val="00347255"/>
    <w:rsid w:val="00400466"/>
    <w:rsid w:val="00427089"/>
    <w:rsid w:val="00475D87"/>
    <w:rsid w:val="00520461"/>
    <w:rsid w:val="005A5B68"/>
    <w:rsid w:val="005C3955"/>
    <w:rsid w:val="005D34CF"/>
    <w:rsid w:val="00640A56"/>
    <w:rsid w:val="006E020F"/>
    <w:rsid w:val="00716C90"/>
    <w:rsid w:val="008E05C2"/>
    <w:rsid w:val="009A69B9"/>
    <w:rsid w:val="009E77D5"/>
    <w:rsid w:val="00A50498"/>
    <w:rsid w:val="00AF25A4"/>
    <w:rsid w:val="00BC3B3B"/>
    <w:rsid w:val="00BF59E4"/>
    <w:rsid w:val="00C146FB"/>
    <w:rsid w:val="00C354F6"/>
    <w:rsid w:val="00C621E8"/>
    <w:rsid w:val="00D02F94"/>
    <w:rsid w:val="00D22903"/>
    <w:rsid w:val="00D5570F"/>
    <w:rsid w:val="00DB497B"/>
    <w:rsid w:val="00DC0BA4"/>
    <w:rsid w:val="00E77324"/>
    <w:rsid w:val="00ED66B4"/>
    <w:rsid w:val="00F013D5"/>
    <w:rsid w:val="00F5337B"/>
    <w:rsid w:val="00F74F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71D16A"/>
  <w15:chartTrackingRefBased/>
  <w15:docId w15:val="{40AD0548-9A57-400E-AEB5-9EF67DE5C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66B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6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basedOn w:val="a0"/>
    <w:uiPriority w:val="99"/>
    <w:semiHidden/>
    <w:unhideWhenUsed/>
    <w:rsid w:val="00ED66B4"/>
    <w:rPr>
      <w:vertAlign w:val="superscript"/>
    </w:rPr>
  </w:style>
  <w:style w:type="paragraph" w:customStyle="1" w:styleId="1">
    <w:name w:val="註腳文字1"/>
    <w:basedOn w:val="a"/>
    <w:next w:val="a5"/>
    <w:uiPriority w:val="99"/>
    <w:semiHidden/>
    <w:unhideWhenUsed/>
    <w:rsid w:val="00ED66B4"/>
    <w:pPr>
      <w:snapToGrid w:val="0"/>
    </w:pPr>
    <w:rPr>
      <w:sz w:val="20"/>
      <w:szCs w:val="20"/>
    </w:rPr>
  </w:style>
  <w:style w:type="paragraph" w:styleId="a5">
    <w:name w:val="footnote text"/>
    <w:basedOn w:val="a"/>
    <w:link w:val="a6"/>
    <w:uiPriority w:val="99"/>
    <w:semiHidden/>
    <w:unhideWhenUsed/>
    <w:rsid w:val="00ED66B4"/>
    <w:pPr>
      <w:snapToGrid w:val="0"/>
    </w:pPr>
    <w:rPr>
      <w:sz w:val="20"/>
      <w:szCs w:val="20"/>
    </w:rPr>
  </w:style>
  <w:style w:type="character" w:customStyle="1" w:styleId="a6">
    <w:name w:val="註腳文字 字元"/>
    <w:basedOn w:val="a0"/>
    <w:link w:val="a5"/>
    <w:uiPriority w:val="99"/>
    <w:semiHidden/>
    <w:rsid w:val="00ED66B4"/>
    <w:rPr>
      <w:sz w:val="20"/>
      <w:szCs w:val="20"/>
    </w:rPr>
  </w:style>
  <w:style w:type="character" w:customStyle="1" w:styleId="10">
    <w:name w:val="超連結1"/>
    <w:basedOn w:val="a0"/>
    <w:uiPriority w:val="99"/>
    <w:unhideWhenUsed/>
    <w:rsid w:val="00ED66B4"/>
    <w:rPr>
      <w:color w:val="0563C1"/>
      <w:u w:val="single"/>
    </w:rPr>
  </w:style>
  <w:style w:type="character" w:styleId="a7">
    <w:name w:val="Hyperlink"/>
    <w:basedOn w:val="a0"/>
    <w:uiPriority w:val="99"/>
    <w:semiHidden/>
    <w:unhideWhenUsed/>
    <w:rsid w:val="00ED66B4"/>
    <w:rPr>
      <w:color w:val="0563C1" w:themeColor="hyperlink"/>
      <w:u w:val="single"/>
    </w:rPr>
  </w:style>
  <w:style w:type="paragraph" w:styleId="a8">
    <w:name w:val="Balloon Text"/>
    <w:basedOn w:val="a"/>
    <w:link w:val="a9"/>
    <w:uiPriority w:val="99"/>
    <w:semiHidden/>
    <w:unhideWhenUsed/>
    <w:rsid w:val="00D2290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22903"/>
    <w:rPr>
      <w:rFonts w:asciiTheme="majorHAnsi" w:eastAsiaTheme="majorEastAsia" w:hAnsiTheme="majorHAnsi" w:cstheme="majorBidi"/>
      <w:sz w:val="18"/>
      <w:szCs w:val="18"/>
    </w:rPr>
  </w:style>
  <w:style w:type="paragraph" w:styleId="aa">
    <w:name w:val="header"/>
    <w:basedOn w:val="a"/>
    <w:link w:val="ab"/>
    <w:uiPriority w:val="99"/>
    <w:unhideWhenUsed/>
    <w:rsid w:val="00BF59E4"/>
    <w:pPr>
      <w:tabs>
        <w:tab w:val="center" w:pos="4153"/>
        <w:tab w:val="right" w:pos="8306"/>
      </w:tabs>
      <w:snapToGrid w:val="0"/>
    </w:pPr>
    <w:rPr>
      <w:sz w:val="20"/>
      <w:szCs w:val="20"/>
    </w:rPr>
  </w:style>
  <w:style w:type="character" w:customStyle="1" w:styleId="ab">
    <w:name w:val="頁首 字元"/>
    <w:basedOn w:val="a0"/>
    <w:link w:val="aa"/>
    <w:uiPriority w:val="99"/>
    <w:rsid w:val="00BF59E4"/>
    <w:rPr>
      <w:sz w:val="20"/>
      <w:szCs w:val="20"/>
    </w:rPr>
  </w:style>
  <w:style w:type="paragraph" w:styleId="ac">
    <w:name w:val="footer"/>
    <w:basedOn w:val="a"/>
    <w:link w:val="ad"/>
    <w:uiPriority w:val="99"/>
    <w:unhideWhenUsed/>
    <w:rsid w:val="00BF59E4"/>
    <w:pPr>
      <w:tabs>
        <w:tab w:val="center" w:pos="4153"/>
        <w:tab w:val="right" w:pos="8306"/>
      </w:tabs>
      <w:snapToGrid w:val="0"/>
    </w:pPr>
    <w:rPr>
      <w:sz w:val="20"/>
      <w:szCs w:val="20"/>
    </w:rPr>
  </w:style>
  <w:style w:type="character" w:customStyle="1" w:styleId="ad">
    <w:name w:val="頁尾 字元"/>
    <w:basedOn w:val="a0"/>
    <w:link w:val="ac"/>
    <w:uiPriority w:val="99"/>
    <w:rsid w:val="00BF59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sowffd.sfaa.gov.tw/fsfundPublic/index/resourceMap" TargetMode="External"/><Relationship Id="rId3" Type="http://schemas.openxmlformats.org/officeDocument/2006/relationships/hyperlink" Target="https://www.mjib.gov.tw/EditPage/?PageID=e5bd8f22-5f6f-4b09-8688-632cd37b2692" TargetMode="External"/><Relationship Id="rId7" Type="http://schemas.openxmlformats.org/officeDocument/2006/relationships/hyperlink" Target="https://religion.moi.gov.tw/Religion/FoundationTemple?ci=1" TargetMode="External"/><Relationship Id="rId2" Type="http://schemas.openxmlformats.org/officeDocument/2006/relationships/hyperlink" Target="https://www.mjib.gov.tw/EditPage/?PageID=497e1e11-cc63-446d-b58f-cc3c6bfa41bb" TargetMode="External"/><Relationship Id="rId1" Type="http://schemas.openxmlformats.org/officeDocument/2006/relationships/hyperlink" Target="https://www.fatf-gafi.org/countries/" TargetMode="External"/><Relationship Id="rId6" Type="http://schemas.openxmlformats.org/officeDocument/2006/relationships/hyperlink" Target="http://npo.moi.gov.tw/npom/" TargetMode="External"/><Relationship Id="rId11" Type="http://schemas.openxmlformats.org/officeDocument/2006/relationships/hyperlink" Target="https://www.moc.gov.tw/informationlist_392.html" TargetMode="External"/><Relationship Id="rId5" Type="http://schemas.openxmlformats.org/officeDocument/2006/relationships/hyperlink" Target="https://group.moi.gov.tw/sgms/html/new_search_team!searchteam.action" TargetMode="External"/><Relationship Id="rId10" Type="http://schemas.openxmlformats.org/officeDocument/2006/relationships/hyperlink" Target="https://foundation.moe.edu.tw/eFound/web/FoundationQuery/FrontDeskFoundationSearch.aspx" TargetMode="External"/><Relationship Id="rId4" Type="http://schemas.openxmlformats.org/officeDocument/2006/relationships/hyperlink" Target="http://cdcb.judicial.gov.tw/abbs/wkw/WHD6K00.jsp" TargetMode="External"/><Relationship Id="rId9" Type="http://schemas.openxmlformats.org/officeDocument/2006/relationships/hyperlink" Target="https://dep.mohw.gov.tw/DOMA/cp-3175-15984-106.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5A3E4-EA6C-42E9-BD7B-63B33030F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797</Words>
  <Characters>4547</Characters>
  <Application>Microsoft Office Word</Application>
  <DocSecurity>0</DocSecurity>
  <Lines>37</Lines>
  <Paragraphs>10</Paragraphs>
  <ScaleCrop>false</ScaleCrop>
  <Company/>
  <LinksUpToDate>false</LinksUpToDate>
  <CharactersWithSpaces>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投信投顧公會 陳曉薇</dc:creator>
  <cp:keywords/>
  <dc:description/>
  <cp:lastModifiedBy>投信投顧公會 郭榕琁</cp:lastModifiedBy>
  <cp:revision>2</cp:revision>
  <cp:lastPrinted>2020-06-11T09:32:00Z</cp:lastPrinted>
  <dcterms:created xsi:type="dcterms:W3CDTF">2020-11-17T02:02:00Z</dcterms:created>
  <dcterms:modified xsi:type="dcterms:W3CDTF">2020-11-17T02:02:00Z</dcterms:modified>
</cp:coreProperties>
</file>