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5954" w:rsidRPr="000E1F0F" w:rsidRDefault="008D5954" w:rsidP="000E1F0F">
      <w:pPr>
        <w:rPr>
          <w:rFonts w:ascii="Times New Roman" w:hAnsi="Times New Roman" w:cs="Times New Roman"/>
          <w:bCs/>
          <w:szCs w:val="26"/>
        </w:rPr>
      </w:pPr>
      <w:r w:rsidRPr="00D941DE">
        <w:rPr>
          <w:rFonts w:ascii="Times New Roman" w:hAnsi="標楷體" w:cs="Times New Roman"/>
          <w:b/>
          <w:color w:val="000000"/>
          <w:kern w:val="0"/>
          <w:szCs w:val="26"/>
        </w:rPr>
        <w:t>「</w:t>
      </w:r>
      <w:r w:rsidR="00D941DE" w:rsidRPr="00D941DE">
        <w:rPr>
          <w:rFonts w:ascii="標楷體" w:hAnsi="標楷體" w:hint="eastAsia"/>
          <w:b/>
          <w:color w:val="000000"/>
          <w:szCs w:val="26"/>
        </w:rPr>
        <w:t>防制洗錢及</w:t>
      </w:r>
      <w:proofErr w:type="gramStart"/>
      <w:r w:rsidR="00D941DE" w:rsidRPr="00D941DE">
        <w:rPr>
          <w:rFonts w:ascii="標楷體" w:hAnsi="標楷體" w:hint="eastAsia"/>
          <w:b/>
          <w:color w:val="000000"/>
          <w:szCs w:val="26"/>
        </w:rPr>
        <w:t>打擊資恐相關</w:t>
      </w:r>
      <w:proofErr w:type="gramEnd"/>
      <w:r w:rsidR="00D941DE" w:rsidRPr="00D941DE">
        <w:rPr>
          <w:rFonts w:ascii="標楷體" w:hAnsi="標楷體" w:hint="eastAsia"/>
          <w:b/>
          <w:color w:val="000000"/>
          <w:szCs w:val="26"/>
        </w:rPr>
        <w:t>規定問答集</w:t>
      </w:r>
      <w:proofErr w:type="gramStart"/>
      <w:r w:rsidR="00D941DE" w:rsidRPr="00D941DE">
        <w:rPr>
          <w:rFonts w:ascii="標楷體" w:hAnsi="標楷體" w:hint="eastAsia"/>
          <w:b/>
          <w:color w:val="000000"/>
          <w:szCs w:val="26"/>
        </w:rPr>
        <w:t>──</w:t>
      </w:r>
      <w:proofErr w:type="gramEnd"/>
      <w:r w:rsidR="00D941DE" w:rsidRPr="00D941DE">
        <w:rPr>
          <w:rFonts w:ascii="標楷體" w:hAnsi="標楷體" w:hint="eastAsia"/>
          <w:b/>
          <w:color w:val="000000"/>
          <w:szCs w:val="26"/>
        </w:rPr>
        <w:t>投信投顧事業篇</w:t>
      </w:r>
      <w:r w:rsidRPr="00D941DE">
        <w:rPr>
          <w:rFonts w:ascii="Times New Roman" w:hAnsi="標楷體" w:cs="Times New Roman"/>
          <w:b/>
          <w:szCs w:val="26"/>
        </w:rPr>
        <w:t>」</w:t>
      </w:r>
      <w:r w:rsidR="000E1F0F" w:rsidRPr="000E1F0F">
        <w:rPr>
          <w:rFonts w:ascii="Times New Roman" w:hAnsi="Times New Roman" w:cs="Times New Roman"/>
          <w:b/>
          <w:szCs w:val="26"/>
        </w:rPr>
        <w:t>(</w:t>
      </w:r>
      <w:r w:rsidR="000E1F0F" w:rsidRPr="000E1F0F">
        <w:rPr>
          <w:rFonts w:ascii="Times New Roman" w:hAnsi="標楷體" w:cs="Times New Roman"/>
          <w:b/>
          <w:szCs w:val="26"/>
        </w:rPr>
        <w:t>下稱問答集</w:t>
      </w:r>
      <w:r w:rsidR="000E1F0F" w:rsidRPr="000E1F0F">
        <w:rPr>
          <w:rFonts w:ascii="Times New Roman" w:hAnsi="Times New Roman" w:cs="Times New Roman"/>
          <w:b/>
          <w:szCs w:val="26"/>
        </w:rPr>
        <w:t>)</w:t>
      </w:r>
      <w:r w:rsidR="000E1F0F" w:rsidRPr="000E1F0F">
        <w:rPr>
          <w:rFonts w:ascii="Times New Roman" w:hAnsi="標楷體" w:cs="Times New Roman" w:hint="eastAsia"/>
          <w:b/>
          <w:szCs w:val="26"/>
        </w:rPr>
        <w:t>修正</w:t>
      </w:r>
      <w:r w:rsidRPr="000E1F0F">
        <w:rPr>
          <w:rFonts w:ascii="Times New Roman" w:hAnsi="標楷體" w:cs="Times New Roman"/>
          <w:b/>
          <w:szCs w:val="26"/>
        </w:rPr>
        <w:t>草案</w:t>
      </w:r>
      <w:r w:rsidR="000E1F0F" w:rsidRPr="000E1F0F">
        <w:rPr>
          <w:rFonts w:ascii="Times New Roman" w:hAnsi="標楷體" w:cs="Times New Roman" w:hint="eastAsia"/>
          <w:b/>
          <w:szCs w:val="26"/>
        </w:rPr>
        <w:t>對照表</w:t>
      </w:r>
      <w:r w:rsidR="000E1F0F" w:rsidRPr="000E1F0F">
        <w:rPr>
          <w:rFonts w:ascii="Times New Roman" w:hAnsi="標楷體" w:cs="Times New Roman" w:hint="eastAsia"/>
          <w:b/>
          <w:szCs w:val="26"/>
        </w:rPr>
        <w:t xml:space="preserve"> </w:t>
      </w:r>
    </w:p>
    <w:p w:rsidR="008D5954" w:rsidRPr="001A56A3" w:rsidRDefault="001A56A3" w:rsidP="001A56A3">
      <w:pPr>
        <w:ind w:leftChars="1948" w:left="5065"/>
        <w:jc w:val="right"/>
        <w:rPr>
          <w:rFonts w:ascii="標楷體" w:hAnsi="標楷體" w:hint="eastAsia"/>
          <w:sz w:val="20"/>
        </w:rPr>
      </w:pPr>
      <w:r w:rsidRPr="00AC6065">
        <w:rPr>
          <w:rFonts w:ascii="標楷體" w:hAnsi="標楷體" w:hint="eastAsia"/>
          <w:sz w:val="20"/>
        </w:rPr>
        <w:t>金融監督管理委員會10</w:t>
      </w:r>
      <w:r>
        <w:rPr>
          <w:rFonts w:ascii="標楷體" w:hAnsi="標楷體"/>
          <w:sz w:val="20"/>
        </w:rPr>
        <w:t>9</w:t>
      </w:r>
      <w:r w:rsidRPr="00AC6065">
        <w:rPr>
          <w:rFonts w:ascii="標楷體" w:hAnsi="標楷體" w:hint="eastAsia"/>
          <w:sz w:val="20"/>
        </w:rPr>
        <w:t>年</w:t>
      </w:r>
      <w:r>
        <w:rPr>
          <w:rFonts w:ascii="標楷體" w:hAnsi="標楷體"/>
          <w:sz w:val="20"/>
        </w:rPr>
        <w:t>6</w:t>
      </w:r>
      <w:r w:rsidRPr="00AC6065">
        <w:rPr>
          <w:rFonts w:ascii="標楷體" w:hAnsi="標楷體" w:hint="eastAsia"/>
          <w:sz w:val="20"/>
        </w:rPr>
        <w:t>月</w:t>
      </w:r>
      <w:r>
        <w:rPr>
          <w:rFonts w:ascii="標楷體" w:hAnsi="標楷體"/>
          <w:sz w:val="20"/>
        </w:rPr>
        <w:t>24</w:t>
      </w:r>
      <w:r w:rsidRPr="00AC6065">
        <w:rPr>
          <w:rFonts w:ascii="標楷體" w:hAnsi="標楷體" w:hint="eastAsia"/>
          <w:sz w:val="20"/>
        </w:rPr>
        <w:t>日金</w:t>
      </w:r>
      <w:proofErr w:type="gramStart"/>
      <w:r w:rsidRPr="00AC6065">
        <w:rPr>
          <w:rFonts w:ascii="標楷體" w:hAnsi="標楷體" w:hint="eastAsia"/>
          <w:sz w:val="20"/>
        </w:rPr>
        <w:t>管證投字</w:t>
      </w:r>
      <w:proofErr w:type="gramEnd"/>
      <w:r w:rsidRPr="00AC6065">
        <w:rPr>
          <w:rFonts w:ascii="標楷體" w:hAnsi="標楷體" w:hint="eastAsia"/>
          <w:sz w:val="20"/>
        </w:rPr>
        <w:t>第</w:t>
      </w:r>
      <w:r w:rsidRPr="00D60D79">
        <w:rPr>
          <w:rFonts w:ascii="標楷體" w:hAnsi="標楷體"/>
          <w:sz w:val="20"/>
        </w:rPr>
        <w:t>10</w:t>
      </w:r>
      <w:r>
        <w:rPr>
          <w:rFonts w:ascii="標楷體" w:hAnsi="標楷體"/>
          <w:sz w:val="20"/>
        </w:rPr>
        <w:t>90138572</w:t>
      </w:r>
      <w:r w:rsidRPr="00AC6065">
        <w:rPr>
          <w:rFonts w:ascii="標楷體" w:hAnsi="標楷體" w:hint="eastAsia"/>
          <w:sz w:val="20"/>
        </w:rPr>
        <w:t>號函同意備查</w:t>
      </w:r>
      <w:bookmarkStart w:id="0" w:name="_GoBack"/>
      <w:bookmarkEnd w:id="0"/>
    </w:p>
    <w:tbl>
      <w:tblPr>
        <w:tblStyle w:val="a3"/>
        <w:tblW w:w="15701" w:type="dxa"/>
        <w:tblLayout w:type="fixed"/>
        <w:tblLook w:val="04A0" w:firstRow="1" w:lastRow="0" w:firstColumn="1" w:lastColumn="0" w:noHBand="0" w:noVBand="1"/>
      </w:tblPr>
      <w:tblGrid>
        <w:gridCol w:w="6345"/>
        <w:gridCol w:w="6379"/>
        <w:gridCol w:w="2977"/>
      </w:tblGrid>
      <w:tr w:rsidR="008D5954" w:rsidRPr="00A13C81" w:rsidTr="001B59FF">
        <w:trPr>
          <w:trHeight w:val="432"/>
          <w:tblHeader/>
        </w:trPr>
        <w:tc>
          <w:tcPr>
            <w:tcW w:w="6345" w:type="dxa"/>
            <w:shd w:val="clear" w:color="auto" w:fill="D9D9D9" w:themeFill="background1" w:themeFillShade="D9"/>
            <w:hideMark/>
          </w:tcPr>
          <w:p w:rsidR="008D5954" w:rsidRPr="00A13C81" w:rsidRDefault="001B0E79" w:rsidP="00EC5440">
            <w:pPr>
              <w:widowControl/>
              <w:spacing w:line="400" w:lineRule="exact"/>
              <w:jc w:val="center"/>
              <w:rPr>
                <w:rFonts w:ascii="標楷體" w:hAnsi="標楷體" w:cs="Times New Roman"/>
                <w:b/>
                <w:color w:val="000000" w:themeColor="text1"/>
                <w:kern w:val="0"/>
                <w:szCs w:val="26"/>
              </w:rPr>
            </w:pPr>
            <w:r w:rsidRPr="00A13C81">
              <w:rPr>
                <w:rFonts w:ascii="標楷體" w:hAnsi="標楷體" w:cs="Times New Roman"/>
                <w:b/>
                <w:szCs w:val="26"/>
              </w:rPr>
              <w:t>問答集</w:t>
            </w:r>
            <w:r w:rsidR="00F56625" w:rsidRPr="00A13C81">
              <w:rPr>
                <w:rFonts w:ascii="標楷體" w:hAnsi="標楷體" w:cs="Times New Roman" w:hint="eastAsia"/>
                <w:b/>
                <w:szCs w:val="26"/>
              </w:rPr>
              <w:t>修正</w:t>
            </w:r>
            <w:r w:rsidR="008D5954" w:rsidRPr="00A13C81">
              <w:rPr>
                <w:rFonts w:ascii="標楷體" w:hAnsi="標楷體" w:cs="Times New Roman"/>
                <w:b/>
                <w:color w:val="000000" w:themeColor="text1"/>
                <w:kern w:val="0"/>
                <w:szCs w:val="26"/>
              </w:rPr>
              <w:t>草案</w:t>
            </w:r>
            <w:r w:rsidRPr="00A13C81">
              <w:rPr>
                <w:rFonts w:ascii="標楷體" w:hAnsi="標楷體" w:cs="Times New Roman"/>
                <w:b/>
                <w:color w:val="000000" w:themeColor="text1"/>
                <w:kern w:val="0"/>
                <w:szCs w:val="26"/>
              </w:rPr>
              <w:t xml:space="preserve"> </w:t>
            </w:r>
          </w:p>
        </w:tc>
        <w:tc>
          <w:tcPr>
            <w:tcW w:w="6379" w:type="dxa"/>
            <w:shd w:val="clear" w:color="auto" w:fill="D9D9D9" w:themeFill="background1" w:themeFillShade="D9"/>
            <w:vAlign w:val="center"/>
            <w:hideMark/>
          </w:tcPr>
          <w:p w:rsidR="008D5954" w:rsidRPr="00A13C81" w:rsidRDefault="007E2C94" w:rsidP="007E2C94">
            <w:pPr>
              <w:widowControl/>
              <w:spacing w:line="400" w:lineRule="exact"/>
              <w:jc w:val="center"/>
              <w:rPr>
                <w:rFonts w:ascii="標楷體" w:hAnsi="標楷體" w:cs="Times New Roman"/>
                <w:b/>
                <w:color w:val="000000" w:themeColor="text1"/>
                <w:kern w:val="0"/>
                <w:szCs w:val="26"/>
              </w:rPr>
            </w:pPr>
            <w:r w:rsidRPr="00A13C81">
              <w:rPr>
                <w:rFonts w:ascii="標楷體" w:hAnsi="標楷體" w:cs="Times New Roman" w:hint="eastAsia"/>
                <w:b/>
                <w:color w:val="000000" w:themeColor="text1"/>
                <w:kern w:val="0"/>
                <w:szCs w:val="26"/>
              </w:rPr>
              <w:t>現行</w:t>
            </w:r>
            <w:r w:rsidR="00284BED" w:rsidRPr="00A13C81">
              <w:rPr>
                <w:rFonts w:ascii="標楷體" w:hAnsi="標楷體" w:cs="Times New Roman" w:hint="eastAsia"/>
                <w:b/>
                <w:color w:val="000000" w:themeColor="text1"/>
                <w:kern w:val="0"/>
                <w:szCs w:val="26"/>
              </w:rPr>
              <w:t>問答集</w:t>
            </w:r>
          </w:p>
        </w:tc>
        <w:tc>
          <w:tcPr>
            <w:tcW w:w="2977" w:type="dxa"/>
            <w:shd w:val="clear" w:color="auto" w:fill="D9D9D9" w:themeFill="background1" w:themeFillShade="D9"/>
            <w:vAlign w:val="center"/>
            <w:hideMark/>
          </w:tcPr>
          <w:p w:rsidR="008D5954" w:rsidRPr="00A13C81" w:rsidRDefault="00284BED" w:rsidP="00EC5440">
            <w:pPr>
              <w:widowControl/>
              <w:spacing w:line="400" w:lineRule="exact"/>
              <w:jc w:val="center"/>
              <w:rPr>
                <w:rFonts w:ascii="標楷體" w:hAnsi="標楷體" w:cs="Times New Roman"/>
                <w:b/>
                <w:color w:val="000000" w:themeColor="text1"/>
                <w:kern w:val="0"/>
                <w:szCs w:val="26"/>
              </w:rPr>
            </w:pPr>
            <w:r w:rsidRPr="00A13C81">
              <w:rPr>
                <w:rFonts w:ascii="標楷體" w:hAnsi="標楷體" w:cs="Times New Roman" w:hint="eastAsia"/>
                <w:b/>
                <w:color w:val="000000" w:themeColor="text1"/>
                <w:kern w:val="0"/>
                <w:szCs w:val="26"/>
              </w:rPr>
              <w:t>說明</w:t>
            </w:r>
          </w:p>
        </w:tc>
      </w:tr>
      <w:tr w:rsidR="008D5954" w:rsidRPr="00A13C81" w:rsidTr="001B59FF">
        <w:trPr>
          <w:trHeight w:val="1099"/>
        </w:trPr>
        <w:tc>
          <w:tcPr>
            <w:tcW w:w="6345" w:type="dxa"/>
          </w:tcPr>
          <w:p w:rsidR="001B0E79" w:rsidRPr="00A13C81" w:rsidRDefault="001B0E79" w:rsidP="00EC5440">
            <w:pPr>
              <w:spacing w:line="400" w:lineRule="exact"/>
              <w:ind w:left="460" w:hangingChars="177" w:hanging="460"/>
              <w:jc w:val="both"/>
              <w:rPr>
                <w:rFonts w:ascii="標楷體" w:hAnsi="標楷體" w:cs="Times New Roman"/>
                <w:color w:val="000000"/>
                <w:szCs w:val="26"/>
              </w:rPr>
            </w:pPr>
            <w:r w:rsidRPr="00A13C81">
              <w:rPr>
                <w:rFonts w:ascii="標楷體" w:hAnsi="標楷體" w:cs="Times New Roman"/>
                <w:color w:val="000000"/>
                <w:szCs w:val="26"/>
              </w:rPr>
              <w:t>一、金融機構防制洗錢辦法有關確認客戶身分之對象、方式及程序</w:t>
            </w:r>
          </w:p>
          <w:p w:rsidR="00F56625" w:rsidRPr="00A13C81" w:rsidRDefault="00F56625" w:rsidP="00F56625">
            <w:pPr>
              <w:spacing w:line="420" w:lineRule="exact"/>
              <w:ind w:left="658" w:hangingChars="253" w:hanging="658"/>
              <w:jc w:val="both"/>
              <w:rPr>
                <w:rFonts w:ascii="標楷體" w:hAnsi="標楷體"/>
                <w:bCs/>
                <w:color w:val="000000"/>
                <w:szCs w:val="26"/>
                <w:u w:val="single"/>
              </w:rPr>
            </w:pPr>
            <w:r w:rsidRPr="00A13C81">
              <w:rPr>
                <w:rFonts w:ascii="標楷體" w:hAnsi="標楷體" w:hint="eastAsia"/>
                <w:bCs/>
                <w:color w:val="000000"/>
                <w:szCs w:val="26"/>
              </w:rPr>
              <w:t>（四）投信投顧事業</w:t>
            </w:r>
            <w:r w:rsidRPr="00A13C81">
              <w:rPr>
                <w:rFonts w:ascii="標楷體" w:hAnsi="標楷體"/>
                <w:bCs/>
                <w:color w:val="000000"/>
                <w:szCs w:val="26"/>
              </w:rPr>
              <w:t>是否應對法人客戶之有權交易人員進行辨識及驗證，並進行是否為受制裁人士或PEPs之姓名檢核機制，及保存該身分證明文件影本或予以記錄？</w:t>
            </w:r>
            <w:r w:rsidRPr="00A13C81">
              <w:rPr>
                <w:rFonts w:ascii="標楷體" w:hAnsi="標楷體" w:hint="eastAsia"/>
                <w:bCs/>
                <w:color w:val="000000"/>
                <w:szCs w:val="26"/>
              </w:rPr>
              <w:t xml:space="preserve"> </w:t>
            </w:r>
          </w:p>
          <w:p w:rsidR="00F56625" w:rsidRPr="00A13C81" w:rsidRDefault="00F56625" w:rsidP="00F56625">
            <w:pPr>
              <w:spacing w:line="420" w:lineRule="exact"/>
              <w:jc w:val="both"/>
              <w:rPr>
                <w:rFonts w:ascii="標楷體" w:hAnsi="標楷體"/>
                <w:bCs/>
                <w:color w:val="000000"/>
                <w:szCs w:val="26"/>
              </w:rPr>
            </w:pPr>
            <w:r w:rsidRPr="00A13C81">
              <w:rPr>
                <w:rFonts w:ascii="標楷體" w:hAnsi="標楷體" w:hint="eastAsia"/>
                <w:bCs/>
                <w:color w:val="000000"/>
                <w:szCs w:val="26"/>
              </w:rPr>
              <w:t>答：</w:t>
            </w:r>
          </w:p>
          <w:p w:rsidR="00F56625" w:rsidRPr="00A13C81" w:rsidRDefault="00F56625" w:rsidP="00F56625">
            <w:pPr>
              <w:numPr>
                <w:ilvl w:val="0"/>
                <w:numId w:val="18"/>
              </w:numPr>
              <w:spacing w:line="420" w:lineRule="exact"/>
              <w:jc w:val="both"/>
              <w:rPr>
                <w:rFonts w:ascii="標楷體" w:hAnsi="標楷體"/>
                <w:bCs/>
                <w:color w:val="000000"/>
                <w:szCs w:val="26"/>
              </w:rPr>
            </w:pPr>
            <w:r w:rsidRPr="00A13C81">
              <w:rPr>
                <w:rFonts w:ascii="標楷體" w:hAnsi="標楷體" w:hint="eastAsia"/>
                <w:bCs/>
                <w:color w:val="000000"/>
                <w:szCs w:val="26"/>
              </w:rPr>
              <w:t>投信投顧</w:t>
            </w:r>
            <w:proofErr w:type="gramStart"/>
            <w:r w:rsidRPr="00A13C81">
              <w:rPr>
                <w:rFonts w:ascii="標楷體" w:hAnsi="標楷體" w:hint="eastAsia"/>
                <w:bCs/>
                <w:color w:val="000000"/>
                <w:szCs w:val="26"/>
              </w:rPr>
              <w:t>事業</w:t>
            </w:r>
            <w:r w:rsidRPr="00A13C81">
              <w:rPr>
                <w:rFonts w:ascii="標楷體" w:hAnsi="標楷體"/>
                <w:bCs/>
                <w:color w:val="000000"/>
                <w:szCs w:val="26"/>
              </w:rPr>
              <w:t>均須辨識</w:t>
            </w:r>
            <w:proofErr w:type="gramEnd"/>
            <w:r w:rsidRPr="00A13C81">
              <w:rPr>
                <w:rFonts w:ascii="標楷體" w:hAnsi="標楷體"/>
                <w:bCs/>
                <w:color w:val="000000"/>
                <w:szCs w:val="26"/>
              </w:rPr>
              <w:t>及驗證法人客戶之有權交易人員身分</w:t>
            </w:r>
            <w:r w:rsidRPr="00A13C81">
              <w:rPr>
                <w:rFonts w:ascii="標楷體" w:hAnsi="標楷體" w:hint="eastAsia"/>
                <w:bCs/>
                <w:color w:val="000000"/>
                <w:szCs w:val="26"/>
              </w:rPr>
              <w:t>，並保存該身分證明文件影本或予以記錄。</w:t>
            </w:r>
          </w:p>
          <w:p w:rsidR="00F56625" w:rsidRPr="00073C60" w:rsidRDefault="007D1C0B" w:rsidP="00073C60">
            <w:pPr>
              <w:numPr>
                <w:ilvl w:val="0"/>
                <w:numId w:val="18"/>
              </w:numPr>
              <w:spacing w:line="420" w:lineRule="exact"/>
              <w:jc w:val="both"/>
              <w:rPr>
                <w:rFonts w:ascii="標楷體" w:hAnsi="標楷體"/>
                <w:bCs/>
                <w:color w:val="0000CC"/>
                <w:szCs w:val="26"/>
                <w:u w:val="single"/>
              </w:rPr>
            </w:pPr>
            <w:r w:rsidRPr="007D1C0B">
              <w:rPr>
                <w:rFonts w:ascii="標楷體" w:hAnsi="標楷體"/>
                <w:bCs/>
                <w:color w:val="000000"/>
                <w:szCs w:val="26"/>
              </w:rPr>
              <w:t>如</w:t>
            </w:r>
            <w:r w:rsidRPr="007D1C0B">
              <w:rPr>
                <w:rFonts w:ascii="標楷體" w:hAnsi="標楷體" w:hint="eastAsia"/>
                <w:bCs/>
                <w:color w:val="000000"/>
                <w:szCs w:val="26"/>
              </w:rPr>
              <w:t>投信投顧事業</w:t>
            </w:r>
            <w:r w:rsidRPr="007D1C0B">
              <w:rPr>
                <w:rFonts w:ascii="標楷體" w:hAnsi="標楷體"/>
                <w:bCs/>
                <w:color w:val="000000"/>
                <w:szCs w:val="26"/>
              </w:rPr>
              <w:t>經評估該法人客戶</w:t>
            </w:r>
            <w:r w:rsidR="00CC0460" w:rsidRPr="007D1C0B">
              <w:rPr>
                <w:rFonts w:ascii="標楷體" w:hAnsi="標楷體" w:hint="eastAsia"/>
                <w:bCs/>
                <w:color w:val="000000"/>
                <w:szCs w:val="26"/>
              </w:rPr>
              <w:t>(如:金融機構)</w:t>
            </w:r>
            <w:r w:rsidRPr="007D1C0B">
              <w:rPr>
                <w:rFonts w:ascii="標楷體" w:hAnsi="標楷體"/>
                <w:bCs/>
                <w:color w:val="000000"/>
                <w:szCs w:val="26"/>
              </w:rPr>
              <w:t>之風險較低，得</w:t>
            </w:r>
            <w:r w:rsidR="00CC0460" w:rsidRPr="007D1C0B">
              <w:rPr>
                <w:rFonts w:ascii="標楷體" w:hAnsi="標楷體" w:hint="eastAsia"/>
                <w:bCs/>
                <w:color w:val="000000"/>
                <w:szCs w:val="26"/>
              </w:rPr>
              <w:t>對該法人客戶(含</w:t>
            </w:r>
            <w:r w:rsidR="00CC0460" w:rsidRPr="007D1C0B">
              <w:rPr>
                <w:rFonts w:ascii="標楷體" w:hAnsi="標楷體"/>
                <w:bCs/>
                <w:color w:val="000000"/>
                <w:szCs w:val="26"/>
              </w:rPr>
              <w:t>法人客戶之有權交易人員</w:t>
            </w:r>
            <w:r w:rsidR="00CC0460" w:rsidRPr="007D1C0B">
              <w:rPr>
                <w:rFonts w:ascii="標楷體" w:hAnsi="標楷體" w:hint="eastAsia"/>
                <w:bCs/>
                <w:color w:val="000000"/>
                <w:szCs w:val="26"/>
              </w:rPr>
              <w:t>)</w:t>
            </w:r>
            <w:proofErr w:type="gramStart"/>
            <w:r w:rsidRPr="007D1C0B">
              <w:rPr>
                <w:rFonts w:ascii="標楷體" w:hAnsi="標楷體"/>
                <w:bCs/>
                <w:color w:val="000000"/>
                <w:szCs w:val="26"/>
              </w:rPr>
              <w:t>採</w:t>
            </w:r>
            <w:proofErr w:type="gramEnd"/>
            <w:r w:rsidRPr="007D1C0B">
              <w:rPr>
                <w:rFonts w:ascii="標楷體" w:hAnsi="標楷體"/>
                <w:bCs/>
                <w:color w:val="000000"/>
                <w:szCs w:val="26"/>
              </w:rPr>
              <w:t>簡化措施以確認客戶身分及持續審查機制，惟該簡化措施應與其較低風險因素相當。</w:t>
            </w:r>
            <w:r w:rsidR="00073C60" w:rsidRPr="00073C60">
              <w:rPr>
                <w:rFonts w:ascii="標楷體" w:hAnsi="標楷體" w:hint="eastAsia"/>
                <w:bCs/>
                <w:color w:val="000000"/>
                <w:szCs w:val="26"/>
              </w:rPr>
              <w:t>例如：法人客戶為金融機構</w:t>
            </w:r>
            <w:r w:rsidR="00073C60" w:rsidRPr="00073C60">
              <w:rPr>
                <w:rFonts w:ascii="標楷體" w:hAnsi="標楷體" w:hint="eastAsia"/>
                <w:bCs/>
                <w:color w:val="0000CC"/>
                <w:szCs w:val="26"/>
              </w:rPr>
              <w:t>或</w:t>
            </w:r>
            <w:r w:rsidR="00073C60" w:rsidRPr="00073C60">
              <w:rPr>
                <w:rFonts w:ascii="標楷體" w:hAnsi="標楷體" w:hint="eastAsia"/>
                <w:bCs/>
                <w:color w:val="0000CC"/>
                <w:szCs w:val="26"/>
                <w:u w:val="single"/>
              </w:rPr>
              <w:t>金融機構管理之投資工具等</w:t>
            </w:r>
            <w:r w:rsidR="00073C60" w:rsidRPr="00073C60">
              <w:rPr>
                <w:rFonts w:ascii="標楷體" w:hAnsi="標楷體" w:hint="eastAsia"/>
                <w:bCs/>
                <w:color w:val="000000"/>
                <w:szCs w:val="26"/>
              </w:rPr>
              <w:t>，經評估風險較低</w:t>
            </w:r>
            <w:r w:rsidR="00073C60" w:rsidRPr="00073C60">
              <w:rPr>
                <w:rFonts w:ascii="標楷體" w:hAnsi="標楷體" w:hint="eastAsia"/>
                <w:bCs/>
                <w:color w:val="0000CC"/>
                <w:szCs w:val="26"/>
                <w:u w:val="single"/>
              </w:rPr>
              <w:t>、無金融機構防制洗錢辦法第6條第1項第3款但書情形，且並無交易人員未取具交易授權疑慮者，</w:t>
            </w:r>
            <w:r w:rsidR="00073C60" w:rsidRPr="00073C60">
              <w:rPr>
                <w:rFonts w:ascii="標楷體" w:hAnsi="標楷體" w:hint="eastAsia"/>
                <w:bCs/>
                <w:color w:val="000000"/>
                <w:szCs w:val="26"/>
              </w:rPr>
              <w:t>其交易授權人身分之辨識及驗證得</w:t>
            </w:r>
            <w:proofErr w:type="gramStart"/>
            <w:r w:rsidR="00073C60" w:rsidRPr="00073C60">
              <w:rPr>
                <w:rFonts w:ascii="標楷體" w:hAnsi="標楷體" w:hint="eastAsia"/>
                <w:bCs/>
                <w:color w:val="000000"/>
                <w:szCs w:val="26"/>
              </w:rPr>
              <w:t>採</w:t>
            </w:r>
            <w:proofErr w:type="gramEnd"/>
            <w:r w:rsidR="00073C60" w:rsidRPr="00073C60">
              <w:rPr>
                <w:rFonts w:ascii="標楷體" w:hAnsi="標楷體" w:hint="eastAsia"/>
                <w:bCs/>
                <w:color w:val="000000"/>
                <w:szCs w:val="26"/>
              </w:rPr>
              <w:t>簡化措施，可憑藉該金融機構出具之資料如提供有</w:t>
            </w:r>
            <w:proofErr w:type="gramStart"/>
            <w:r w:rsidR="00073C60" w:rsidRPr="00073C60">
              <w:rPr>
                <w:rFonts w:ascii="標楷體" w:hAnsi="標楷體" w:hint="eastAsia"/>
                <w:bCs/>
                <w:color w:val="000000"/>
                <w:szCs w:val="26"/>
              </w:rPr>
              <w:t>權簽樣</w:t>
            </w:r>
            <w:proofErr w:type="gramEnd"/>
            <w:r w:rsidR="00073C60" w:rsidRPr="00073C60">
              <w:rPr>
                <w:rFonts w:ascii="標楷體" w:hAnsi="標楷體" w:hint="eastAsia"/>
                <w:bCs/>
                <w:color w:val="000000"/>
                <w:szCs w:val="26"/>
              </w:rPr>
              <w:t>表進行辨識</w:t>
            </w:r>
            <w:r w:rsidR="00073C60" w:rsidRPr="00073C60">
              <w:rPr>
                <w:rFonts w:ascii="標楷體" w:hAnsi="標楷體" w:hint="eastAsia"/>
                <w:bCs/>
                <w:color w:val="000000"/>
                <w:szCs w:val="26"/>
              </w:rPr>
              <w:lastRenderedPageBreak/>
              <w:t>及驗證(例如交易授權人之姓名、出生日期、國籍、身分證字號或護照或居留證號碼)，無須留存其交易授權人之個人身分證明文件，</w:t>
            </w:r>
            <w:r w:rsidR="00073C60" w:rsidRPr="00073C60">
              <w:rPr>
                <w:rFonts w:ascii="標楷體" w:hAnsi="標楷體" w:hint="eastAsia"/>
                <w:bCs/>
                <w:color w:val="0000CC"/>
                <w:szCs w:val="26"/>
                <w:u w:val="single"/>
              </w:rPr>
              <w:t>並於定期審查客戶風險等級時，得無須再對既有之有權交易人員身分辨識及驗證(含姓名檢核)。</w:t>
            </w:r>
          </w:p>
          <w:p w:rsidR="00F56625" w:rsidRPr="00A13C81" w:rsidRDefault="00F56625" w:rsidP="00F56625">
            <w:pPr>
              <w:spacing w:line="420" w:lineRule="exact"/>
              <w:ind w:leftChars="118" w:left="570" w:hangingChars="101" w:hanging="263"/>
              <w:jc w:val="both"/>
              <w:rPr>
                <w:rFonts w:ascii="標楷體" w:hAnsi="標楷體"/>
                <w:bCs/>
                <w:color w:val="000000"/>
                <w:szCs w:val="26"/>
              </w:rPr>
            </w:pPr>
            <w:r w:rsidRPr="00A13C81">
              <w:rPr>
                <w:rFonts w:ascii="標楷體" w:hAnsi="標楷體" w:hint="eastAsia"/>
                <w:bCs/>
                <w:color w:val="000000"/>
                <w:szCs w:val="26"/>
              </w:rPr>
              <w:t>3.相關規定：</w:t>
            </w:r>
          </w:p>
          <w:p w:rsidR="00F56625" w:rsidRPr="00A13C81" w:rsidRDefault="00F56625" w:rsidP="00F56625">
            <w:pPr>
              <w:spacing w:line="420" w:lineRule="exact"/>
              <w:ind w:leftChars="117" w:left="962" w:hangingChars="253" w:hanging="658"/>
              <w:jc w:val="both"/>
              <w:rPr>
                <w:rFonts w:ascii="標楷體" w:hAnsi="標楷體"/>
                <w:bCs/>
                <w:color w:val="000000"/>
                <w:szCs w:val="26"/>
              </w:rPr>
            </w:pPr>
            <w:r w:rsidRPr="00A13C81">
              <w:rPr>
                <w:rFonts w:ascii="標楷體" w:hAnsi="標楷體" w:hint="eastAsia"/>
                <w:bCs/>
                <w:color w:val="000000"/>
                <w:szCs w:val="26"/>
              </w:rPr>
              <w:t>（1）金融機構防制洗錢辦法第3條第4款第2目規定，投信投顧事業確認客戶身分時，對於由代理人辦理者，應確實查證代理之事實，並以可靠、獨立來源之文件、資料或資訊，辨識及驗證代理人身分，並保存該身分證明文件影本或予以記錄。</w:t>
            </w:r>
          </w:p>
          <w:p w:rsidR="00F56625" w:rsidRDefault="00F56625" w:rsidP="00F56625">
            <w:pPr>
              <w:spacing w:line="420" w:lineRule="exact"/>
              <w:ind w:leftChars="118" w:left="965" w:hangingChars="253" w:hanging="658"/>
              <w:jc w:val="both"/>
              <w:rPr>
                <w:rFonts w:ascii="標楷體" w:hAnsi="標楷體"/>
                <w:bCs/>
                <w:color w:val="000000"/>
                <w:szCs w:val="26"/>
              </w:rPr>
            </w:pPr>
            <w:r w:rsidRPr="00A13C81">
              <w:rPr>
                <w:rFonts w:ascii="標楷體" w:hAnsi="標楷體" w:hint="eastAsia"/>
                <w:bCs/>
                <w:color w:val="000000"/>
                <w:szCs w:val="26"/>
              </w:rPr>
              <w:t>（2）金融機構防制洗錢辦法第6條第1項第3款本文規定，確認客戶身分措施及持續審查機制，應以風險基礎方法決定其執行強度，對於較低風險情形，得採取簡化措施，該簡化措施應與其較低風險因素相當。</w:t>
            </w:r>
          </w:p>
          <w:p w:rsidR="00CC0460" w:rsidRPr="00A12229" w:rsidRDefault="00CC0460" w:rsidP="00F56625">
            <w:pPr>
              <w:spacing w:line="420" w:lineRule="exact"/>
              <w:ind w:leftChars="118" w:left="965" w:hangingChars="253" w:hanging="658"/>
              <w:jc w:val="both"/>
              <w:rPr>
                <w:rFonts w:ascii="標楷體" w:hAnsi="標楷體"/>
                <w:bCs/>
                <w:color w:val="0000CC"/>
                <w:szCs w:val="26"/>
                <w:u w:val="single"/>
              </w:rPr>
            </w:pPr>
            <w:r w:rsidRPr="00A12229">
              <w:rPr>
                <w:rFonts w:ascii="標楷體" w:hAnsi="標楷體"/>
                <w:bCs/>
                <w:color w:val="0000CC"/>
                <w:szCs w:val="26"/>
                <w:u w:val="single"/>
              </w:rPr>
              <w:t>（3）金融機構防制洗錢辦法第6條第1項第3款規定對於較低風險情形，得採取簡化措施，該簡化措施應與其較低風險因素相當。但有下列情形者，不得採取簡化確認客戶身分措施：</w:t>
            </w:r>
          </w:p>
          <w:p w:rsidR="00882B0C" w:rsidRPr="00A12229" w:rsidRDefault="00CC0460" w:rsidP="00CC0460">
            <w:pPr>
              <w:spacing w:line="420" w:lineRule="exact"/>
              <w:ind w:leftChars="218" w:left="965" w:hangingChars="153" w:hanging="398"/>
              <w:jc w:val="both"/>
              <w:rPr>
                <w:rFonts w:ascii="標楷體" w:hAnsi="標楷體"/>
                <w:bCs/>
                <w:color w:val="0000CC"/>
                <w:szCs w:val="26"/>
                <w:u w:val="single"/>
              </w:rPr>
            </w:pPr>
            <w:r w:rsidRPr="00A12229">
              <w:rPr>
                <w:rFonts w:ascii="標楷體" w:hAnsi="標楷體"/>
                <w:bCs/>
                <w:color w:val="0000CC"/>
                <w:szCs w:val="26"/>
                <w:u w:val="single"/>
              </w:rPr>
              <w:t>(</w:t>
            </w:r>
            <w:r w:rsidRPr="00A12229">
              <w:rPr>
                <w:rFonts w:ascii="新細明體" w:eastAsia="新細明體" w:hAnsi="新細明體" w:cs="新細明體" w:hint="eastAsia"/>
                <w:bCs/>
                <w:color w:val="0000CC"/>
                <w:szCs w:val="26"/>
                <w:u w:val="single"/>
              </w:rPr>
              <w:t>ⅰ</w:t>
            </w:r>
            <w:r w:rsidRPr="00A12229">
              <w:rPr>
                <w:rFonts w:ascii="標楷體" w:hAnsi="標楷體"/>
                <w:bCs/>
                <w:color w:val="0000CC"/>
                <w:szCs w:val="26"/>
                <w:u w:val="single"/>
              </w:rPr>
              <w:t>)客戶來自未採取有效防制洗錢或打擊資恐之</w:t>
            </w:r>
            <w:r w:rsidRPr="00A12229">
              <w:rPr>
                <w:rFonts w:ascii="標楷體" w:hAnsi="標楷體"/>
                <w:bCs/>
                <w:color w:val="0000CC"/>
                <w:szCs w:val="26"/>
                <w:u w:val="single"/>
              </w:rPr>
              <w:lastRenderedPageBreak/>
              <w:t>高風險地區或國家，包括但不限於本會函轉國際防制洗錢組織所公告防制洗錢與打擊資恐有嚴重缺失之國家或地區，及其他未遵循或未充分遵循國際防制洗錢組織建議之國家或地區。</w:t>
            </w:r>
          </w:p>
          <w:p w:rsidR="00882B0C" w:rsidRPr="00A12229" w:rsidRDefault="00CC0460" w:rsidP="00CC0460">
            <w:pPr>
              <w:spacing w:line="420" w:lineRule="exact"/>
              <w:ind w:leftChars="218" w:left="965" w:hangingChars="153" w:hanging="398"/>
              <w:jc w:val="both"/>
              <w:rPr>
                <w:rFonts w:ascii="標楷體" w:hAnsi="標楷體"/>
                <w:bCs/>
                <w:color w:val="0000CC"/>
                <w:szCs w:val="26"/>
                <w:u w:val="single"/>
              </w:rPr>
            </w:pPr>
            <w:r w:rsidRPr="00A12229">
              <w:rPr>
                <w:rFonts w:ascii="標楷體" w:hAnsi="標楷體"/>
                <w:bCs/>
                <w:color w:val="0000CC"/>
                <w:szCs w:val="26"/>
                <w:u w:val="single"/>
              </w:rPr>
              <w:t>(</w:t>
            </w:r>
            <w:r w:rsidRPr="00A12229">
              <w:rPr>
                <w:rFonts w:ascii="新細明體" w:eastAsia="新細明體" w:hAnsi="新細明體" w:cs="新細明體" w:hint="eastAsia"/>
                <w:bCs/>
                <w:color w:val="0000CC"/>
                <w:szCs w:val="26"/>
                <w:u w:val="single"/>
              </w:rPr>
              <w:t>ⅱ</w:t>
            </w:r>
            <w:r w:rsidRPr="00A12229">
              <w:rPr>
                <w:rFonts w:ascii="標楷體" w:hAnsi="標楷體"/>
                <w:bCs/>
                <w:color w:val="0000CC"/>
                <w:szCs w:val="26"/>
                <w:u w:val="single"/>
              </w:rPr>
              <w:t>)足資懷疑該客戶或交易涉及洗錢或資恐。</w:t>
            </w:r>
          </w:p>
          <w:p w:rsidR="00882B0C" w:rsidRPr="00A12229" w:rsidRDefault="00CC0460" w:rsidP="00882B0C">
            <w:pPr>
              <w:spacing w:line="420" w:lineRule="exact"/>
              <w:ind w:leftChars="118" w:left="965" w:hangingChars="253" w:hanging="658"/>
              <w:jc w:val="both"/>
              <w:rPr>
                <w:rFonts w:ascii="標楷體" w:hAnsi="標楷體"/>
                <w:bCs/>
                <w:color w:val="0000CC"/>
                <w:szCs w:val="26"/>
                <w:u w:val="single"/>
              </w:rPr>
            </w:pPr>
            <w:r w:rsidRPr="00A12229">
              <w:rPr>
                <w:rFonts w:ascii="標楷體" w:hAnsi="標楷體"/>
                <w:bCs/>
                <w:color w:val="0000CC"/>
                <w:szCs w:val="26"/>
                <w:u w:val="single"/>
              </w:rPr>
              <w:t>（4）金融機構防制洗錢辦法第8條規定，金融機構對客戶及交易有關對象之姓名及名稱檢核，應依下列規定辦理：</w:t>
            </w:r>
          </w:p>
          <w:p w:rsidR="00882B0C" w:rsidRPr="00A12229" w:rsidRDefault="00CC0460" w:rsidP="00882B0C">
            <w:pPr>
              <w:spacing w:line="420" w:lineRule="exact"/>
              <w:ind w:leftChars="218" w:left="965" w:hangingChars="153" w:hanging="398"/>
              <w:jc w:val="both"/>
              <w:rPr>
                <w:rFonts w:ascii="標楷體" w:hAnsi="標楷體"/>
                <w:bCs/>
                <w:color w:val="0000CC"/>
                <w:szCs w:val="26"/>
                <w:u w:val="single"/>
              </w:rPr>
            </w:pPr>
            <w:r w:rsidRPr="00A12229">
              <w:rPr>
                <w:rFonts w:ascii="標楷體" w:hAnsi="標楷體"/>
                <w:bCs/>
                <w:color w:val="0000CC"/>
                <w:szCs w:val="26"/>
                <w:u w:val="single"/>
              </w:rPr>
              <w:t>(</w:t>
            </w:r>
            <w:r w:rsidRPr="00A12229">
              <w:rPr>
                <w:rFonts w:ascii="新細明體" w:eastAsia="新細明體" w:hAnsi="新細明體" w:cs="新細明體" w:hint="eastAsia"/>
                <w:bCs/>
                <w:color w:val="0000CC"/>
                <w:szCs w:val="26"/>
                <w:u w:val="single"/>
              </w:rPr>
              <w:t>ⅰ</w:t>
            </w:r>
            <w:r w:rsidRPr="00A12229">
              <w:rPr>
                <w:rFonts w:ascii="標楷體" w:hAnsi="標楷體"/>
                <w:bCs/>
                <w:color w:val="0000CC"/>
                <w:szCs w:val="26"/>
                <w:u w:val="single"/>
              </w:rPr>
              <w:t>)金融機構應依據風險基礎方法，建立客戶及交易有關對象之姓名及名稱檢核政策及程序，以偵測、比對、篩檢客戶、客戶之高階管理人員、實質受益人或交易有關對象是否為資恐防制法指定制裁之個人、法人或團體，以及外國政府或國際組織認定或追查之恐怖分子或團體。</w:t>
            </w:r>
          </w:p>
          <w:p w:rsidR="00882B0C" w:rsidRPr="00A12229" w:rsidRDefault="00CC0460" w:rsidP="00882B0C">
            <w:pPr>
              <w:spacing w:line="420" w:lineRule="exact"/>
              <w:ind w:leftChars="218" w:left="965" w:hangingChars="153" w:hanging="398"/>
              <w:jc w:val="both"/>
              <w:rPr>
                <w:rFonts w:ascii="標楷體" w:hAnsi="標楷體"/>
                <w:bCs/>
                <w:color w:val="0000CC"/>
                <w:szCs w:val="26"/>
                <w:u w:val="single"/>
              </w:rPr>
            </w:pPr>
            <w:r w:rsidRPr="00A12229">
              <w:rPr>
                <w:rFonts w:ascii="標楷體" w:hAnsi="標楷體"/>
                <w:bCs/>
                <w:color w:val="0000CC"/>
                <w:szCs w:val="26"/>
                <w:u w:val="single"/>
              </w:rPr>
              <w:t>(</w:t>
            </w:r>
            <w:r w:rsidRPr="00A12229">
              <w:rPr>
                <w:rFonts w:ascii="新細明體" w:eastAsia="新細明體" w:hAnsi="新細明體" w:cs="新細明體" w:hint="eastAsia"/>
                <w:bCs/>
                <w:color w:val="0000CC"/>
                <w:szCs w:val="26"/>
                <w:u w:val="single"/>
              </w:rPr>
              <w:t>ⅱ</w:t>
            </w:r>
            <w:r w:rsidRPr="00A12229">
              <w:rPr>
                <w:rFonts w:ascii="標楷體" w:hAnsi="標楷體"/>
                <w:bCs/>
                <w:color w:val="0000CC"/>
                <w:szCs w:val="26"/>
                <w:u w:val="single"/>
              </w:rPr>
              <w:t>)金融機構之客戶及交易有關對象之姓名及名稱檢核政策及程序，至少應包括比對與篩檢邏輯、檢核作業之執行程序，以及檢視標準，並將其書面化。</w:t>
            </w:r>
          </w:p>
          <w:p w:rsidR="001B0E79" w:rsidRPr="00882B0C" w:rsidRDefault="00CC0460" w:rsidP="00882B0C">
            <w:pPr>
              <w:spacing w:line="420" w:lineRule="exact"/>
              <w:ind w:leftChars="218" w:left="965" w:hangingChars="153" w:hanging="398"/>
              <w:jc w:val="both"/>
              <w:rPr>
                <w:rFonts w:ascii="標楷體" w:hAnsi="標楷體"/>
                <w:bCs/>
                <w:color w:val="000000"/>
                <w:szCs w:val="26"/>
                <w:u w:val="single"/>
              </w:rPr>
            </w:pPr>
            <w:r w:rsidRPr="00A12229">
              <w:rPr>
                <w:rFonts w:ascii="標楷體" w:hAnsi="標楷體"/>
                <w:bCs/>
                <w:color w:val="0000CC"/>
                <w:szCs w:val="26"/>
                <w:u w:val="single"/>
              </w:rPr>
              <w:t>(</w:t>
            </w:r>
            <w:r w:rsidRPr="00A12229">
              <w:rPr>
                <w:rFonts w:ascii="新細明體" w:eastAsia="新細明體" w:hAnsi="新細明體" w:cs="新細明體" w:hint="eastAsia"/>
                <w:bCs/>
                <w:color w:val="0000CC"/>
                <w:szCs w:val="26"/>
                <w:u w:val="single"/>
              </w:rPr>
              <w:t>ⅲ</w:t>
            </w:r>
            <w:r w:rsidRPr="00A12229">
              <w:rPr>
                <w:rFonts w:ascii="標楷體" w:hAnsi="標楷體"/>
                <w:bCs/>
                <w:color w:val="0000CC"/>
                <w:szCs w:val="26"/>
                <w:u w:val="single"/>
              </w:rPr>
              <w:t>)金融機構執行姓名及名稱檢核情形應予記錄，並依</w:t>
            </w:r>
            <w:r w:rsidR="00073C60" w:rsidRPr="00A12229">
              <w:rPr>
                <w:rFonts w:ascii="標楷體" w:hAnsi="標楷體"/>
                <w:bCs/>
                <w:color w:val="0000CC"/>
                <w:szCs w:val="26"/>
                <w:u w:val="single"/>
              </w:rPr>
              <w:t>金融機構防制洗錢辦法</w:t>
            </w:r>
            <w:r w:rsidRPr="00A12229">
              <w:rPr>
                <w:rFonts w:ascii="標楷體" w:hAnsi="標楷體"/>
                <w:bCs/>
                <w:color w:val="0000CC"/>
                <w:szCs w:val="26"/>
                <w:u w:val="single"/>
              </w:rPr>
              <w:t>第</w:t>
            </w:r>
            <w:r w:rsidR="00073C60">
              <w:rPr>
                <w:rFonts w:ascii="標楷體" w:hAnsi="標楷體" w:hint="eastAsia"/>
                <w:bCs/>
                <w:color w:val="0000CC"/>
                <w:szCs w:val="26"/>
                <w:u w:val="single"/>
              </w:rPr>
              <w:t>1</w:t>
            </w:r>
            <w:r w:rsidR="00073C60">
              <w:rPr>
                <w:rFonts w:ascii="標楷體" w:hAnsi="標楷體"/>
                <w:bCs/>
                <w:color w:val="0000CC"/>
                <w:szCs w:val="26"/>
                <w:u w:val="single"/>
              </w:rPr>
              <w:t>2</w:t>
            </w:r>
            <w:r w:rsidRPr="00A12229">
              <w:rPr>
                <w:rFonts w:ascii="標楷體" w:hAnsi="標楷體"/>
                <w:bCs/>
                <w:color w:val="0000CC"/>
                <w:szCs w:val="26"/>
                <w:u w:val="single"/>
              </w:rPr>
              <w:t>條規定</w:t>
            </w:r>
            <w:r w:rsidRPr="00A12229">
              <w:rPr>
                <w:rFonts w:ascii="標楷體" w:hAnsi="標楷體"/>
                <w:bCs/>
                <w:color w:val="0000CC"/>
                <w:szCs w:val="26"/>
                <w:u w:val="single"/>
              </w:rPr>
              <w:lastRenderedPageBreak/>
              <w:t>之期限進行保存。</w:t>
            </w:r>
          </w:p>
        </w:tc>
        <w:tc>
          <w:tcPr>
            <w:tcW w:w="6379" w:type="dxa"/>
          </w:tcPr>
          <w:p w:rsidR="00DA2D78" w:rsidRPr="00DA2D78" w:rsidRDefault="00DA2D78" w:rsidP="00DA2D78">
            <w:pPr>
              <w:spacing w:line="400" w:lineRule="exact"/>
              <w:ind w:left="460" w:hangingChars="177" w:hanging="460"/>
              <w:jc w:val="both"/>
              <w:rPr>
                <w:rFonts w:ascii="標楷體" w:hAnsi="標楷體" w:cs="Times New Roman"/>
                <w:color w:val="000000"/>
                <w:szCs w:val="26"/>
              </w:rPr>
            </w:pPr>
            <w:r w:rsidRPr="00A13C81">
              <w:rPr>
                <w:rFonts w:ascii="標楷體" w:hAnsi="標楷體" w:cs="Times New Roman"/>
                <w:color w:val="000000"/>
                <w:szCs w:val="26"/>
              </w:rPr>
              <w:lastRenderedPageBreak/>
              <w:t>一、金融機構防制洗錢辦法有關確認客戶身分之對象、方式及程序</w:t>
            </w:r>
          </w:p>
          <w:p w:rsidR="00DA2D78" w:rsidRPr="00DA2D78" w:rsidRDefault="00DA2D78" w:rsidP="00DA2D78">
            <w:pPr>
              <w:spacing w:line="420" w:lineRule="exact"/>
              <w:ind w:left="658" w:hangingChars="253" w:hanging="658"/>
              <w:jc w:val="both"/>
              <w:rPr>
                <w:rFonts w:ascii="標楷體" w:hAnsi="標楷體"/>
                <w:bCs/>
                <w:color w:val="000000"/>
                <w:szCs w:val="26"/>
              </w:rPr>
            </w:pPr>
            <w:r w:rsidRPr="00DA2D78">
              <w:rPr>
                <w:rFonts w:ascii="標楷體" w:hAnsi="標楷體" w:hint="eastAsia"/>
                <w:bCs/>
                <w:color w:val="000000"/>
                <w:szCs w:val="26"/>
              </w:rPr>
              <w:t>（四）投信投顧事業</w:t>
            </w:r>
            <w:r w:rsidRPr="00DA2D78">
              <w:rPr>
                <w:rFonts w:ascii="標楷體" w:hAnsi="標楷體"/>
                <w:bCs/>
                <w:color w:val="000000"/>
                <w:szCs w:val="26"/>
              </w:rPr>
              <w:t>是否應對法人客戶之有權交易人員進行辨識及驗證，並進行是否為受制裁人士或PEPs之姓名檢核機制，及保存該身分證明文件影本或予以記錄？</w:t>
            </w:r>
            <w:r w:rsidRPr="00DA2D78">
              <w:rPr>
                <w:rFonts w:ascii="標楷體" w:hAnsi="標楷體" w:hint="eastAsia"/>
                <w:bCs/>
                <w:color w:val="000000"/>
                <w:szCs w:val="26"/>
              </w:rPr>
              <w:t xml:space="preserve"> </w:t>
            </w:r>
          </w:p>
          <w:p w:rsidR="00DA2D78" w:rsidRPr="00DA2D78" w:rsidRDefault="00DA2D78" w:rsidP="00DA2D78">
            <w:pPr>
              <w:spacing w:line="420" w:lineRule="exact"/>
              <w:jc w:val="both"/>
              <w:rPr>
                <w:rFonts w:ascii="標楷體" w:hAnsi="標楷體"/>
                <w:bCs/>
                <w:color w:val="000000"/>
                <w:szCs w:val="26"/>
              </w:rPr>
            </w:pPr>
            <w:r w:rsidRPr="00DA2D78">
              <w:rPr>
                <w:rFonts w:ascii="標楷體" w:hAnsi="標楷體" w:hint="eastAsia"/>
                <w:bCs/>
                <w:color w:val="000000"/>
                <w:szCs w:val="26"/>
              </w:rPr>
              <w:t>答：</w:t>
            </w:r>
          </w:p>
          <w:p w:rsidR="00DA2D78" w:rsidRDefault="00DA2D78" w:rsidP="00DA2D78">
            <w:pPr>
              <w:numPr>
                <w:ilvl w:val="0"/>
                <w:numId w:val="32"/>
              </w:numPr>
              <w:spacing w:line="420" w:lineRule="exact"/>
              <w:jc w:val="both"/>
              <w:rPr>
                <w:rFonts w:ascii="標楷體" w:hAnsi="標楷體"/>
                <w:bCs/>
                <w:color w:val="000000"/>
                <w:szCs w:val="26"/>
              </w:rPr>
            </w:pPr>
            <w:r w:rsidRPr="00DA2D78">
              <w:rPr>
                <w:rFonts w:ascii="標楷體" w:hAnsi="標楷體" w:hint="eastAsia"/>
                <w:bCs/>
                <w:color w:val="000000"/>
                <w:szCs w:val="26"/>
              </w:rPr>
              <w:t>投信投顧</w:t>
            </w:r>
            <w:proofErr w:type="gramStart"/>
            <w:r w:rsidRPr="00DA2D78">
              <w:rPr>
                <w:rFonts w:ascii="標楷體" w:hAnsi="標楷體" w:hint="eastAsia"/>
                <w:bCs/>
                <w:color w:val="000000"/>
                <w:szCs w:val="26"/>
              </w:rPr>
              <w:t>事業</w:t>
            </w:r>
            <w:r w:rsidRPr="00DA2D78">
              <w:rPr>
                <w:rFonts w:ascii="標楷體" w:hAnsi="標楷體"/>
                <w:bCs/>
                <w:color w:val="000000"/>
                <w:szCs w:val="26"/>
              </w:rPr>
              <w:t>均須辨識</w:t>
            </w:r>
            <w:proofErr w:type="gramEnd"/>
            <w:r w:rsidRPr="00DA2D78">
              <w:rPr>
                <w:rFonts w:ascii="標楷體" w:hAnsi="標楷體"/>
                <w:bCs/>
                <w:color w:val="000000"/>
                <w:szCs w:val="26"/>
              </w:rPr>
              <w:t>及驗證法人客戶之有權交易人員身分</w:t>
            </w:r>
            <w:r w:rsidRPr="00DA2D78">
              <w:rPr>
                <w:rFonts w:ascii="標楷體" w:hAnsi="標楷體" w:hint="eastAsia"/>
                <w:bCs/>
                <w:color w:val="000000"/>
                <w:szCs w:val="26"/>
              </w:rPr>
              <w:t>，並保存該身分證明文件影本或予以記錄。</w:t>
            </w:r>
          </w:p>
          <w:p w:rsidR="00DA2D78" w:rsidRDefault="00DA2D78" w:rsidP="00DA2D78">
            <w:pPr>
              <w:numPr>
                <w:ilvl w:val="0"/>
                <w:numId w:val="32"/>
              </w:numPr>
              <w:spacing w:line="420" w:lineRule="exact"/>
              <w:jc w:val="both"/>
              <w:rPr>
                <w:rFonts w:ascii="標楷體" w:hAnsi="標楷體"/>
                <w:bCs/>
                <w:color w:val="000000"/>
                <w:szCs w:val="26"/>
              </w:rPr>
            </w:pPr>
            <w:r w:rsidRPr="00DA2D78">
              <w:rPr>
                <w:rFonts w:ascii="標楷體" w:hAnsi="標楷體" w:hint="eastAsia"/>
                <w:bCs/>
                <w:color w:val="000000"/>
                <w:szCs w:val="26"/>
              </w:rPr>
              <w:t>如投信投顧事業經評估該法人客戶(如:金融機構)之風險較低，得對該法人客戶(含</w:t>
            </w:r>
            <w:r w:rsidRPr="00DA2D78">
              <w:rPr>
                <w:rFonts w:ascii="標楷體" w:hAnsi="標楷體"/>
                <w:bCs/>
                <w:color w:val="000000"/>
                <w:szCs w:val="26"/>
              </w:rPr>
              <w:t>法人客戶之有權交易人員</w:t>
            </w:r>
            <w:r w:rsidRPr="00DA2D78">
              <w:rPr>
                <w:rFonts w:ascii="標楷體" w:hAnsi="標楷體" w:hint="eastAsia"/>
                <w:bCs/>
                <w:color w:val="000000"/>
                <w:szCs w:val="26"/>
              </w:rPr>
              <w:t>)</w:t>
            </w:r>
            <w:proofErr w:type="gramStart"/>
            <w:r w:rsidRPr="00DA2D78">
              <w:rPr>
                <w:rFonts w:ascii="標楷體" w:hAnsi="標楷體" w:hint="eastAsia"/>
                <w:bCs/>
                <w:color w:val="000000"/>
                <w:szCs w:val="26"/>
              </w:rPr>
              <w:t>採</w:t>
            </w:r>
            <w:proofErr w:type="gramEnd"/>
            <w:r w:rsidRPr="00DA2D78">
              <w:rPr>
                <w:rFonts w:ascii="標楷體" w:hAnsi="標楷體" w:hint="eastAsia"/>
                <w:bCs/>
                <w:color w:val="000000"/>
                <w:szCs w:val="26"/>
              </w:rPr>
              <w:t>簡化措施以確認客戶身分及持續審查機制，惟該簡化措施應與其較低風險因素相當。例如：法人客戶為金融機構及其管理之投資工具，經評估風險較低時，其交易授權人身分之辨識及驗證得</w:t>
            </w:r>
            <w:proofErr w:type="gramStart"/>
            <w:r w:rsidRPr="00DA2D78">
              <w:rPr>
                <w:rFonts w:ascii="標楷體" w:hAnsi="標楷體" w:hint="eastAsia"/>
                <w:bCs/>
                <w:color w:val="000000"/>
                <w:szCs w:val="26"/>
              </w:rPr>
              <w:t>採</w:t>
            </w:r>
            <w:proofErr w:type="gramEnd"/>
            <w:r w:rsidRPr="00DA2D78">
              <w:rPr>
                <w:rFonts w:ascii="標楷體" w:hAnsi="標楷體" w:hint="eastAsia"/>
                <w:bCs/>
                <w:color w:val="000000"/>
                <w:szCs w:val="26"/>
              </w:rPr>
              <w:t>簡化措施，可憑藉該金融機構出具之資料如提供有</w:t>
            </w:r>
            <w:proofErr w:type="gramStart"/>
            <w:r w:rsidRPr="00DA2D78">
              <w:rPr>
                <w:rFonts w:ascii="標楷體" w:hAnsi="標楷體" w:hint="eastAsia"/>
                <w:bCs/>
                <w:color w:val="000000"/>
                <w:szCs w:val="26"/>
              </w:rPr>
              <w:t>權簽樣</w:t>
            </w:r>
            <w:proofErr w:type="gramEnd"/>
            <w:r w:rsidRPr="00DA2D78">
              <w:rPr>
                <w:rFonts w:ascii="標楷體" w:hAnsi="標楷體" w:hint="eastAsia"/>
                <w:bCs/>
                <w:color w:val="000000"/>
                <w:szCs w:val="26"/>
              </w:rPr>
              <w:t>表進行辨識及驗證(例如交易授權人之姓名、出生日期、國籍、身分證字號或護照或居留證號碼)，無須留存其交易授</w:t>
            </w:r>
            <w:r w:rsidRPr="00DA2D78">
              <w:rPr>
                <w:rFonts w:ascii="標楷體" w:hAnsi="標楷體" w:hint="eastAsia"/>
                <w:bCs/>
                <w:color w:val="000000"/>
                <w:szCs w:val="26"/>
              </w:rPr>
              <w:lastRenderedPageBreak/>
              <w:t>權人之個人身分證明文件。</w:t>
            </w:r>
          </w:p>
          <w:p w:rsidR="00DA2D78" w:rsidRPr="00DA2D78" w:rsidRDefault="00DA2D78" w:rsidP="00DA2D78">
            <w:pPr>
              <w:numPr>
                <w:ilvl w:val="0"/>
                <w:numId w:val="32"/>
              </w:numPr>
              <w:spacing w:line="420" w:lineRule="exact"/>
              <w:jc w:val="both"/>
              <w:rPr>
                <w:rFonts w:ascii="標楷體" w:hAnsi="標楷體"/>
                <w:bCs/>
                <w:color w:val="000000"/>
                <w:szCs w:val="26"/>
              </w:rPr>
            </w:pPr>
            <w:r w:rsidRPr="00DA2D78">
              <w:rPr>
                <w:rFonts w:ascii="標楷體" w:hAnsi="標楷體" w:hint="eastAsia"/>
                <w:bCs/>
                <w:color w:val="000000"/>
                <w:szCs w:val="26"/>
              </w:rPr>
              <w:t>相關規定：</w:t>
            </w:r>
          </w:p>
          <w:p w:rsidR="00DA2D78" w:rsidRPr="00DA2D78" w:rsidRDefault="00DA2D78" w:rsidP="00DA2D78">
            <w:pPr>
              <w:spacing w:line="420" w:lineRule="exact"/>
              <w:ind w:leftChars="117" w:left="962" w:hangingChars="253" w:hanging="658"/>
              <w:jc w:val="both"/>
              <w:rPr>
                <w:rFonts w:ascii="標楷體" w:hAnsi="標楷體"/>
                <w:bCs/>
                <w:color w:val="000000"/>
                <w:szCs w:val="26"/>
              </w:rPr>
            </w:pPr>
            <w:r w:rsidRPr="00DA2D78">
              <w:rPr>
                <w:rFonts w:ascii="標楷體" w:hAnsi="標楷體" w:hint="eastAsia"/>
                <w:bCs/>
                <w:color w:val="000000"/>
                <w:szCs w:val="26"/>
              </w:rPr>
              <w:t>（1）金融機構防制洗錢辦法第3條第4款第2目規定，投信投顧事業確認客戶身分時，對於由代理人辦理者，應確實查證代理之事實，並以可靠、獨立來源之文件、資料或資訊，辨識及驗證代理人身分，並保存該身分證明文件影本或予以記錄。</w:t>
            </w:r>
          </w:p>
          <w:p w:rsidR="00DA2D78" w:rsidRPr="00DA2D78" w:rsidRDefault="00DA2D78" w:rsidP="00DA2D78">
            <w:pPr>
              <w:spacing w:line="420" w:lineRule="exact"/>
              <w:ind w:leftChars="118" w:left="965" w:hangingChars="253" w:hanging="658"/>
              <w:jc w:val="both"/>
              <w:rPr>
                <w:rFonts w:ascii="標楷體" w:hAnsi="標楷體"/>
                <w:bCs/>
                <w:color w:val="000000"/>
                <w:szCs w:val="26"/>
              </w:rPr>
            </w:pPr>
            <w:r w:rsidRPr="00DA2D78">
              <w:rPr>
                <w:rFonts w:ascii="標楷體" w:hAnsi="標楷體" w:hint="eastAsia"/>
                <w:bCs/>
                <w:color w:val="000000"/>
                <w:szCs w:val="26"/>
              </w:rPr>
              <w:t>（2）金融機構防制洗錢辦法第6條第1項第3款本文規定，確認客戶身分措施及持續審查機制，應以風險基礎方法決定其執行強度，對於較低風險情形，得採取簡化措施，該簡化措施應與其較低風險因素相當。</w:t>
            </w:r>
          </w:p>
          <w:p w:rsidR="00125799" w:rsidRPr="00DA2D78" w:rsidRDefault="00125799" w:rsidP="009B127E">
            <w:pPr>
              <w:tabs>
                <w:tab w:val="left" w:pos="1108"/>
              </w:tabs>
              <w:snapToGrid w:val="0"/>
              <w:spacing w:line="400" w:lineRule="exact"/>
              <w:jc w:val="both"/>
              <w:rPr>
                <w:rFonts w:ascii="標楷體" w:hAnsi="標楷體" w:cs="Times New Roman"/>
                <w:bCs/>
                <w:color w:val="000000"/>
                <w:szCs w:val="26"/>
              </w:rPr>
            </w:pPr>
          </w:p>
        </w:tc>
        <w:tc>
          <w:tcPr>
            <w:tcW w:w="2977" w:type="dxa"/>
          </w:tcPr>
          <w:p w:rsidR="00694B16" w:rsidRPr="00A13C81" w:rsidRDefault="00853C64" w:rsidP="00EC5440">
            <w:pPr>
              <w:spacing w:line="400" w:lineRule="exact"/>
              <w:jc w:val="both"/>
              <w:rPr>
                <w:rFonts w:ascii="標楷體" w:hAnsi="標楷體" w:cs="Times New Roman"/>
                <w:color w:val="000000" w:themeColor="text1"/>
                <w:kern w:val="0"/>
                <w:szCs w:val="26"/>
              </w:rPr>
            </w:pPr>
            <w:r w:rsidRPr="00A13C81">
              <w:rPr>
                <w:rFonts w:ascii="標楷體" w:hAnsi="標楷體" w:hint="eastAsia"/>
                <w:szCs w:val="26"/>
              </w:rPr>
              <w:lastRenderedPageBreak/>
              <w:t>參考證券商防制洗錢及</w:t>
            </w:r>
            <w:proofErr w:type="gramStart"/>
            <w:r w:rsidRPr="00A13C81">
              <w:rPr>
                <w:rFonts w:ascii="標楷體" w:hAnsi="標楷體" w:hint="eastAsia"/>
                <w:szCs w:val="26"/>
              </w:rPr>
              <w:t>打擊資恐相關</w:t>
            </w:r>
            <w:proofErr w:type="gramEnd"/>
            <w:r w:rsidRPr="00A13C81">
              <w:rPr>
                <w:rFonts w:ascii="標楷體" w:hAnsi="標楷體" w:hint="eastAsia"/>
                <w:szCs w:val="26"/>
              </w:rPr>
              <w:t>規定問答集一、(四)</w:t>
            </w:r>
            <w:r w:rsidR="00510501">
              <w:rPr>
                <w:rFonts w:ascii="標楷體" w:hAnsi="標楷體" w:hint="eastAsia"/>
                <w:szCs w:val="26"/>
              </w:rPr>
              <w:t>；</w:t>
            </w:r>
            <w:r w:rsidR="0041391B">
              <w:rPr>
                <w:rFonts w:ascii="標楷體" w:hAnsi="標楷體" w:hint="eastAsia"/>
                <w:szCs w:val="26"/>
              </w:rPr>
              <w:t>金融機構防制洗錢辦法第6條第1項第3款及第8條規定</w:t>
            </w:r>
            <w:r w:rsidRPr="00A13C81">
              <w:rPr>
                <w:rFonts w:ascii="標楷體" w:hAnsi="標楷體" w:hint="eastAsia"/>
                <w:szCs w:val="26"/>
              </w:rPr>
              <w:t>，</w:t>
            </w:r>
            <w:r w:rsidR="007D1C0B">
              <w:rPr>
                <w:rFonts w:ascii="標楷體" w:hAnsi="標楷體" w:hint="eastAsia"/>
                <w:szCs w:val="26"/>
              </w:rPr>
              <w:t>修正</w:t>
            </w:r>
            <w:r w:rsidRPr="00A13C81">
              <w:rPr>
                <w:rFonts w:ascii="標楷體" w:hAnsi="標楷體" w:hint="eastAsia"/>
                <w:szCs w:val="26"/>
              </w:rPr>
              <w:t>本題答</w:t>
            </w:r>
            <w:r w:rsidR="005A1D5A" w:rsidRPr="00A13C81">
              <w:rPr>
                <w:rFonts w:ascii="標楷體" w:hAnsi="標楷體" w:hint="eastAsia"/>
                <w:szCs w:val="26"/>
              </w:rPr>
              <w:t>案</w:t>
            </w:r>
            <w:r w:rsidRPr="00A13C81">
              <w:rPr>
                <w:rFonts w:ascii="標楷體" w:hAnsi="標楷體" w:hint="eastAsia"/>
                <w:szCs w:val="26"/>
              </w:rPr>
              <w:t>2.</w:t>
            </w:r>
            <w:r w:rsidR="005A1D5A" w:rsidRPr="00A13C81">
              <w:rPr>
                <w:rFonts w:ascii="標楷體" w:hAnsi="標楷體" w:hint="eastAsia"/>
                <w:szCs w:val="26"/>
              </w:rPr>
              <w:t>法人客戶為金融機構</w:t>
            </w:r>
            <w:r w:rsidR="00632FCA" w:rsidRPr="00632FCA">
              <w:rPr>
                <w:rFonts w:ascii="標楷體" w:hAnsi="標楷體" w:hint="eastAsia"/>
                <w:bCs/>
                <w:szCs w:val="26"/>
              </w:rPr>
              <w:t>或金融機構</w:t>
            </w:r>
            <w:r w:rsidR="00632FCA" w:rsidRPr="00632FCA">
              <w:rPr>
                <w:rFonts w:ascii="標楷體" w:hAnsi="標楷體"/>
                <w:bCs/>
                <w:szCs w:val="26"/>
              </w:rPr>
              <w:t>管理之投資工具</w:t>
            </w:r>
            <w:r w:rsidR="005A1D5A" w:rsidRPr="00A13C81">
              <w:rPr>
                <w:rFonts w:ascii="標楷體" w:hAnsi="標楷體" w:hint="eastAsia"/>
                <w:szCs w:val="26"/>
              </w:rPr>
              <w:t>時，其交易授權人身分之辨識及驗證得</w:t>
            </w:r>
            <w:proofErr w:type="gramStart"/>
            <w:r w:rsidR="005A1D5A" w:rsidRPr="00A13C81">
              <w:rPr>
                <w:rFonts w:ascii="標楷體" w:hAnsi="標楷體" w:hint="eastAsia"/>
                <w:szCs w:val="26"/>
              </w:rPr>
              <w:t>採</w:t>
            </w:r>
            <w:proofErr w:type="gramEnd"/>
            <w:r w:rsidR="005A1D5A" w:rsidRPr="00A13C81">
              <w:rPr>
                <w:rFonts w:ascii="標楷體" w:hAnsi="標楷體" w:hint="eastAsia"/>
                <w:szCs w:val="26"/>
              </w:rPr>
              <w:t>簡化措施</w:t>
            </w:r>
            <w:r w:rsidR="0041391B">
              <w:rPr>
                <w:rFonts w:ascii="標楷體" w:hAnsi="標楷體" w:hint="eastAsia"/>
                <w:szCs w:val="26"/>
              </w:rPr>
              <w:t>之舉例說明</w:t>
            </w:r>
            <w:r w:rsidR="00632FCA">
              <w:rPr>
                <w:rFonts w:ascii="標楷體" w:hAnsi="標楷體" w:hint="eastAsia"/>
                <w:szCs w:val="26"/>
              </w:rPr>
              <w:t>。</w:t>
            </w:r>
            <w:r w:rsidR="007D1C0B">
              <w:rPr>
                <w:rFonts w:ascii="標楷體" w:hAnsi="標楷體" w:hint="eastAsia"/>
                <w:szCs w:val="26"/>
              </w:rPr>
              <w:t>新增</w:t>
            </w:r>
            <w:r w:rsidR="0041391B">
              <w:rPr>
                <w:rFonts w:ascii="標楷體" w:hAnsi="標楷體" w:hint="eastAsia"/>
                <w:szCs w:val="26"/>
              </w:rPr>
              <w:t>本題答案</w:t>
            </w:r>
            <w:r w:rsidR="007D1C0B">
              <w:rPr>
                <w:rFonts w:ascii="標楷體" w:hAnsi="標楷體" w:hint="eastAsia"/>
                <w:szCs w:val="26"/>
              </w:rPr>
              <w:t>3.相關規定(3)得採取簡化措施的原則和例外規定及(4)對客戶及交易之姓名及名稱檢核規定</w:t>
            </w:r>
            <w:r w:rsidR="005A1D5A" w:rsidRPr="00A13C81">
              <w:rPr>
                <w:rFonts w:ascii="標楷體" w:hAnsi="標楷體" w:hint="eastAsia"/>
                <w:szCs w:val="26"/>
              </w:rPr>
              <w:t>。</w:t>
            </w:r>
          </w:p>
          <w:p w:rsidR="009B127E" w:rsidRPr="0041391B" w:rsidRDefault="009B127E" w:rsidP="00EC5440">
            <w:pPr>
              <w:spacing w:line="400" w:lineRule="exact"/>
              <w:jc w:val="both"/>
              <w:rPr>
                <w:rFonts w:ascii="標楷體" w:hAnsi="標楷體" w:cs="Times New Roman"/>
                <w:color w:val="000000" w:themeColor="text1"/>
                <w:kern w:val="0"/>
                <w:szCs w:val="26"/>
              </w:rPr>
            </w:pPr>
          </w:p>
          <w:p w:rsidR="00125799" w:rsidRPr="00A13C81" w:rsidRDefault="00125799" w:rsidP="00EC5440">
            <w:pPr>
              <w:spacing w:line="400" w:lineRule="exact"/>
              <w:jc w:val="both"/>
              <w:rPr>
                <w:rFonts w:ascii="標楷體" w:hAnsi="標楷體" w:cs="Times New Roman"/>
                <w:color w:val="000000" w:themeColor="text1"/>
                <w:kern w:val="0"/>
                <w:szCs w:val="26"/>
              </w:rPr>
            </w:pPr>
          </w:p>
        </w:tc>
      </w:tr>
    </w:tbl>
    <w:p w:rsidR="005669B1" w:rsidRPr="00517BB5" w:rsidRDefault="005669B1" w:rsidP="00001547">
      <w:pPr>
        <w:spacing w:line="360" w:lineRule="exact"/>
        <w:jc w:val="both"/>
        <w:rPr>
          <w:rFonts w:ascii="Times New Roman" w:hAnsi="Times New Roman" w:cs="Times New Roman"/>
        </w:rPr>
      </w:pPr>
    </w:p>
    <w:sectPr w:rsidR="005669B1" w:rsidRPr="00517BB5" w:rsidSect="00001547">
      <w:footerReference w:type="default" r:id="rId8"/>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F97" w:rsidRDefault="00157F97" w:rsidP="009D4B95">
      <w:r>
        <w:separator/>
      </w:r>
    </w:p>
  </w:endnote>
  <w:endnote w:type="continuationSeparator" w:id="0">
    <w:p w:rsidR="00157F97" w:rsidRDefault="00157F97" w:rsidP="009D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3322873"/>
      <w:docPartObj>
        <w:docPartGallery w:val="Page Numbers (Bottom of Page)"/>
        <w:docPartUnique/>
      </w:docPartObj>
    </w:sdtPr>
    <w:sdtEndPr/>
    <w:sdtContent>
      <w:p w:rsidR="00157F97" w:rsidRDefault="00882B0C" w:rsidP="00001547">
        <w:pPr>
          <w:pStyle w:val="a9"/>
          <w:jc w:val="center"/>
        </w:pPr>
        <w:r>
          <w:fldChar w:fldCharType="begin"/>
        </w:r>
        <w:r>
          <w:instrText xml:space="preserve"> PAGE   \* MERGEFORMAT </w:instrText>
        </w:r>
        <w:r>
          <w:fldChar w:fldCharType="separate"/>
        </w:r>
        <w:r w:rsidR="0093293E" w:rsidRPr="0093293E">
          <w:rPr>
            <w:noProof/>
            <w:lang w:val="zh-TW"/>
          </w:rPr>
          <w:t>1</w:t>
        </w:r>
        <w:r>
          <w:rPr>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F97" w:rsidRDefault="00157F97" w:rsidP="009D4B95">
      <w:r>
        <w:separator/>
      </w:r>
    </w:p>
  </w:footnote>
  <w:footnote w:type="continuationSeparator" w:id="0">
    <w:p w:rsidR="00157F97" w:rsidRDefault="00157F97" w:rsidP="009D4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FDF"/>
    <w:multiLevelType w:val="hybridMultilevel"/>
    <w:tmpl w:val="20F6E2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0B4F1C"/>
    <w:multiLevelType w:val="hybridMultilevel"/>
    <w:tmpl w:val="1C0A2924"/>
    <w:lvl w:ilvl="0" w:tplc="9A2E432A">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 w15:restartNumberingAfterBreak="0">
    <w:nsid w:val="046252B5"/>
    <w:multiLevelType w:val="hybridMultilevel"/>
    <w:tmpl w:val="2CD67840"/>
    <w:lvl w:ilvl="0" w:tplc="C3E00A72">
      <w:start w:val="1"/>
      <w:numFmt w:val="decimal"/>
      <w:lvlText w:val="%1."/>
      <w:lvlJc w:val="left"/>
      <w:pPr>
        <w:ind w:left="1210" w:hanging="360"/>
      </w:pPr>
      <w:rPr>
        <w:rFonts w:hint="default"/>
        <w:sz w:val="28"/>
        <w:u w:val="none"/>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 w15:restartNumberingAfterBreak="0">
    <w:nsid w:val="04C47C65"/>
    <w:multiLevelType w:val="hybridMultilevel"/>
    <w:tmpl w:val="962821E2"/>
    <w:lvl w:ilvl="0" w:tplc="267EFE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BD5C9C"/>
    <w:multiLevelType w:val="hybridMultilevel"/>
    <w:tmpl w:val="6750F95C"/>
    <w:lvl w:ilvl="0" w:tplc="06E4ADC2">
      <w:start w:val="1"/>
      <w:numFmt w:val="decimal"/>
      <w:lvlText w:val="(%1)"/>
      <w:lvlJc w:val="left"/>
      <w:pPr>
        <w:ind w:left="360" w:hanging="360"/>
      </w:pPr>
      <w:rPr>
        <w:rFonts w:ascii="Calibri" w:hAnsi="Calibri"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89313C1"/>
    <w:multiLevelType w:val="hybridMultilevel"/>
    <w:tmpl w:val="2CD67840"/>
    <w:lvl w:ilvl="0" w:tplc="C3E00A72">
      <w:start w:val="1"/>
      <w:numFmt w:val="decimal"/>
      <w:lvlText w:val="%1."/>
      <w:lvlJc w:val="left"/>
      <w:pPr>
        <w:ind w:left="1210" w:hanging="360"/>
      </w:pPr>
      <w:rPr>
        <w:rFonts w:hint="default"/>
        <w:sz w:val="28"/>
        <w:u w:val="none"/>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6" w15:restartNumberingAfterBreak="0">
    <w:nsid w:val="08D221C1"/>
    <w:multiLevelType w:val="hybridMultilevel"/>
    <w:tmpl w:val="1C0A2924"/>
    <w:lvl w:ilvl="0" w:tplc="9A2E432A">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11BF096D"/>
    <w:multiLevelType w:val="hybridMultilevel"/>
    <w:tmpl w:val="04EC40A8"/>
    <w:lvl w:ilvl="0" w:tplc="81728F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1C70D8"/>
    <w:multiLevelType w:val="hybridMultilevel"/>
    <w:tmpl w:val="FA927CB8"/>
    <w:lvl w:ilvl="0" w:tplc="EAC666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5C30F7D"/>
    <w:multiLevelType w:val="hybridMultilevel"/>
    <w:tmpl w:val="2CD67840"/>
    <w:lvl w:ilvl="0" w:tplc="C3E00A72">
      <w:start w:val="1"/>
      <w:numFmt w:val="decimal"/>
      <w:lvlText w:val="%1."/>
      <w:lvlJc w:val="left"/>
      <w:pPr>
        <w:ind w:left="1210" w:hanging="360"/>
      </w:pPr>
      <w:rPr>
        <w:rFonts w:hint="default"/>
        <w:sz w:val="28"/>
        <w:u w:val="none"/>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0" w15:restartNumberingAfterBreak="0">
    <w:nsid w:val="19BE5188"/>
    <w:multiLevelType w:val="hybridMultilevel"/>
    <w:tmpl w:val="1DF6ECD6"/>
    <w:lvl w:ilvl="0" w:tplc="404E6C32">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1" w15:restartNumberingAfterBreak="0">
    <w:nsid w:val="19C957AE"/>
    <w:multiLevelType w:val="hybridMultilevel"/>
    <w:tmpl w:val="DAE05FF8"/>
    <w:lvl w:ilvl="0" w:tplc="8F88D6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2F011E"/>
    <w:multiLevelType w:val="hybridMultilevel"/>
    <w:tmpl w:val="1DF6ECD6"/>
    <w:lvl w:ilvl="0" w:tplc="404E6C32">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1B431C37"/>
    <w:multiLevelType w:val="hybridMultilevel"/>
    <w:tmpl w:val="8462379A"/>
    <w:lvl w:ilvl="0" w:tplc="275C51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1D2574"/>
    <w:multiLevelType w:val="hybridMultilevel"/>
    <w:tmpl w:val="2780BD5E"/>
    <w:lvl w:ilvl="0" w:tplc="6794269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223506FF"/>
    <w:multiLevelType w:val="hybridMultilevel"/>
    <w:tmpl w:val="2CD67840"/>
    <w:lvl w:ilvl="0" w:tplc="C3E00A72">
      <w:start w:val="1"/>
      <w:numFmt w:val="decimal"/>
      <w:lvlText w:val="%1."/>
      <w:lvlJc w:val="left"/>
      <w:pPr>
        <w:ind w:left="1210" w:hanging="360"/>
      </w:pPr>
      <w:rPr>
        <w:rFonts w:hint="default"/>
        <w:sz w:val="28"/>
        <w:u w:val="none"/>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16" w15:restartNumberingAfterBreak="0">
    <w:nsid w:val="278E2E8E"/>
    <w:multiLevelType w:val="hybridMultilevel"/>
    <w:tmpl w:val="2780BD5E"/>
    <w:lvl w:ilvl="0" w:tplc="6794269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29846534"/>
    <w:multiLevelType w:val="hybridMultilevel"/>
    <w:tmpl w:val="2780BD5E"/>
    <w:lvl w:ilvl="0" w:tplc="6794269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8" w15:restartNumberingAfterBreak="0">
    <w:nsid w:val="41924D8B"/>
    <w:multiLevelType w:val="hybridMultilevel"/>
    <w:tmpl w:val="26EA6434"/>
    <w:lvl w:ilvl="0" w:tplc="E0EC3900">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FA3687"/>
    <w:multiLevelType w:val="hybridMultilevel"/>
    <w:tmpl w:val="E91EA34C"/>
    <w:lvl w:ilvl="0" w:tplc="03D8E8F2">
      <w:start w:val="1"/>
      <w:numFmt w:val="taiwaneseCountingThousand"/>
      <w:lvlText w:val="%1、"/>
      <w:lvlJc w:val="left"/>
      <w:pPr>
        <w:ind w:left="480" w:hanging="480"/>
      </w:pPr>
      <w:rPr>
        <w:rFonts w:ascii="標楷體" w:eastAsia="標楷體" w:hAnsi="標楷體" w:hint="default"/>
      </w:rPr>
    </w:lvl>
    <w:lvl w:ilvl="1" w:tplc="0C5453A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3096226"/>
    <w:multiLevelType w:val="hybridMultilevel"/>
    <w:tmpl w:val="1C9038B8"/>
    <w:lvl w:ilvl="0" w:tplc="CCA46B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5D76FE"/>
    <w:multiLevelType w:val="hybridMultilevel"/>
    <w:tmpl w:val="D324BA20"/>
    <w:lvl w:ilvl="0" w:tplc="A9BC1E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AC7A44"/>
    <w:multiLevelType w:val="hybridMultilevel"/>
    <w:tmpl w:val="97D8B308"/>
    <w:lvl w:ilvl="0" w:tplc="8DA8C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F327061"/>
    <w:multiLevelType w:val="hybridMultilevel"/>
    <w:tmpl w:val="C044A93E"/>
    <w:lvl w:ilvl="0" w:tplc="3F2A90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1A2083C"/>
    <w:multiLevelType w:val="hybridMultilevel"/>
    <w:tmpl w:val="2CD67840"/>
    <w:lvl w:ilvl="0" w:tplc="C3E00A72">
      <w:start w:val="1"/>
      <w:numFmt w:val="decimal"/>
      <w:lvlText w:val="%1."/>
      <w:lvlJc w:val="left"/>
      <w:pPr>
        <w:ind w:left="1210" w:hanging="360"/>
      </w:pPr>
      <w:rPr>
        <w:rFonts w:hint="default"/>
        <w:sz w:val="28"/>
        <w:u w:val="none"/>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25" w15:restartNumberingAfterBreak="0">
    <w:nsid w:val="669E7892"/>
    <w:multiLevelType w:val="hybridMultilevel"/>
    <w:tmpl w:val="F2B2562A"/>
    <w:lvl w:ilvl="0" w:tplc="38FEB93E">
      <w:start w:val="1"/>
      <w:numFmt w:val="decimal"/>
      <w:lvlText w:val="%1."/>
      <w:lvlJc w:val="left"/>
      <w:pPr>
        <w:ind w:left="1068" w:hanging="360"/>
      </w:pPr>
      <w:rPr>
        <w:rFonts w:hint="default"/>
        <w:u w:val="none"/>
      </w:r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6" w15:restartNumberingAfterBreak="0">
    <w:nsid w:val="69CF085C"/>
    <w:multiLevelType w:val="hybridMultilevel"/>
    <w:tmpl w:val="58F05596"/>
    <w:lvl w:ilvl="0" w:tplc="3B464D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695AF4"/>
    <w:multiLevelType w:val="hybridMultilevel"/>
    <w:tmpl w:val="2780BD5E"/>
    <w:lvl w:ilvl="0" w:tplc="67942692">
      <w:start w:val="1"/>
      <w:numFmt w:val="decimal"/>
      <w:lvlText w:val="%1."/>
      <w:lvlJc w:val="left"/>
      <w:pPr>
        <w:ind w:left="644" w:hanging="36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8" w15:restartNumberingAfterBreak="0">
    <w:nsid w:val="6F752B94"/>
    <w:multiLevelType w:val="hybridMultilevel"/>
    <w:tmpl w:val="00925F08"/>
    <w:lvl w:ilvl="0" w:tplc="4E36F628">
      <w:start w:val="1"/>
      <w:numFmt w:val="decimal"/>
      <w:lvlText w:val="%1."/>
      <w:lvlJc w:val="left"/>
      <w:pPr>
        <w:ind w:left="360" w:hanging="360"/>
      </w:pPr>
      <w:rPr>
        <w:rFonts w:ascii="Calibri" w:hAnsi="Calibri"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746B74DF"/>
    <w:multiLevelType w:val="hybridMultilevel"/>
    <w:tmpl w:val="0D18A27A"/>
    <w:lvl w:ilvl="0" w:tplc="AE127244">
      <w:start w:val="1"/>
      <w:numFmt w:val="decimal"/>
      <w:lvlText w:val="%1."/>
      <w:lvlJc w:val="left"/>
      <w:pPr>
        <w:ind w:left="360" w:hanging="360"/>
      </w:pPr>
      <w:rPr>
        <w:rFonts w:ascii="Times New Roman"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811562"/>
    <w:multiLevelType w:val="hybridMultilevel"/>
    <w:tmpl w:val="FB603588"/>
    <w:lvl w:ilvl="0" w:tplc="49A0DB12">
      <w:start w:val="1"/>
      <w:numFmt w:val="decimal"/>
      <w:lvlText w:val="（%1）"/>
      <w:lvlJc w:val="left"/>
      <w:pPr>
        <w:ind w:left="1570" w:hanging="720"/>
      </w:pPr>
      <w:rPr>
        <w:rFonts w:hint="default"/>
        <w:sz w:val="28"/>
        <w:u w:val="none"/>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1" w15:restartNumberingAfterBreak="0">
    <w:nsid w:val="760B5CF1"/>
    <w:multiLevelType w:val="hybridMultilevel"/>
    <w:tmpl w:val="03F07160"/>
    <w:lvl w:ilvl="0" w:tplc="108E73C2">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9"/>
  </w:num>
  <w:num w:numId="2">
    <w:abstractNumId w:val="0"/>
  </w:num>
  <w:num w:numId="3">
    <w:abstractNumId w:val="31"/>
  </w:num>
  <w:num w:numId="4">
    <w:abstractNumId w:val="3"/>
  </w:num>
  <w:num w:numId="5">
    <w:abstractNumId w:val="23"/>
  </w:num>
  <w:num w:numId="6">
    <w:abstractNumId w:val="8"/>
  </w:num>
  <w:num w:numId="7">
    <w:abstractNumId w:val="7"/>
  </w:num>
  <w:num w:numId="8">
    <w:abstractNumId w:val="18"/>
  </w:num>
  <w:num w:numId="9">
    <w:abstractNumId w:val="29"/>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1"/>
  </w:num>
  <w:num w:numId="14">
    <w:abstractNumId w:val="13"/>
  </w:num>
  <w:num w:numId="15">
    <w:abstractNumId w:val="21"/>
  </w:num>
  <w:num w:numId="16">
    <w:abstractNumId w:val="26"/>
  </w:num>
  <w:num w:numId="17">
    <w:abstractNumId w:val="20"/>
  </w:num>
  <w:num w:numId="18">
    <w:abstractNumId w:val="16"/>
  </w:num>
  <w:num w:numId="19">
    <w:abstractNumId w:val="27"/>
  </w:num>
  <w:num w:numId="20">
    <w:abstractNumId w:val="24"/>
  </w:num>
  <w:num w:numId="21">
    <w:abstractNumId w:val="30"/>
  </w:num>
  <w:num w:numId="22">
    <w:abstractNumId w:val="9"/>
  </w:num>
  <w:num w:numId="23">
    <w:abstractNumId w:val="2"/>
  </w:num>
  <w:num w:numId="24">
    <w:abstractNumId w:val="5"/>
  </w:num>
  <w:num w:numId="25">
    <w:abstractNumId w:val="15"/>
  </w:num>
  <w:num w:numId="26">
    <w:abstractNumId w:val="1"/>
  </w:num>
  <w:num w:numId="27">
    <w:abstractNumId w:val="6"/>
  </w:num>
  <w:num w:numId="28">
    <w:abstractNumId w:val="12"/>
  </w:num>
  <w:num w:numId="29">
    <w:abstractNumId w:val="10"/>
  </w:num>
  <w:num w:numId="30">
    <w:abstractNumId w:val="25"/>
  </w:num>
  <w:num w:numId="31">
    <w:abstractNumId w:val="14"/>
  </w:num>
  <w:num w:numId="32">
    <w:abstractNumId w:val="17"/>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27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954"/>
    <w:rsid w:val="00001547"/>
    <w:rsid w:val="00011472"/>
    <w:rsid w:val="00013725"/>
    <w:rsid w:val="00022E91"/>
    <w:rsid w:val="00023BB7"/>
    <w:rsid w:val="000328A0"/>
    <w:rsid w:val="00032920"/>
    <w:rsid w:val="00032CF3"/>
    <w:rsid w:val="00045FE9"/>
    <w:rsid w:val="00054256"/>
    <w:rsid w:val="00060899"/>
    <w:rsid w:val="00066457"/>
    <w:rsid w:val="00071F56"/>
    <w:rsid w:val="00073C60"/>
    <w:rsid w:val="0008748A"/>
    <w:rsid w:val="00087C18"/>
    <w:rsid w:val="000931B9"/>
    <w:rsid w:val="00094583"/>
    <w:rsid w:val="000A2E49"/>
    <w:rsid w:val="000B3C80"/>
    <w:rsid w:val="000B722C"/>
    <w:rsid w:val="000B73C4"/>
    <w:rsid w:val="000C1A8A"/>
    <w:rsid w:val="000C2513"/>
    <w:rsid w:val="000D2067"/>
    <w:rsid w:val="000D6A60"/>
    <w:rsid w:val="000E1F0F"/>
    <w:rsid w:val="00101852"/>
    <w:rsid w:val="0011156C"/>
    <w:rsid w:val="00114D28"/>
    <w:rsid w:val="001167F2"/>
    <w:rsid w:val="00125799"/>
    <w:rsid w:val="00153265"/>
    <w:rsid w:val="00155D66"/>
    <w:rsid w:val="001562ED"/>
    <w:rsid w:val="00157F97"/>
    <w:rsid w:val="0016171F"/>
    <w:rsid w:val="001651C5"/>
    <w:rsid w:val="00165696"/>
    <w:rsid w:val="00173B2A"/>
    <w:rsid w:val="00182107"/>
    <w:rsid w:val="0018228C"/>
    <w:rsid w:val="001823FD"/>
    <w:rsid w:val="00187797"/>
    <w:rsid w:val="001965F4"/>
    <w:rsid w:val="001A0003"/>
    <w:rsid w:val="001A56A3"/>
    <w:rsid w:val="001A6C3D"/>
    <w:rsid w:val="001B0231"/>
    <w:rsid w:val="001B0E79"/>
    <w:rsid w:val="001B59FF"/>
    <w:rsid w:val="001C5A78"/>
    <w:rsid w:val="001D7114"/>
    <w:rsid w:val="001E2D2B"/>
    <w:rsid w:val="002215BD"/>
    <w:rsid w:val="0023325B"/>
    <w:rsid w:val="0024341F"/>
    <w:rsid w:val="002556A2"/>
    <w:rsid w:val="0025775C"/>
    <w:rsid w:val="00263D23"/>
    <w:rsid w:val="00277086"/>
    <w:rsid w:val="00283344"/>
    <w:rsid w:val="00284BED"/>
    <w:rsid w:val="00286FAC"/>
    <w:rsid w:val="0029406E"/>
    <w:rsid w:val="002940E9"/>
    <w:rsid w:val="00296D75"/>
    <w:rsid w:val="00297155"/>
    <w:rsid w:val="002A149A"/>
    <w:rsid w:val="002A18B4"/>
    <w:rsid w:val="002A265F"/>
    <w:rsid w:val="002A6A54"/>
    <w:rsid w:val="002D11D3"/>
    <w:rsid w:val="002E1F78"/>
    <w:rsid w:val="002F77C6"/>
    <w:rsid w:val="002F7970"/>
    <w:rsid w:val="00302DCC"/>
    <w:rsid w:val="00323828"/>
    <w:rsid w:val="00332EFF"/>
    <w:rsid w:val="00360D84"/>
    <w:rsid w:val="00362E6D"/>
    <w:rsid w:val="00381306"/>
    <w:rsid w:val="00381BC9"/>
    <w:rsid w:val="003856A2"/>
    <w:rsid w:val="003A26E7"/>
    <w:rsid w:val="003B588B"/>
    <w:rsid w:val="003B6212"/>
    <w:rsid w:val="003D06AD"/>
    <w:rsid w:val="0040713A"/>
    <w:rsid w:val="004078A4"/>
    <w:rsid w:val="0041391B"/>
    <w:rsid w:val="004158E6"/>
    <w:rsid w:val="00416D8E"/>
    <w:rsid w:val="00424689"/>
    <w:rsid w:val="00432EE5"/>
    <w:rsid w:val="00433D1A"/>
    <w:rsid w:val="00435438"/>
    <w:rsid w:val="004354EA"/>
    <w:rsid w:val="004412B0"/>
    <w:rsid w:val="00451655"/>
    <w:rsid w:val="00456879"/>
    <w:rsid w:val="00475506"/>
    <w:rsid w:val="0048025E"/>
    <w:rsid w:val="00494577"/>
    <w:rsid w:val="004B0F96"/>
    <w:rsid w:val="004B1ACA"/>
    <w:rsid w:val="004C06AC"/>
    <w:rsid w:val="004C097C"/>
    <w:rsid w:val="004C7972"/>
    <w:rsid w:val="004D2D0E"/>
    <w:rsid w:val="004D4803"/>
    <w:rsid w:val="004D4E15"/>
    <w:rsid w:val="004D5CDF"/>
    <w:rsid w:val="004E25B1"/>
    <w:rsid w:val="004E5981"/>
    <w:rsid w:val="0050482D"/>
    <w:rsid w:val="005065D2"/>
    <w:rsid w:val="00510501"/>
    <w:rsid w:val="0051250E"/>
    <w:rsid w:val="005151E2"/>
    <w:rsid w:val="00517BB5"/>
    <w:rsid w:val="005334F9"/>
    <w:rsid w:val="005354E2"/>
    <w:rsid w:val="00540299"/>
    <w:rsid w:val="00540373"/>
    <w:rsid w:val="00550FDC"/>
    <w:rsid w:val="00557757"/>
    <w:rsid w:val="00560FC2"/>
    <w:rsid w:val="00565491"/>
    <w:rsid w:val="005669B1"/>
    <w:rsid w:val="0057279E"/>
    <w:rsid w:val="00594587"/>
    <w:rsid w:val="005A1D5A"/>
    <w:rsid w:val="005B35E2"/>
    <w:rsid w:val="005B4F39"/>
    <w:rsid w:val="005B50C1"/>
    <w:rsid w:val="005C094D"/>
    <w:rsid w:val="005C4155"/>
    <w:rsid w:val="005C46D7"/>
    <w:rsid w:val="005D313D"/>
    <w:rsid w:val="005D4491"/>
    <w:rsid w:val="005D7B5C"/>
    <w:rsid w:val="005E21F4"/>
    <w:rsid w:val="005F4383"/>
    <w:rsid w:val="005F7F7D"/>
    <w:rsid w:val="00632FCA"/>
    <w:rsid w:val="00647311"/>
    <w:rsid w:val="00651A93"/>
    <w:rsid w:val="0065316D"/>
    <w:rsid w:val="0065577C"/>
    <w:rsid w:val="006645E5"/>
    <w:rsid w:val="00667681"/>
    <w:rsid w:val="00694B16"/>
    <w:rsid w:val="006A3ECC"/>
    <w:rsid w:val="006A4DE4"/>
    <w:rsid w:val="006B13AC"/>
    <w:rsid w:val="006B2479"/>
    <w:rsid w:val="006C1B60"/>
    <w:rsid w:val="006E5442"/>
    <w:rsid w:val="006E63C1"/>
    <w:rsid w:val="006F0469"/>
    <w:rsid w:val="006F17C6"/>
    <w:rsid w:val="006F44C7"/>
    <w:rsid w:val="007100EC"/>
    <w:rsid w:val="0071311C"/>
    <w:rsid w:val="00730103"/>
    <w:rsid w:val="00746157"/>
    <w:rsid w:val="00765347"/>
    <w:rsid w:val="00772ECE"/>
    <w:rsid w:val="00773075"/>
    <w:rsid w:val="007744DB"/>
    <w:rsid w:val="00782E86"/>
    <w:rsid w:val="00783A6E"/>
    <w:rsid w:val="00791E89"/>
    <w:rsid w:val="00793A31"/>
    <w:rsid w:val="00797F85"/>
    <w:rsid w:val="007A56E1"/>
    <w:rsid w:val="007A6FCE"/>
    <w:rsid w:val="007C3A3F"/>
    <w:rsid w:val="007C40C0"/>
    <w:rsid w:val="007D1C0B"/>
    <w:rsid w:val="007D31F0"/>
    <w:rsid w:val="007E2C94"/>
    <w:rsid w:val="007E537C"/>
    <w:rsid w:val="007E5658"/>
    <w:rsid w:val="007E7171"/>
    <w:rsid w:val="007E7E1B"/>
    <w:rsid w:val="007F1D0D"/>
    <w:rsid w:val="00801D1C"/>
    <w:rsid w:val="008077DB"/>
    <w:rsid w:val="00807C0F"/>
    <w:rsid w:val="00813871"/>
    <w:rsid w:val="00814801"/>
    <w:rsid w:val="00815819"/>
    <w:rsid w:val="008215AA"/>
    <w:rsid w:val="00821F59"/>
    <w:rsid w:val="008253D9"/>
    <w:rsid w:val="00841BAC"/>
    <w:rsid w:val="00850D38"/>
    <w:rsid w:val="008530A5"/>
    <w:rsid w:val="00853C64"/>
    <w:rsid w:val="00861123"/>
    <w:rsid w:val="00874B81"/>
    <w:rsid w:val="00882B0C"/>
    <w:rsid w:val="0089084F"/>
    <w:rsid w:val="008920A1"/>
    <w:rsid w:val="008A206C"/>
    <w:rsid w:val="008B6554"/>
    <w:rsid w:val="008C1C12"/>
    <w:rsid w:val="008C2952"/>
    <w:rsid w:val="008C4D32"/>
    <w:rsid w:val="008D1B45"/>
    <w:rsid w:val="008D212F"/>
    <w:rsid w:val="008D5954"/>
    <w:rsid w:val="008D7393"/>
    <w:rsid w:val="008E73C4"/>
    <w:rsid w:val="0090305F"/>
    <w:rsid w:val="00915A19"/>
    <w:rsid w:val="00921E43"/>
    <w:rsid w:val="0093293E"/>
    <w:rsid w:val="00933789"/>
    <w:rsid w:val="00947B7C"/>
    <w:rsid w:val="009506EE"/>
    <w:rsid w:val="0096181A"/>
    <w:rsid w:val="00970943"/>
    <w:rsid w:val="0097257B"/>
    <w:rsid w:val="009743D9"/>
    <w:rsid w:val="00976F54"/>
    <w:rsid w:val="00996529"/>
    <w:rsid w:val="009A2AB9"/>
    <w:rsid w:val="009B127E"/>
    <w:rsid w:val="009D4B95"/>
    <w:rsid w:val="009D54E7"/>
    <w:rsid w:val="009E6883"/>
    <w:rsid w:val="009F136D"/>
    <w:rsid w:val="009F36B8"/>
    <w:rsid w:val="009F37B5"/>
    <w:rsid w:val="009F4363"/>
    <w:rsid w:val="009F56A5"/>
    <w:rsid w:val="00A01D20"/>
    <w:rsid w:val="00A06C26"/>
    <w:rsid w:val="00A12229"/>
    <w:rsid w:val="00A12E24"/>
    <w:rsid w:val="00A13C81"/>
    <w:rsid w:val="00A41AA4"/>
    <w:rsid w:val="00A44839"/>
    <w:rsid w:val="00A51A45"/>
    <w:rsid w:val="00A70529"/>
    <w:rsid w:val="00A8440E"/>
    <w:rsid w:val="00A85CA6"/>
    <w:rsid w:val="00A87C51"/>
    <w:rsid w:val="00A941E7"/>
    <w:rsid w:val="00A969B0"/>
    <w:rsid w:val="00AB5467"/>
    <w:rsid w:val="00AC15B5"/>
    <w:rsid w:val="00AC4770"/>
    <w:rsid w:val="00AC70AC"/>
    <w:rsid w:val="00AD04DB"/>
    <w:rsid w:val="00AE1B92"/>
    <w:rsid w:val="00AE267C"/>
    <w:rsid w:val="00AF0080"/>
    <w:rsid w:val="00B01F25"/>
    <w:rsid w:val="00B03A8A"/>
    <w:rsid w:val="00B1123E"/>
    <w:rsid w:val="00B11B3E"/>
    <w:rsid w:val="00B25D2C"/>
    <w:rsid w:val="00B40486"/>
    <w:rsid w:val="00B57D65"/>
    <w:rsid w:val="00B67BCD"/>
    <w:rsid w:val="00B94D92"/>
    <w:rsid w:val="00BB3B9F"/>
    <w:rsid w:val="00BC2DE7"/>
    <w:rsid w:val="00BD12DB"/>
    <w:rsid w:val="00BE49FB"/>
    <w:rsid w:val="00C0042B"/>
    <w:rsid w:val="00C119A3"/>
    <w:rsid w:val="00C3061D"/>
    <w:rsid w:val="00C5556C"/>
    <w:rsid w:val="00C57242"/>
    <w:rsid w:val="00C6171B"/>
    <w:rsid w:val="00C64D18"/>
    <w:rsid w:val="00C67F5B"/>
    <w:rsid w:val="00C87C46"/>
    <w:rsid w:val="00C91043"/>
    <w:rsid w:val="00C935AE"/>
    <w:rsid w:val="00CC0460"/>
    <w:rsid w:val="00CC6620"/>
    <w:rsid w:val="00CD231C"/>
    <w:rsid w:val="00CD524D"/>
    <w:rsid w:val="00CE31C3"/>
    <w:rsid w:val="00CF1D85"/>
    <w:rsid w:val="00D07DBE"/>
    <w:rsid w:val="00D15339"/>
    <w:rsid w:val="00D17DE4"/>
    <w:rsid w:val="00D21AB1"/>
    <w:rsid w:val="00D31626"/>
    <w:rsid w:val="00D354CC"/>
    <w:rsid w:val="00D42F33"/>
    <w:rsid w:val="00D607D5"/>
    <w:rsid w:val="00D673F3"/>
    <w:rsid w:val="00D85C02"/>
    <w:rsid w:val="00D868AE"/>
    <w:rsid w:val="00D90745"/>
    <w:rsid w:val="00D91B4E"/>
    <w:rsid w:val="00D941DE"/>
    <w:rsid w:val="00D97572"/>
    <w:rsid w:val="00DA1C5E"/>
    <w:rsid w:val="00DA2D78"/>
    <w:rsid w:val="00DB7007"/>
    <w:rsid w:val="00DD31D9"/>
    <w:rsid w:val="00DE2DD1"/>
    <w:rsid w:val="00DE4C3D"/>
    <w:rsid w:val="00DE5807"/>
    <w:rsid w:val="00DE585D"/>
    <w:rsid w:val="00DF39D9"/>
    <w:rsid w:val="00DF3F7D"/>
    <w:rsid w:val="00E055B9"/>
    <w:rsid w:val="00E111CF"/>
    <w:rsid w:val="00E35ACD"/>
    <w:rsid w:val="00E42107"/>
    <w:rsid w:val="00E44652"/>
    <w:rsid w:val="00E45CAA"/>
    <w:rsid w:val="00E763F7"/>
    <w:rsid w:val="00E878AA"/>
    <w:rsid w:val="00EA7D99"/>
    <w:rsid w:val="00EB0541"/>
    <w:rsid w:val="00EB3C6F"/>
    <w:rsid w:val="00EC5440"/>
    <w:rsid w:val="00ED5F89"/>
    <w:rsid w:val="00EE44F1"/>
    <w:rsid w:val="00EF66FB"/>
    <w:rsid w:val="00F02F10"/>
    <w:rsid w:val="00F075A7"/>
    <w:rsid w:val="00F16056"/>
    <w:rsid w:val="00F23FF1"/>
    <w:rsid w:val="00F32374"/>
    <w:rsid w:val="00F45C3E"/>
    <w:rsid w:val="00F56625"/>
    <w:rsid w:val="00F63A40"/>
    <w:rsid w:val="00F66636"/>
    <w:rsid w:val="00F729C4"/>
    <w:rsid w:val="00F744D6"/>
    <w:rsid w:val="00F76973"/>
    <w:rsid w:val="00F76BE9"/>
    <w:rsid w:val="00F81B4E"/>
    <w:rsid w:val="00F856A2"/>
    <w:rsid w:val="00F91160"/>
    <w:rsid w:val="00F94E57"/>
    <w:rsid w:val="00FA7761"/>
    <w:rsid w:val="00FB0B85"/>
    <w:rsid w:val="00FB0E82"/>
    <w:rsid w:val="00FB7EC8"/>
    <w:rsid w:val="00FC3EA4"/>
    <w:rsid w:val="00FC4BB7"/>
    <w:rsid w:val="00FC7D5C"/>
    <w:rsid w:val="00FE16B8"/>
    <w:rsid w:val="00FF10B6"/>
    <w:rsid w:val="00FF66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46D57C96"/>
  <w15:docId w15:val="{D2FDA9D6-F59F-4610-8FF4-2DBB38EA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5954"/>
    <w:pPr>
      <w:widowControl w:val="0"/>
    </w:pPr>
    <w:rPr>
      <w:rFonts w:eastAsia="標楷體"/>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59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5954"/>
    <w:pPr>
      <w:ind w:leftChars="200" w:left="480"/>
    </w:pPr>
  </w:style>
  <w:style w:type="paragraph" w:styleId="a5">
    <w:name w:val="Plain Text"/>
    <w:basedOn w:val="a"/>
    <w:link w:val="a6"/>
    <w:unhideWhenUsed/>
    <w:rsid w:val="008D5954"/>
    <w:pPr>
      <w:widowControl/>
    </w:pPr>
    <w:rPr>
      <w:rFonts w:ascii="細明體" w:eastAsia="細明體" w:hAnsi="細明體" w:cs="Times New Roman"/>
      <w:kern w:val="0"/>
      <w:sz w:val="24"/>
      <w:szCs w:val="24"/>
    </w:rPr>
  </w:style>
  <w:style w:type="character" w:customStyle="1" w:styleId="a6">
    <w:name w:val="純文字 字元"/>
    <w:basedOn w:val="a0"/>
    <w:link w:val="a5"/>
    <w:rsid w:val="008D5954"/>
    <w:rPr>
      <w:rFonts w:ascii="細明體" w:eastAsia="細明體" w:hAnsi="細明體" w:cs="Times New Roman"/>
      <w:kern w:val="0"/>
      <w:szCs w:val="24"/>
    </w:rPr>
  </w:style>
  <w:style w:type="paragraph" w:customStyle="1" w:styleId="Default">
    <w:name w:val="Default"/>
    <w:basedOn w:val="a"/>
    <w:rsid w:val="008D5954"/>
    <w:pPr>
      <w:widowControl/>
      <w:autoSpaceDE w:val="0"/>
      <w:autoSpaceDN w:val="0"/>
    </w:pPr>
    <w:rPr>
      <w:rFonts w:ascii="標楷體" w:hAnsi="標楷體" w:cs="SimSun"/>
      <w:color w:val="000000"/>
      <w:kern w:val="0"/>
      <w:sz w:val="24"/>
      <w:szCs w:val="24"/>
      <w:lang w:eastAsia="zh-CN"/>
    </w:rPr>
  </w:style>
  <w:style w:type="paragraph" w:styleId="a7">
    <w:name w:val="header"/>
    <w:basedOn w:val="a"/>
    <w:link w:val="a8"/>
    <w:uiPriority w:val="99"/>
    <w:unhideWhenUsed/>
    <w:rsid w:val="009D4B95"/>
    <w:pPr>
      <w:tabs>
        <w:tab w:val="center" w:pos="4153"/>
        <w:tab w:val="right" w:pos="8306"/>
      </w:tabs>
      <w:snapToGrid w:val="0"/>
    </w:pPr>
    <w:rPr>
      <w:sz w:val="20"/>
      <w:szCs w:val="20"/>
    </w:rPr>
  </w:style>
  <w:style w:type="character" w:customStyle="1" w:styleId="a8">
    <w:name w:val="頁首 字元"/>
    <w:basedOn w:val="a0"/>
    <w:link w:val="a7"/>
    <w:uiPriority w:val="99"/>
    <w:rsid w:val="009D4B95"/>
    <w:rPr>
      <w:rFonts w:eastAsia="標楷體"/>
      <w:sz w:val="20"/>
      <w:szCs w:val="20"/>
    </w:rPr>
  </w:style>
  <w:style w:type="paragraph" w:styleId="a9">
    <w:name w:val="footer"/>
    <w:basedOn w:val="a"/>
    <w:link w:val="aa"/>
    <w:uiPriority w:val="99"/>
    <w:unhideWhenUsed/>
    <w:rsid w:val="009D4B95"/>
    <w:pPr>
      <w:tabs>
        <w:tab w:val="center" w:pos="4153"/>
        <w:tab w:val="right" w:pos="8306"/>
      </w:tabs>
      <w:snapToGrid w:val="0"/>
    </w:pPr>
    <w:rPr>
      <w:sz w:val="20"/>
      <w:szCs w:val="20"/>
    </w:rPr>
  </w:style>
  <w:style w:type="character" w:customStyle="1" w:styleId="aa">
    <w:name w:val="頁尾 字元"/>
    <w:basedOn w:val="a0"/>
    <w:link w:val="a9"/>
    <w:uiPriority w:val="99"/>
    <w:rsid w:val="009D4B95"/>
    <w:rPr>
      <w:rFonts w:eastAsia="標楷體"/>
      <w:sz w:val="20"/>
      <w:szCs w:val="20"/>
    </w:rPr>
  </w:style>
  <w:style w:type="paragraph" w:styleId="HTML">
    <w:name w:val="HTML Preformatted"/>
    <w:basedOn w:val="a"/>
    <w:link w:val="HTML0"/>
    <w:uiPriority w:val="99"/>
    <w:semiHidden/>
    <w:unhideWhenUsed/>
    <w:rsid w:val="00DF3F7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0"/>
    <w:link w:val="HTML"/>
    <w:uiPriority w:val="99"/>
    <w:semiHidden/>
    <w:rsid w:val="00DF3F7D"/>
    <w:rPr>
      <w:rFonts w:ascii="細明體" w:eastAsia="細明體" w:hAnsi="細明體" w:cs="細明體"/>
      <w:kern w:val="0"/>
      <w:szCs w:val="24"/>
    </w:rPr>
  </w:style>
  <w:style w:type="character" w:styleId="ab">
    <w:name w:val="Hyperlink"/>
    <w:basedOn w:val="a0"/>
    <w:uiPriority w:val="99"/>
    <w:unhideWhenUsed/>
    <w:rsid w:val="00173B2A"/>
    <w:rPr>
      <w:color w:val="0000FF" w:themeColor="hyperlink"/>
      <w:u w:val="single"/>
    </w:rPr>
  </w:style>
  <w:style w:type="paragraph" w:styleId="ac">
    <w:name w:val="Balloon Text"/>
    <w:basedOn w:val="a"/>
    <w:link w:val="ad"/>
    <w:uiPriority w:val="99"/>
    <w:semiHidden/>
    <w:unhideWhenUsed/>
    <w:rsid w:val="006F44C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6F44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600359">
      <w:bodyDiv w:val="1"/>
      <w:marLeft w:val="0"/>
      <w:marRight w:val="0"/>
      <w:marTop w:val="0"/>
      <w:marBottom w:val="0"/>
      <w:divBdr>
        <w:top w:val="none" w:sz="0" w:space="0" w:color="auto"/>
        <w:left w:val="none" w:sz="0" w:space="0" w:color="auto"/>
        <w:bottom w:val="none" w:sz="0" w:space="0" w:color="auto"/>
        <w:right w:val="none" w:sz="0" w:space="0" w:color="auto"/>
      </w:divBdr>
    </w:div>
    <w:div w:id="1308630782">
      <w:bodyDiv w:val="1"/>
      <w:marLeft w:val="0"/>
      <w:marRight w:val="0"/>
      <w:marTop w:val="0"/>
      <w:marBottom w:val="0"/>
      <w:divBdr>
        <w:top w:val="none" w:sz="0" w:space="0" w:color="auto"/>
        <w:left w:val="none" w:sz="0" w:space="0" w:color="auto"/>
        <w:bottom w:val="none" w:sz="0" w:space="0" w:color="auto"/>
        <w:right w:val="none" w:sz="0" w:space="0" w:color="auto"/>
      </w:divBdr>
    </w:div>
    <w:div w:id="173889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D4474-3BAD-47D7-AFA8-80C4CBFE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304</Words>
  <Characters>1737</Characters>
  <Application>Microsoft Office Word</Application>
  <DocSecurity>0</DocSecurity>
  <Lines>14</Lines>
  <Paragraphs>4</Paragraphs>
  <ScaleCrop>false</ScaleCrop>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投信投顧公會 林采蓉</dc:creator>
  <cp:lastModifiedBy>投信投顧公會 陳曉薇</cp:lastModifiedBy>
  <cp:revision>3</cp:revision>
  <cp:lastPrinted>2019-01-11T08:02:00Z</cp:lastPrinted>
  <dcterms:created xsi:type="dcterms:W3CDTF">2020-07-03T02:13:00Z</dcterms:created>
  <dcterms:modified xsi:type="dcterms:W3CDTF">2020-07-07T02:35:00Z</dcterms:modified>
</cp:coreProperties>
</file>