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751" w:rsidRPr="00712627" w:rsidRDefault="00F23D6D" w:rsidP="00C66751">
      <w:pPr>
        <w:pStyle w:val="a3"/>
        <w:snapToGrid w:val="0"/>
        <w:spacing w:line="500" w:lineRule="exact"/>
        <w:jc w:val="center"/>
        <w:rPr>
          <w:rFonts w:ascii="Times New Roman" w:eastAsia="標楷體" w:hAnsi="標楷體"/>
          <w:b/>
          <w:bCs/>
          <w:sz w:val="36"/>
          <w:szCs w:val="36"/>
        </w:rPr>
      </w:pPr>
      <w:r>
        <w:rPr>
          <w:rFonts w:ascii="標楷體" w:eastAsia="標楷體" w:hAnsi="標楷體"/>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436.75pt;margin-top:-26.1pt;width:43.15pt;height:21pt;z-index:251658240;mso-width-relative:margin;mso-height-relative:margin" strokeweight=".5pt">
            <v:textbox style="mso-next-textbox:#_x0000_s1026">
              <w:txbxContent>
                <w:p w:rsidR="00375B00" w:rsidRPr="008C540C" w:rsidRDefault="00375B00" w:rsidP="00375B00">
                  <w:pPr>
                    <w:snapToGrid w:val="0"/>
                    <w:rPr>
                      <w:rFonts w:ascii="標楷體" w:eastAsia="標楷體" w:hAnsi="標楷體"/>
                    </w:rPr>
                  </w:pPr>
                  <w:r w:rsidRPr="008C540C">
                    <w:rPr>
                      <w:rFonts w:ascii="標楷體" w:eastAsia="標楷體" w:hAnsi="標楷體" w:hint="eastAsia"/>
                    </w:rPr>
                    <w:t>附件</w:t>
                  </w:r>
                </w:p>
              </w:txbxContent>
            </v:textbox>
          </v:shape>
        </w:pict>
      </w:r>
      <w:r w:rsidR="001F116E" w:rsidRPr="00712627">
        <w:rPr>
          <w:rFonts w:ascii="標楷體" w:eastAsia="標楷體" w:hAnsi="標楷體" w:hint="eastAsia"/>
          <w:b/>
          <w:sz w:val="28"/>
          <w:szCs w:val="28"/>
        </w:rPr>
        <w:t>證券投資信託事業證券投資顧問事業</w:t>
      </w:r>
      <w:r w:rsidR="00375B00" w:rsidRPr="00712627">
        <w:rPr>
          <w:rFonts w:ascii="標楷體" w:eastAsia="標楷體" w:hAnsi="標楷體"/>
          <w:b/>
          <w:sz w:val="28"/>
          <w:szCs w:val="28"/>
        </w:rPr>
        <w:br/>
      </w:r>
      <w:r w:rsidR="001F116E" w:rsidRPr="00712627">
        <w:rPr>
          <w:rFonts w:ascii="標楷體" w:eastAsia="標楷體" w:hAnsi="標楷體" w:hint="eastAsia"/>
          <w:b/>
          <w:sz w:val="28"/>
          <w:szCs w:val="28"/>
        </w:rPr>
        <w:t>評估洗錢及資恐風險及訂定相關防制計畫指引</w:t>
      </w:r>
    </w:p>
    <w:p w:rsidR="005F09A6" w:rsidRPr="00712627" w:rsidRDefault="005F09A6" w:rsidP="00C66751">
      <w:pPr>
        <w:pStyle w:val="a3"/>
        <w:snapToGrid w:val="0"/>
        <w:ind w:rightChars="35" w:right="84"/>
        <w:rPr>
          <w:rFonts w:ascii="Times New Roman" w:eastAsia="標楷體" w:hAnsi="Times New Roman"/>
          <w:spacing w:val="24"/>
          <w:sz w:val="20"/>
          <w:szCs w:val="20"/>
        </w:rPr>
      </w:pPr>
    </w:p>
    <w:p w:rsidR="00590D92" w:rsidRPr="00712627" w:rsidRDefault="00590D92" w:rsidP="00C66751">
      <w:pPr>
        <w:pStyle w:val="a3"/>
        <w:snapToGrid w:val="0"/>
        <w:ind w:rightChars="35" w:right="84"/>
        <w:rPr>
          <w:rFonts w:ascii="Times New Roman" w:eastAsia="標楷體" w:hAnsi="Times New Roman"/>
          <w:spacing w:val="24"/>
          <w:sz w:val="20"/>
          <w:szCs w:val="20"/>
        </w:rPr>
      </w:pPr>
    </w:p>
    <w:p w:rsidR="00F33DED" w:rsidRPr="00712627" w:rsidRDefault="00F33DED" w:rsidP="00F33DED">
      <w:pPr>
        <w:spacing w:beforeLines="25" w:before="90" w:afterLines="25" w:after="90" w:line="240" w:lineRule="exact"/>
        <w:ind w:leftChars="1417" w:left="3401" w:firstLineChars="1347" w:firstLine="2694"/>
        <w:rPr>
          <w:rFonts w:ascii="標楷體" w:eastAsia="標楷體" w:hAnsi="標楷體"/>
          <w:color w:val="000000"/>
          <w:sz w:val="20"/>
          <w:szCs w:val="20"/>
        </w:rPr>
      </w:pPr>
      <w:r w:rsidRPr="00712627">
        <w:rPr>
          <w:rFonts w:ascii="標楷體" w:eastAsia="標楷體" w:hAnsi="標楷體"/>
          <w:color w:val="000000"/>
          <w:sz w:val="20"/>
          <w:szCs w:val="20"/>
        </w:rPr>
        <w:t>金融監督管理委員會108年</w:t>
      </w:r>
      <w:r w:rsidRPr="00712627">
        <w:rPr>
          <w:rFonts w:ascii="標楷體" w:eastAsia="標楷體" w:hAnsi="標楷體" w:hint="eastAsia"/>
          <w:color w:val="000000"/>
          <w:sz w:val="20"/>
          <w:szCs w:val="20"/>
        </w:rPr>
        <w:t>1</w:t>
      </w:r>
      <w:r w:rsidRPr="00712627">
        <w:rPr>
          <w:rFonts w:ascii="標楷體" w:eastAsia="標楷體" w:hAnsi="標楷體"/>
          <w:color w:val="000000"/>
          <w:sz w:val="20"/>
          <w:szCs w:val="20"/>
        </w:rPr>
        <w:t>0月</w:t>
      </w:r>
      <w:r w:rsidRPr="00712627">
        <w:rPr>
          <w:rFonts w:ascii="標楷體" w:eastAsia="標楷體" w:hAnsi="標楷體" w:hint="eastAsia"/>
          <w:color w:val="000000"/>
          <w:sz w:val="20"/>
          <w:szCs w:val="20"/>
        </w:rPr>
        <w:t>5</w:t>
      </w:r>
      <w:r w:rsidRPr="00712627">
        <w:rPr>
          <w:rFonts w:ascii="標楷體" w:eastAsia="標楷體" w:hAnsi="標楷體"/>
          <w:color w:val="000000"/>
          <w:sz w:val="20"/>
          <w:szCs w:val="20"/>
        </w:rPr>
        <w:t>日</w:t>
      </w:r>
    </w:p>
    <w:p w:rsidR="00F33DED" w:rsidRPr="00712627" w:rsidRDefault="00F33DED" w:rsidP="00F33DED">
      <w:pPr>
        <w:spacing w:beforeLines="25" w:before="90" w:afterLines="25" w:after="90" w:line="240" w:lineRule="exact"/>
        <w:ind w:leftChars="1417" w:left="3401" w:firstLineChars="1347" w:firstLine="2694"/>
        <w:rPr>
          <w:rFonts w:ascii="標楷體" w:eastAsia="標楷體" w:hAnsi="標楷體"/>
          <w:b/>
          <w:color w:val="000000"/>
          <w:sz w:val="28"/>
          <w:szCs w:val="28"/>
        </w:rPr>
      </w:pPr>
      <w:r w:rsidRPr="00712627">
        <w:rPr>
          <w:rFonts w:ascii="標楷體" w:eastAsia="標楷體" w:hAnsi="標楷體" w:hint="eastAsia"/>
          <w:sz w:val="20"/>
          <w:szCs w:val="20"/>
        </w:rPr>
        <w:t>金管證投字第</w:t>
      </w:r>
      <w:r w:rsidRPr="00712627">
        <w:rPr>
          <w:rFonts w:ascii="標楷體" w:eastAsia="標楷體" w:hAnsi="標楷體"/>
          <w:sz w:val="20"/>
          <w:szCs w:val="20"/>
        </w:rPr>
        <w:t>1080133653</w:t>
      </w:r>
      <w:r w:rsidRPr="00712627">
        <w:rPr>
          <w:rFonts w:ascii="標楷體" w:eastAsia="標楷體" w:hAnsi="標楷體" w:hint="eastAsia"/>
          <w:sz w:val="20"/>
          <w:szCs w:val="20"/>
        </w:rPr>
        <w:t>號函同意備查</w:t>
      </w:r>
    </w:p>
    <w:p w:rsidR="001F116E" w:rsidRPr="00712627" w:rsidRDefault="001F116E" w:rsidP="00C66751">
      <w:pPr>
        <w:pStyle w:val="a3"/>
        <w:snapToGrid w:val="0"/>
        <w:ind w:rightChars="35" w:right="84"/>
        <w:rPr>
          <w:rFonts w:ascii="Times New Roman" w:eastAsia="標楷體" w:hAnsi="Times New Roman"/>
          <w:spacing w:val="24"/>
          <w:sz w:val="20"/>
          <w:szCs w:val="20"/>
        </w:rPr>
      </w:pPr>
    </w:p>
    <w:p w:rsidR="00EA28F3" w:rsidRPr="000366CA" w:rsidRDefault="009A097A" w:rsidP="00590535">
      <w:pPr>
        <w:pStyle w:val="a3"/>
        <w:numPr>
          <w:ilvl w:val="0"/>
          <w:numId w:val="14"/>
        </w:numPr>
        <w:snapToGrid w:val="0"/>
        <w:spacing w:line="500" w:lineRule="exact"/>
        <w:ind w:left="567" w:hanging="567"/>
        <w:jc w:val="both"/>
        <w:rPr>
          <w:rFonts w:ascii="Times New Roman" w:eastAsia="標楷體" w:hAnsi="Times New Roman"/>
          <w:color w:val="000000" w:themeColor="text1"/>
          <w:sz w:val="28"/>
          <w:szCs w:val="28"/>
        </w:rPr>
      </w:pPr>
      <w:r w:rsidRPr="000366CA">
        <w:rPr>
          <w:rFonts w:ascii="標楷體" w:eastAsia="標楷體" w:hAnsi="標楷體" w:hint="eastAsia"/>
          <w:color w:val="000000" w:themeColor="text1"/>
          <w:sz w:val="28"/>
          <w:szCs w:val="28"/>
        </w:rPr>
        <w:t>本指引依「</w:t>
      </w:r>
      <w:r w:rsidRPr="00F23D6D">
        <w:rPr>
          <w:rFonts w:ascii="標楷體" w:eastAsia="標楷體" w:hAnsi="標楷體" w:hint="eastAsia"/>
          <w:bCs/>
          <w:color w:val="FF0000"/>
          <w:sz w:val="28"/>
          <w:szCs w:val="28"/>
          <w:u w:val="single"/>
        </w:rPr>
        <w:t>證券期貨業及其他經金融監督管理委員會指定之金融機構防制洗錢及打擊資恐內部控制與稽核制度實施辦法</w:t>
      </w:r>
      <w:r w:rsidRPr="000366CA">
        <w:rPr>
          <w:rFonts w:ascii="標楷體" w:eastAsia="標楷體" w:hAnsi="標楷體" w:hint="eastAsia"/>
          <w:color w:val="000000" w:themeColor="text1"/>
          <w:sz w:val="28"/>
          <w:szCs w:val="28"/>
        </w:rPr>
        <w:t>」訂定，以防制洗錢及打擊資恐為目的，內容涵括我國證券投資信託事業暨證券投資顧問事業（以下簡稱事業）如何辨識、評估</w:t>
      </w:r>
      <w:bookmarkStart w:id="0" w:name="_GoBack"/>
      <w:r w:rsidRPr="00F23D6D">
        <w:rPr>
          <w:rFonts w:ascii="標楷體" w:eastAsia="標楷體" w:hAnsi="標楷體" w:hint="eastAsia"/>
          <w:color w:val="FF0000"/>
          <w:sz w:val="28"/>
          <w:szCs w:val="28"/>
          <w:u w:val="single"/>
        </w:rPr>
        <w:t>各項業務</w:t>
      </w:r>
      <w:bookmarkEnd w:id="0"/>
      <w:r w:rsidRPr="000366CA">
        <w:rPr>
          <w:rFonts w:ascii="標楷體" w:eastAsia="標楷體" w:hAnsi="標楷體" w:hint="eastAsia"/>
          <w:color w:val="000000" w:themeColor="text1"/>
          <w:sz w:val="28"/>
          <w:szCs w:val="28"/>
        </w:rPr>
        <w:t>之洗錢及資恐風險，以及制訂洗錢及資恐風險防制相關之政策、程序及控管等面向，作為執行方法之依據</w:t>
      </w:r>
      <w:r w:rsidR="00673C02" w:rsidRPr="000366CA">
        <w:rPr>
          <w:rFonts w:ascii="Times New Roman" w:eastAsia="標楷體" w:hAnsi="標楷體"/>
          <w:color w:val="000000" w:themeColor="text1"/>
          <w:sz w:val="28"/>
          <w:szCs w:val="28"/>
        </w:rPr>
        <w:t>。</w:t>
      </w:r>
    </w:p>
    <w:p w:rsidR="00673C02" w:rsidRPr="00712627" w:rsidRDefault="00673C02" w:rsidP="00673C02">
      <w:pPr>
        <w:pStyle w:val="a3"/>
        <w:snapToGrid w:val="0"/>
        <w:spacing w:line="500" w:lineRule="exact"/>
        <w:ind w:left="482"/>
        <w:jc w:val="both"/>
        <w:rPr>
          <w:rFonts w:ascii="Times New Roman" w:eastAsia="標楷體" w:hAnsi="Times New Roman"/>
          <w:sz w:val="28"/>
          <w:szCs w:val="28"/>
        </w:rPr>
      </w:pPr>
    </w:p>
    <w:p w:rsidR="0060637B" w:rsidRPr="00712627" w:rsidRDefault="001F116E" w:rsidP="0060637B">
      <w:pPr>
        <w:pStyle w:val="a3"/>
        <w:numPr>
          <w:ilvl w:val="0"/>
          <w:numId w:val="14"/>
        </w:numPr>
        <w:snapToGrid w:val="0"/>
        <w:spacing w:line="500" w:lineRule="exact"/>
        <w:ind w:left="567" w:hanging="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事業之內部控制制度，應經董事會通過；修正時，亦同。其內容並應包括對洗錢與資恐風險進行辨識、評估、管理之相關書面政策及程序，以及依據風險評估結果而訂定之防制洗錢及打擊資恐計畫，並定期檢討</w:t>
      </w:r>
      <w:r w:rsidR="00673C02" w:rsidRPr="00712627">
        <w:rPr>
          <w:rFonts w:ascii="Times New Roman" w:eastAsia="標楷體" w:hAnsi="標楷體" w:hint="eastAsia"/>
          <w:color w:val="0D0D0D"/>
          <w:sz w:val="28"/>
          <w:szCs w:val="28"/>
        </w:rPr>
        <w:t>。</w:t>
      </w:r>
    </w:p>
    <w:p w:rsidR="00673C02" w:rsidRPr="00712627" w:rsidRDefault="001F116E" w:rsidP="0060637B">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風險基礎方法（</w:t>
      </w:r>
      <w:r w:rsidRPr="00712627">
        <w:rPr>
          <w:rFonts w:ascii="標楷體" w:eastAsia="標楷體" w:hAnsi="標楷體"/>
          <w:color w:val="000000" w:themeColor="text1"/>
          <w:sz w:val="28"/>
          <w:szCs w:val="28"/>
        </w:rPr>
        <w:t>risk-based approach</w:t>
      </w:r>
      <w:r w:rsidRPr="00712627">
        <w:rPr>
          <w:rFonts w:ascii="標楷體" w:eastAsia="標楷體" w:hAnsi="標楷體" w:hint="eastAsia"/>
          <w:color w:val="000000" w:themeColor="text1"/>
          <w:sz w:val="28"/>
          <w:szCs w:val="28"/>
        </w:rPr>
        <w:t>）</w:t>
      </w:r>
      <w:r w:rsidRPr="00712627">
        <w:rPr>
          <w:rFonts w:ascii="標楷體" w:eastAsia="標楷體" w:hAnsi="標楷體"/>
          <w:color w:val="000000" w:themeColor="text1"/>
          <w:sz w:val="28"/>
          <w:szCs w:val="28"/>
        </w:rPr>
        <w:t>旨在</w:t>
      </w:r>
      <w:r w:rsidRPr="00712627">
        <w:rPr>
          <w:rFonts w:ascii="標楷體" w:eastAsia="標楷體" w:hAnsi="標楷體" w:hint="eastAsia"/>
          <w:color w:val="000000" w:themeColor="text1"/>
          <w:sz w:val="28"/>
          <w:szCs w:val="28"/>
        </w:rPr>
        <w:t>協助</w:t>
      </w:r>
      <w:r w:rsidRPr="00712627">
        <w:rPr>
          <w:rFonts w:ascii="標楷體" w:eastAsia="標楷體" w:hAnsi="標楷體"/>
          <w:color w:val="000000" w:themeColor="text1"/>
          <w:sz w:val="28"/>
          <w:szCs w:val="28"/>
        </w:rPr>
        <w:t>發展與洗錢</w:t>
      </w:r>
      <w:r w:rsidRPr="00712627">
        <w:rPr>
          <w:rFonts w:ascii="標楷體" w:eastAsia="標楷體" w:hAnsi="標楷體" w:hint="eastAsia"/>
          <w:color w:val="000000" w:themeColor="text1"/>
          <w:sz w:val="28"/>
          <w:szCs w:val="28"/>
        </w:rPr>
        <w:t>及</w:t>
      </w:r>
      <w:r w:rsidRPr="00712627">
        <w:rPr>
          <w:rFonts w:ascii="標楷體" w:eastAsia="標楷體" w:hAnsi="標楷體"/>
          <w:color w:val="000000" w:themeColor="text1"/>
          <w:sz w:val="28"/>
          <w:szCs w:val="28"/>
        </w:rPr>
        <w:t>資恐風險相當之防制與抵減措施</w:t>
      </w:r>
      <w:r w:rsidRPr="00712627">
        <w:rPr>
          <w:rFonts w:ascii="標楷體" w:eastAsia="標楷體" w:hAnsi="標楷體" w:hint="eastAsia"/>
          <w:color w:val="000000" w:themeColor="text1"/>
          <w:sz w:val="28"/>
          <w:szCs w:val="28"/>
        </w:rPr>
        <w:t>，以利事業決定其防制洗錢及打擊資恐資源之配置、建置其內部控制制度、以及訂定和執行防制洗錢及打擊資恐計畫應有之政策、程序及控管措施</w:t>
      </w:r>
      <w:r w:rsidR="00673C02" w:rsidRPr="00712627">
        <w:rPr>
          <w:rFonts w:ascii="Times New Roman" w:eastAsia="標楷體" w:hAnsi="標楷體"/>
          <w:color w:val="0D0D0D"/>
          <w:sz w:val="28"/>
          <w:szCs w:val="28"/>
        </w:rPr>
        <w:t>。</w:t>
      </w:r>
    </w:p>
    <w:p w:rsidR="00376730" w:rsidRPr="00712627" w:rsidRDefault="001F116E" w:rsidP="0060637B">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事業業務具多樣性，不同業務伴隨之洗錢及資恐風險亦有所不同，事業於評估與抵減其洗錢及資恐曝險時，應將業務差異性納入考量</w:t>
      </w:r>
      <w:r w:rsidR="00376730" w:rsidRPr="00712627">
        <w:rPr>
          <w:rFonts w:ascii="Times New Roman" w:eastAsia="標楷體" w:hAnsi="標楷體"/>
          <w:color w:val="0D0D0D"/>
          <w:sz w:val="28"/>
          <w:szCs w:val="28"/>
        </w:rPr>
        <w:t>。</w:t>
      </w:r>
    </w:p>
    <w:p w:rsidR="00376730" w:rsidRPr="00712627" w:rsidDel="00AF1F29" w:rsidRDefault="001F116E" w:rsidP="0060637B">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本指引所舉例之各項說明並非強制性規範，事業之風險評估機制應與其業務性質及規模相當，對較小型或業務單純之事業，簡單之風險評估即足夠；惟對於產品與服務較複雜之事業、有多家分公司(或子公司)提供廣泛多樣之產品、或其客戶群較多元者，則需進行較高度的風險評估程序</w:t>
      </w:r>
      <w:r w:rsidR="00376730" w:rsidRPr="00712627" w:rsidDel="00AF1F29">
        <w:rPr>
          <w:rFonts w:ascii="Times New Roman" w:eastAsia="標楷體" w:hAnsi="標楷體"/>
          <w:color w:val="0D0D0D"/>
          <w:sz w:val="28"/>
          <w:szCs w:val="28"/>
        </w:rPr>
        <w:t>。</w:t>
      </w:r>
    </w:p>
    <w:p w:rsidR="00376730" w:rsidRPr="00712627" w:rsidRDefault="00376730" w:rsidP="00376730">
      <w:pPr>
        <w:pStyle w:val="a3"/>
        <w:snapToGrid w:val="0"/>
        <w:spacing w:line="500" w:lineRule="exact"/>
        <w:ind w:left="482"/>
        <w:jc w:val="both"/>
        <w:rPr>
          <w:rFonts w:ascii="Times New Roman" w:eastAsia="標楷體" w:hAnsi="Times New Roman"/>
          <w:sz w:val="28"/>
          <w:szCs w:val="28"/>
        </w:rPr>
      </w:pPr>
    </w:p>
    <w:p w:rsidR="00376730" w:rsidRPr="00712627" w:rsidRDefault="001F116E" w:rsidP="004F7F89">
      <w:pPr>
        <w:pStyle w:val="a3"/>
        <w:numPr>
          <w:ilvl w:val="0"/>
          <w:numId w:val="14"/>
        </w:numPr>
        <w:snapToGrid w:val="0"/>
        <w:spacing w:line="500" w:lineRule="exact"/>
        <w:ind w:left="567" w:hanging="567"/>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事業應採取合宜措施以識別、評估其洗錢及資恐風險，並依據所辨識之風險訂定具體的風險評估項目，以進一步管控、降低或預防該風險</w:t>
      </w:r>
      <w:r w:rsidR="00376730" w:rsidRPr="00712627">
        <w:rPr>
          <w:rFonts w:ascii="Times New Roman" w:eastAsia="標楷體" w:hAnsi="標楷體" w:hint="eastAsia"/>
          <w:color w:val="0D0D0D"/>
          <w:sz w:val="28"/>
          <w:szCs w:val="28"/>
        </w:rPr>
        <w:t>。</w:t>
      </w:r>
    </w:p>
    <w:p w:rsidR="00376730" w:rsidRPr="00712627" w:rsidRDefault="001F116E" w:rsidP="00E40DA7">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具體的風險評估項目應至少包括地域、客戶、產品及服務、交易或支付管道等面向，並應進一步分析各風險項目，以訂定細部的風險因素。</w:t>
      </w:r>
      <w:r w:rsidR="00376730" w:rsidRPr="00712627">
        <w:rPr>
          <w:rFonts w:ascii="Times New Roman" w:eastAsia="標楷體" w:hAnsi="標楷體" w:hint="eastAsia"/>
          <w:color w:val="0D0D0D"/>
          <w:sz w:val="28"/>
          <w:szCs w:val="28"/>
        </w:rPr>
        <w:t>。</w:t>
      </w:r>
    </w:p>
    <w:p w:rsidR="00376730" w:rsidRPr="00712627" w:rsidRDefault="00376730" w:rsidP="00376730">
      <w:pPr>
        <w:pStyle w:val="a3"/>
        <w:numPr>
          <w:ilvl w:val="0"/>
          <w:numId w:val="1"/>
        </w:numPr>
        <w:snapToGrid w:val="0"/>
        <w:spacing w:line="500" w:lineRule="exact"/>
        <w:ind w:left="1134" w:hanging="567"/>
        <w:jc w:val="both"/>
        <w:rPr>
          <w:rFonts w:ascii="Times New Roman" w:eastAsia="標楷體" w:hAnsi="標楷體"/>
          <w:sz w:val="28"/>
          <w:szCs w:val="28"/>
        </w:rPr>
      </w:pPr>
      <w:r w:rsidRPr="00712627">
        <w:rPr>
          <w:rFonts w:ascii="Times New Roman" w:eastAsia="標楷體" w:hAnsi="標楷體" w:hint="eastAsia"/>
          <w:color w:val="0D0D0D"/>
          <w:sz w:val="28"/>
          <w:szCs w:val="28"/>
        </w:rPr>
        <w:lastRenderedPageBreak/>
        <w:t>地域風險：</w:t>
      </w:r>
    </w:p>
    <w:p w:rsidR="00376730" w:rsidRPr="00712627" w:rsidRDefault="001F116E" w:rsidP="00376730">
      <w:pPr>
        <w:pStyle w:val="a3"/>
        <w:numPr>
          <w:ilvl w:val="0"/>
          <w:numId w:val="2"/>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事業應識別其具較高洗錢及資恐風險的區域</w:t>
      </w:r>
      <w:r w:rsidR="00376730" w:rsidRPr="00712627">
        <w:rPr>
          <w:rFonts w:ascii="Times New Roman" w:eastAsia="標楷體" w:hAnsi="標楷體" w:hint="eastAsia"/>
          <w:color w:val="0D0D0D"/>
          <w:sz w:val="28"/>
          <w:szCs w:val="28"/>
        </w:rPr>
        <w:t>。</w:t>
      </w:r>
    </w:p>
    <w:p w:rsidR="00376730" w:rsidRPr="00712627" w:rsidRDefault="001F116E" w:rsidP="00376730">
      <w:pPr>
        <w:pStyle w:val="a3"/>
        <w:numPr>
          <w:ilvl w:val="0"/>
          <w:numId w:val="2"/>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於訂定高洗錢及資恐風險之區域名單時，事業得依據其各分公司(或子公司)的實務經驗，並考量個別需求，以選擇適用之風險因素</w:t>
      </w:r>
      <w:r w:rsidR="00376730" w:rsidRPr="00712627">
        <w:rPr>
          <w:rFonts w:ascii="Times New Roman" w:eastAsia="標楷體" w:hAnsi="標楷體" w:hint="eastAsia"/>
          <w:color w:val="0D0D0D"/>
          <w:sz w:val="28"/>
          <w:szCs w:val="28"/>
        </w:rPr>
        <w:t>。</w:t>
      </w:r>
    </w:p>
    <w:p w:rsidR="00376730" w:rsidRPr="00712627" w:rsidRDefault="00376730" w:rsidP="00376730">
      <w:pPr>
        <w:pStyle w:val="a3"/>
        <w:numPr>
          <w:ilvl w:val="0"/>
          <w:numId w:val="1"/>
        </w:numPr>
        <w:snapToGrid w:val="0"/>
        <w:spacing w:line="500" w:lineRule="exact"/>
        <w:ind w:left="1134" w:hanging="567"/>
        <w:jc w:val="both"/>
        <w:rPr>
          <w:rFonts w:ascii="Times New Roman" w:eastAsia="標楷體" w:hAnsi="標楷體"/>
          <w:sz w:val="28"/>
          <w:szCs w:val="28"/>
        </w:rPr>
      </w:pPr>
      <w:r w:rsidRPr="00712627">
        <w:rPr>
          <w:rFonts w:ascii="Times New Roman" w:eastAsia="標楷體" w:hAnsi="標楷體" w:hint="eastAsia"/>
          <w:color w:val="0D0D0D"/>
          <w:sz w:val="28"/>
          <w:szCs w:val="28"/>
        </w:rPr>
        <w:t>客戶風險：</w:t>
      </w:r>
    </w:p>
    <w:p w:rsidR="00376730" w:rsidRPr="00712627" w:rsidRDefault="001F116E" w:rsidP="00376730">
      <w:pPr>
        <w:pStyle w:val="a3"/>
        <w:numPr>
          <w:ilvl w:val="0"/>
          <w:numId w:val="15"/>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事業應綜合考量個別客戶背景、職業與社會經濟活動特性、地域、以及非自然人客戶之組織型態與架構等，以識別該客戶洗錢及資恐風險</w:t>
      </w:r>
      <w:r w:rsidR="00376730" w:rsidRPr="00712627">
        <w:rPr>
          <w:rFonts w:ascii="Times New Roman" w:eastAsia="標楷體" w:hAnsi="標楷體" w:hint="eastAsia"/>
          <w:color w:val="0D0D0D"/>
          <w:sz w:val="28"/>
          <w:szCs w:val="28"/>
        </w:rPr>
        <w:t>。</w:t>
      </w:r>
    </w:p>
    <w:p w:rsidR="00376730" w:rsidRPr="00712627" w:rsidRDefault="001F116E" w:rsidP="00376730">
      <w:pPr>
        <w:pStyle w:val="a3"/>
        <w:numPr>
          <w:ilvl w:val="0"/>
          <w:numId w:val="15"/>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於識別個別客戶風險並決定客戶風險等級時，事業得依據以下風險因素為評估依據</w:t>
      </w:r>
      <w:r w:rsidR="00376730" w:rsidRPr="00712627">
        <w:rPr>
          <w:rFonts w:ascii="Times New Roman" w:eastAsia="標楷體" w:hAnsi="標楷體" w:hint="eastAsia"/>
          <w:color w:val="0D0D0D"/>
          <w:sz w:val="28"/>
          <w:szCs w:val="28"/>
        </w:rPr>
        <w:t>：</w:t>
      </w:r>
    </w:p>
    <w:p w:rsidR="00376730" w:rsidRPr="00712627" w:rsidRDefault="001F116E" w:rsidP="008E2F76">
      <w:pPr>
        <w:pStyle w:val="a3"/>
        <w:numPr>
          <w:ilvl w:val="0"/>
          <w:numId w:val="16"/>
        </w:numPr>
        <w:snapToGrid w:val="0"/>
        <w:spacing w:line="500" w:lineRule="exact"/>
        <w:ind w:left="2069" w:hanging="510"/>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客戶之地域風險：依事業所定義之洗錢及資恐風險的區域名單，決定客戶國籍與居住國家的風險評分</w:t>
      </w:r>
      <w:r w:rsidR="00376730" w:rsidRPr="00712627">
        <w:rPr>
          <w:rFonts w:ascii="Times New Roman" w:eastAsia="標楷體" w:hAnsi="標楷體" w:hint="eastAsia"/>
          <w:color w:val="0D0D0D"/>
          <w:sz w:val="28"/>
          <w:szCs w:val="28"/>
        </w:rPr>
        <w:t>。</w:t>
      </w:r>
    </w:p>
    <w:p w:rsidR="00376730" w:rsidRPr="00712627" w:rsidRDefault="001F116E" w:rsidP="008E2F76">
      <w:pPr>
        <w:pStyle w:val="a3"/>
        <w:numPr>
          <w:ilvl w:val="0"/>
          <w:numId w:val="16"/>
        </w:numPr>
        <w:snapToGrid w:val="0"/>
        <w:spacing w:line="500" w:lineRule="exact"/>
        <w:ind w:left="2069" w:hanging="510"/>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客戶職業與行業之洗錢風險：依事業所定義之各職業與行業的洗錢風險，決定客戶職業與行業的風險評分。高風險行業如從事密集性現金交易業務、或屬易被運用於持有個人資產之公司或信託等</w:t>
      </w:r>
      <w:r w:rsidR="00376730" w:rsidRPr="00712627">
        <w:rPr>
          <w:rFonts w:ascii="Times New Roman" w:eastAsia="標楷體" w:hAnsi="標楷體" w:hint="eastAsia"/>
          <w:color w:val="0D0D0D"/>
          <w:sz w:val="28"/>
          <w:szCs w:val="28"/>
        </w:rPr>
        <w:t>。</w:t>
      </w:r>
    </w:p>
    <w:p w:rsidR="00B303DE" w:rsidRPr="00712627" w:rsidRDefault="006073D1" w:rsidP="00376730">
      <w:pPr>
        <w:pStyle w:val="a3"/>
        <w:numPr>
          <w:ilvl w:val="0"/>
          <w:numId w:val="16"/>
        </w:numPr>
        <w:snapToGrid w:val="0"/>
        <w:spacing w:line="500" w:lineRule="exact"/>
        <w:ind w:left="1985" w:hanging="371"/>
        <w:jc w:val="both"/>
        <w:rPr>
          <w:rFonts w:ascii="Times New Roman" w:eastAsia="標楷體" w:hAnsi="標楷體"/>
          <w:sz w:val="28"/>
          <w:szCs w:val="28"/>
        </w:rPr>
      </w:pPr>
      <w:r w:rsidRPr="00712627">
        <w:rPr>
          <w:rFonts w:ascii="標楷體" w:eastAsia="標楷體" w:hAnsi="標楷體" w:hint="eastAsia"/>
          <w:color w:val="0D0D0D"/>
          <w:sz w:val="28"/>
          <w:szCs w:val="28"/>
        </w:rPr>
        <w:t xml:space="preserve"> </w:t>
      </w:r>
      <w:r w:rsidR="00B303DE" w:rsidRPr="00712627">
        <w:rPr>
          <w:rFonts w:ascii="標楷體" w:eastAsia="標楷體" w:hAnsi="標楷體" w:hint="eastAsia"/>
          <w:color w:val="0D0D0D"/>
          <w:sz w:val="28"/>
          <w:szCs w:val="28"/>
        </w:rPr>
        <w:t>個人客戶之任職機構。</w:t>
      </w:r>
    </w:p>
    <w:p w:rsidR="00376730" w:rsidRPr="00712627" w:rsidRDefault="006073D1" w:rsidP="00B303DE">
      <w:pPr>
        <w:pStyle w:val="a3"/>
        <w:numPr>
          <w:ilvl w:val="0"/>
          <w:numId w:val="16"/>
        </w:numPr>
        <w:snapToGrid w:val="0"/>
        <w:spacing w:line="500" w:lineRule="exact"/>
        <w:ind w:left="1985" w:hanging="371"/>
        <w:jc w:val="both"/>
        <w:rPr>
          <w:rFonts w:ascii="Times New Roman" w:eastAsia="標楷體" w:hAnsi="標楷體"/>
          <w:sz w:val="28"/>
          <w:szCs w:val="28"/>
        </w:rPr>
      </w:pPr>
      <w:r w:rsidRPr="00712627">
        <w:rPr>
          <w:rFonts w:ascii="Times New Roman" w:eastAsia="標楷體" w:hAnsi="標楷體" w:hint="eastAsia"/>
          <w:color w:val="0D0D0D"/>
          <w:sz w:val="28"/>
          <w:szCs w:val="28"/>
        </w:rPr>
        <w:t xml:space="preserve"> </w:t>
      </w:r>
      <w:r w:rsidR="00376730" w:rsidRPr="00712627">
        <w:rPr>
          <w:rFonts w:ascii="Times New Roman" w:eastAsia="標楷體" w:hAnsi="標楷體" w:hint="eastAsia"/>
          <w:color w:val="0D0D0D"/>
          <w:sz w:val="28"/>
          <w:szCs w:val="28"/>
        </w:rPr>
        <w:t>客戶開戶與建立業務關係之管道。</w:t>
      </w:r>
    </w:p>
    <w:p w:rsidR="00B303DE" w:rsidRPr="00712627" w:rsidRDefault="001F116E" w:rsidP="001C7A1A">
      <w:pPr>
        <w:pStyle w:val="a3"/>
        <w:numPr>
          <w:ilvl w:val="0"/>
          <w:numId w:val="16"/>
        </w:numPr>
        <w:snapToGrid w:val="0"/>
        <w:spacing w:line="500" w:lineRule="exact"/>
        <w:ind w:left="1985" w:hanging="371"/>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 xml:space="preserve"> 首次建立業務關係之金額</w:t>
      </w:r>
      <w:r w:rsidR="00376730" w:rsidRPr="00712627">
        <w:rPr>
          <w:rFonts w:ascii="Times New Roman" w:eastAsia="標楷體" w:hAnsi="標楷體" w:hint="eastAsia"/>
          <w:color w:val="0D0D0D"/>
          <w:sz w:val="28"/>
          <w:szCs w:val="28"/>
        </w:rPr>
        <w:t>。</w:t>
      </w:r>
    </w:p>
    <w:p w:rsidR="00B303DE" w:rsidRPr="00712627" w:rsidRDefault="006073D1" w:rsidP="00376730">
      <w:pPr>
        <w:pStyle w:val="a3"/>
        <w:numPr>
          <w:ilvl w:val="0"/>
          <w:numId w:val="16"/>
        </w:numPr>
        <w:snapToGrid w:val="0"/>
        <w:spacing w:line="500" w:lineRule="exact"/>
        <w:ind w:left="1985" w:hanging="371"/>
        <w:jc w:val="both"/>
        <w:rPr>
          <w:rFonts w:ascii="Times New Roman" w:eastAsia="標楷體" w:hAnsi="標楷體"/>
          <w:sz w:val="28"/>
          <w:szCs w:val="28"/>
        </w:rPr>
      </w:pPr>
      <w:r w:rsidRPr="00712627">
        <w:rPr>
          <w:rFonts w:ascii="標楷體" w:eastAsia="標楷體" w:hAnsi="標楷體" w:hint="eastAsia"/>
          <w:color w:val="0D0D0D"/>
          <w:sz w:val="28"/>
          <w:szCs w:val="28"/>
        </w:rPr>
        <w:t xml:space="preserve"> </w:t>
      </w:r>
      <w:r w:rsidR="00B303DE" w:rsidRPr="00712627">
        <w:rPr>
          <w:rFonts w:ascii="標楷體" w:eastAsia="標楷體" w:hAnsi="標楷體" w:hint="eastAsia"/>
          <w:color w:val="0D0D0D"/>
          <w:sz w:val="28"/>
          <w:szCs w:val="28"/>
        </w:rPr>
        <w:t>申請往來之產品或服務。</w:t>
      </w:r>
    </w:p>
    <w:p w:rsidR="00376730" w:rsidRPr="00712627" w:rsidRDefault="00D51537" w:rsidP="006073D1">
      <w:pPr>
        <w:pStyle w:val="a3"/>
        <w:numPr>
          <w:ilvl w:val="0"/>
          <w:numId w:val="16"/>
        </w:numPr>
        <w:snapToGrid w:val="0"/>
        <w:spacing w:line="500" w:lineRule="exact"/>
        <w:ind w:left="2126" w:hanging="510"/>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客戶是否有其他高洗錢及資恐風險之表徵，</w:t>
      </w:r>
      <w:r w:rsidRPr="00712627">
        <w:rPr>
          <w:rFonts w:ascii="Times New Roman" w:eastAsia="標楷體" w:hAnsi="Times New Roman" w:hint="eastAsia"/>
          <w:color w:val="000000" w:themeColor="text1"/>
          <w:sz w:val="28"/>
          <w:szCs w:val="28"/>
        </w:rPr>
        <w:t>如客戶留存地址與公司相距過遠而無法提出合理說明者、客戶</w:t>
      </w:r>
      <w:r w:rsidRPr="00712627">
        <w:rPr>
          <w:rFonts w:ascii="標楷體" w:eastAsia="標楷體" w:hAnsi="標楷體" w:hint="eastAsia"/>
          <w:color w:val="000000" w:themeColor="text1"/>
          <w:sz w:val="28"/>
          <w:szCs w:val="28"/>
        </w:rPr>
        <w:t>為具隱名股東之公司或可發行無記名股票之公司、法人客戶之股權複雜度，如股權架構是否明顯異常或相對其業務性質過度複雜等</w:t>
      </w:r>
      <w:r w:rsidR="00376730" w:rsidRPr="00712627">
        <w:rPr>
          <w:rFonts w:ascii="Times New Roman" w:eastAsia="標楷體" w:hAnsi="標楷體" w:hint="eastAsia"/>
          <w:color w:val="0D0D0D"/>
          <w:sz w:val="28"/>
          <w:szCs w:val="28"/>
        </w:rPr>
        <w:t>。</w:t>
      </w:r>
    </w:p>
    <w:p w:rsidR="00376730" w:rsidRPr="00712627" w:rsidRDefault="00D51537" w:rsidP="00376730">
      <w:pPr>
        <w:pStyle w:val="a3"/>
        <w:numPr>
          <w:ilvl w:val="0"/>
          <w:numId w:val="1"/>
        </w:numPr>
        <w:snapToGrid w:val="0"/>
        <w:spacing w:line="500" w:lineRule="exact"/>
        <w:ind w:left="1134" w:hanging="567"/>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產品及服務、交易或支付管道風險</w:t>
      </w:r>
      <w:r w:rsidR="00376730" w:rsidRPr="00712627">
        <w:rPr>
          <w:rFonts w:ascii="Times New Roman" w:eastAsia="標楷體" w:hAnsi="標楷體" w:hint="eastAsia"/>
          <w:color w:val="0D0D0D"/>
          <w:sz w:val="28"/>
          <w:szCs w:val="28"/>
        </w:rPr>
        <w:t>：</w:t>
      </w:r>
    </w:p>
    <w:p w:rsidR="00376730" w:rsidRPr="00712627" w:rsidRDefault="00D51537" w:rsidP="00376730">
      <w:pPr>
        <w:pStyle w:val="a3"/>
        <w:numPr>
          <w:ilvl w:val="0"/>
          <w:numId w:val="17"/>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事業應依據個別產品與服務、交易或支付管道的性質，識別可能會為其帶來較高的洗錢及資恐風險者</w:t>
      </w:r>
      <w:r w:rsidR="00376730" w:rsidRPr="00712627">
        <w:rPr>
          <w:rFonts w:ascii="Times New Roman" w:eastAsia="標楷體" w:hAnsi="標楷體" w:hint="eastAsia"/>
          <w:color w:val="0D0D0D"/>
          <w:sz w:val="28"/>
          <w:szCs w:val="28"/>
        </w:rPr>
        <w:t>。</w:t>
      </w:r>
    </w:p>
    <w:p w:rsidR="00376730" w:rsidRPr="00712627" w:rsidRDefault="00D51537" w:rsidP="00376730">
      <w:pPr>
        <w:pStyle w:val="a3"/>
        <w:numPr>
          <w:ilvl w:val="0"/>
          <w:numId w:val="17"/>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事業於推出新產品或服務或辦理新種業務</w:t>
      </w:r>
      <w:r w:rsidRPr="00712627">
        <w:rPr>
          <w:rFonts w:ascii="標楷體" w:eastAsia="標楷體" w:hAnsi="標楷體"/>
          <w:color w:val="000000" w:themeColor="text1"/>
          <w:sz w:val="28"/>
          <w:szCs w:val="28"/>
        </w:rPr>
        <w:t>（</w:t>
      </w:r>
      <w:r w:rsidRPr="00712627">
        <w:rPr>
          <w:rFonts w:ascii="標楷體" w:eastAsia="標楷體" w:hAnsi="標楷體" w:hint="eastAsia"/>
          <w:color w:val="000000" w:themeColor="text1"/>
          <w:sz w:val="28"/>
          <w:szCs w:val="28"/>
        </w:rPr>
        <w:t>包括新支付機制、運</w:t>
      </w:r>
      <w:r w:rsidRPr="00712627">
        <w:rPr>
          <w:rFonts w:ascii="標楷體" w:eastAsia="標楷體" w:hAnsi="標楷體" w:hint="eastAsia"/>
          <w:color w:val="000000" w:themeColor="text1"/>
          <w:sz w:val="28"/>
          <w:szCs w:val="28"/>
        </w:rPr>
        <w:lastRenderedPageBreak/>
        <w:t>用新科技於現有或全新之產品或業務</w:t>
      </w:r>
      <w:r w:rsidRPr="00712627">
        <w:rPr>
          <w:rFonts w:ascii="標楷體" w:eastAsia="標楷體" w:hAnsi="標楷體"/>
          <w:color w:val="000000" w:themeColor="text1"/>
          <w:sz w:val="28"/>
          <w:szCs w:val="28"/>
        </w:rPr>
        <w:t>）</w:t>
      </w:r>
      <w:r w:rsidRPr="00712627">
        <w:rPr>
          <w:rFonts w:ascii="標楷體" w:eastAsia="標楷體" w:hAnsi="標楷體" w:hint="eastAsia"/>
          <w:color w:val="000000" w:themeColor="text1"/>
          <w:sz w:val="28"/>
          <w:szCs w:val="28"/>
        </w:rPr>
        <w:t>前，應進行</w:t>
      </w:r>
      <w:r w:rsidRPr="00712627">
        <w:rPr>
          <w:rFonts w:ascii="標楷體" w:eastAsia="標楷體" w:hAnsi="標楷體"/>
          <w:color w:val="000000" w:themeColor="text1"/>
          <w:sz w:val="28"/>
          <w:szCs w:val="28"/>
        </w:rPr>
        <w:t>洗錢</w:t>
      </w:r>
      <w:r w:rsidRPr="00712627">
        <w:rPr>
          <w:rFonts w:ascii="標楷體" w:eastAsia="標楷體" w:hAnsi="標楷體" w:hint="eastAsia"/>
          <w:color w:val="000000" w:themeColor="text1"/>
          <w:sz w:val="28"/>
          <w:szCs w:val="28"/>
        </w:rPr>
        <w:t>及資恐</w:t>
      </w:r>
      <w:r w:rsidRPr="00712627">
        <w:rPr>
          <w:rFonts w:ascii="標楷體" w:eastAsia="標楷體" w:hAnsi="標楷體"/>
          <w:color w:val="000000" w:themeColor="text1"/>
          <w:sz w:val="28"/>
          <w:szCs w:val="28"/>
        </w:rPr>
        <w:t>風險評估，</w:t>
      </w:r>
      <w:r w:rsidRPr="00712627">
        <w:rPr>
          <w:rFonts w:ascii="標楷體" w:eastAsia="標楷體" w:hAnsi="標楷體" w:hint="eastAsia"/>
          <w:color w:val="000000" w:themeColor="text1"/>
          <w:sz w:val="28"/>
          <w:szCs w:val="28"/>
        </w:rPr>
        <w:t>並</w:t>
      </w:r>
      <w:r w:rsidRPr="00712627">
        <w:rPr>
          <w:rFonts w:ascii="標楷體" w:eastAsia="標楷體" w:hAnsi="標楷體"/>
          <w:color w:val="000000" w:themeColor="text1"/>
          <w:sz w:val="28"/>
          <w:szCs w:val="28"/>
        </w:rPr>
        <w:t>建立相</w:t>
      </w:r>
      <w:r w:rsidRPr="00712627">
        <w:rPr>
          <w:rFonts w:ascii="標楷體" w:eastAsia="標楷體" w:hAnsi="標楷體" w:hint="eastAsia"/>
          <w:color w:val="000000" w:themeColor="text1"/>
          <w:sz w:val="28"/>
          <w:szCs w:val="28"/>
        </w:rPr>
        <w:t>應之</w:t>
      </w:r>
      <w:r w:rsidRPr="00712627">
        <w:rPr>
          <w:rFonts w:ascii="標楷體" w:eastAsia="標楷體" w:hAnsi="標楷體"/>
          <w:color w:val="000000" w:themeColor="text1"/>
          <w:sz w:val="28"/>
          <w:szCs w:val="28"/>
        </w:rPr>
        <w:t>風險管理措施</w:t>
      </w:r>
      <w:r w:rsidRPr="00712627">
        <w:rPr>
          <w:rFonts w:ascii="標楷體" w:eastAsia="標楷體" w:hAnsi="標楷體" w:hint="eastAsia"/>
          <w:color w:val="000000" w:themeColor="text1"/>
          <w:sz w:val="28"/>
          <w:szCs w:val="28"/>
        </w:rPr>
        <w:t>以降低所辨識之風險</w:t>
      </w:r>
      <w:r w:rsidR="00376730" w:rsidRPr="00712627">
        <w:rPr>
          <w:rFonts w:ascii="Times New Roman" w:eastAsia="標楷體" w:hAnsi="標楷體" w:hint="eastAsia"/>
          <w:color w:val="0D0D0D"/>
          <w:sz w:val="28"/>
          <w:szCs w:val="28"/>
        </w:rPr>
        <w:t>。</w:t>
      </w:r>
    </w:p>
    <w:p w:rsidR="00376730" w:rsidRPr="00712627" w:rsidRDefault="00D51537" w:rsidP="00376730">
      <w:pPr>
        <w:pStyle w:val="a3"/>
        <w:numPr>
          <w:ilvl w:val="0"/>
          <w:numId w:val="17"/>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個別產品與服務、交易或支付管道之風險因素舉例如下</w:t>
      </w:r>
      <w:r w:rsidR="00376730" w:rsidRPr="00712627">
        <w:rPr>
          <w:rFonts w:ascii="Times New Roman" w:eastAsia="標楷體" w:hAnsi="標楷體" w:hint="eastAsia"/>
          <w:color w:val="0D0D0D"/>
          <w:sz w:val="28"/>
          <w:szCs w:val="28"/>
        </w:rPr>
        <w:t>：</w:t>
      </w:r>
    </w:p>
    <w:p w:rsidR="00376730" w:rsidRPr="00712627" w:rsidRDefault="00D51537" w:rsidP="00376730">
      <w:pPr>
        <w:pStyle w:val="a3"/>
        <w:numPr>
          <w:ilvl w:val="0"/>
          <w:numId w:val="18"/>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是否以現金方式給付或交易</w:t>
      </w:r>
      <w:r w:rsidR="00376730" w:rsidRPr="00712627">
        <w:rPr>
          <w:rFonts w:ascii="Times New Roman" w:eastAsia="標楷體" w:hAnsi="標楷體" w:hint="eastAsia"/>
          <w:color w:val="0D0D0D"/>
          <w:sz w:val="28"/>
          <w:szCs w:val="28"/>
        </w:rPr>
        <w:t>。</w:t>
      </w:r>
    </w:p>
    <w:p w:rsidR="00376730" w:rsidRPr="00712627" w:rsidRDefault="00D51537" w:rsidP="001F2248">
      <w:pPr>
        <w:pStyle w:val="a3"/>
        <w:numPr>
          <w:ilvl w:val="0"/>
          <w:numId w:val="18"/>
        </w:numPr>
        <w:snapToGrid w:val="0"/>
        <w:spacing w:line="500" w:lineRule="exact"/>
        <w:ind w:left="2126" w:hanging="510"/>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建立業務關係或交易之管道，包括是否為面對面交易及是否為新型態支付工具等</w:t>
      </w:r>
      <w:r w:rsidR="00376730" w:rsidRPr="00712627">
        <w:rPr>
          <w:rFonts w:ascii="Times New Roman" w:eastAsia="標楷體" w:hAnsi="標楷體" w:hint="eastAsia"/>
          <w:color w:val="0D0D0D"/>
          <w:sz w:val="28"/>
          <w:szCs w:val="28"/>
        </w:rPr>
        <w:t>。</w:t>
      </w:r>
    </w:p>
    <w:p w:rsidR="00376730" w:rsidRPr="00712627" w:rsidRDefault="00D51537" w:rsidP="00376730">
      <w:pPr>
        <w:pStyle w:val="a3"/>
        <w:numPr>
          <w:ilvl w:val="0"/>
          <w:numId w:val="18"/>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收到款項來自於未知或無關係之第三者</w:t>
      </w:r>
      <w:r w:rsidR="00376730" w:rsidRPr="00712627">
        <w:rPr>
          <w:rFonts w:ascii="Times New Roman" w:eastAsia="標楷體" w:hAnsi="標楷體" w:hint="eastAsia"/>
          <w:color w:val="0D0D0D"/>
          <w:sz w:val="28"/>
          <w:szCs w:val="28"/>
        </w:rPr>
        <w:t>。</w:t>
      </w:r>
    </w:p>
    <w:p w:rsidR="00344E13" w:rsidRPr="00712627" w:rsidRDefault="00344E13" w:rsidP="00344E13">
      <w:pPr>
        <w:pStyle w:val="a3"/>
        <w:snapToGrid w:val="0"/>
        <w:spacing w:line="500" w:lineRule="exact"/>
        <w:ind w:left="2094"/>
        <w:jc w:val="both"/>
        <w:rPr>
          <w:rFonts w:ascii="Times New Roman" w:eastAsia="標楷體" w:hAnsi="標楷體"/>
          <w:sz w:val="28"/>
          <w:szCs w:val="28"/>
        </w:rPr>
      </w:pPr>
    </w:p>
    <w:p w:rsidR="00376730" w:rsidRPr="00712627" w:rsidRDefault="00D51537" w:rsidP="00376730">
      <w:pPr>
        <w:pStyle w:val="a3"/>
        <w:numPr>
          <w:ilvl w:val="0"/>
          <w:numId w:val="14"/>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事業應建立不同之客戶風險等級與分級規則</w:t>
      </w:r>
      <w:r w:rsidR="00376730" w:rsidRPr="00712627">
        <w:rPr>
          <w:rFonts w:ascii="Times New Roman" w:eastAsia="標楷體" w:hAnsi="標楷體" w:hint="eastAsia"/>
          <w:color w:val="0D0D0D"/>
          <w:sz w:val="28"/>
          <w:szCs w:val="28"/>
        </w:rPr>
        <w:t>。</w:t>
      </w:r>
    </w:p>
    <w:p w:rsidR="00376730" w:rsidRPr="00712627" w:rsidRDefault="00D51537" w:rsidP="00FE1D27">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就客戶之風險等級，至少應有兩級（含）以上之風險級數，即「高風險」與「一般風險」兩種風險等級，作為加強客戶審查措施及持續監控機制執行強度之依據。若僅採行兩級風險級數之事業，因「一般風險」等級仍高於本指引第五點與第七點所指之「低風險」等級，故不得對「一般風險」等級之客戶採取簡化措施</w:t>
      </w:r>
      <w:r w:rsidR="00376730" w:rsidRPr="00712627">
        <w:rPr>
          <w:rFonts w:ascii="Times New Roman" w:eastAsia="標楷體" w:hAnsi="標楷體" w:hint="eastAsia"/>
          <w:color w:val="0D0D0D"/>
          <w:sz w:val="28"/>
          <w:szCs w:val="28"/>
        </w:rPr>
        <w:t>。</w:t>
      </w:r>
    </w:p>
    <w:p w:rsidR="00376730" w:rsidRPr="00712627" w:rsidRDefault="00D51537" w:rsidP="00FE1D27">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事業不得向客戶或與執行防制洗錢或打擊資恐義務無關者，透露客戶之風險等級資訊</w:t>
      </w:r>
      <w:r w:rsidR="001C7A1A" w:rsidRPr="00712627">
        <w:rPr>
          <w:rFonts w:ascii="Times New Roman" w:eastAsia="標楷體" w:hAnsi="標楷體" w:hint="eastAsia"/>
          <w:color w:val="0D0D0D"/>
          <w:sz w:val="28"/>
          <w:szCs w:val="28"/>
        </w:rPr>
        <w:t>。</w:t>
      </w:r>
    </w:p>
    <w:p w:rsidR="00344E13" w:rsidRPr="00712627" w:rsidRDefault="00344E13" w:rsidP="00376730">
      <w:pPr>
        <w:pStyle w:val="a3"/>
        <w:snapToGrid w:val="0"/>
        <w:spacing w:line="500" w:lineRule="exact"/>
        <w:ind w:left="480"/>
        <w:jc w:val="both"/>
        <w:rPr>
          <w:rFonts w:ascii="Times New Roman" w:eastAsia="標楷體" w:hAnsi="標楷體"/>
          <w:color w:val="0D0D0D"/>
          <w:sz w:val="28"/>
          <w:szCs w:val="28"/>
        </w:rPr>
      </w:pPr>
    </w:p>
    <w:p w:rsidR="00376730" w:rsidRPr="00712627" w:rsidRDefault="00D51537" w:rsidP="001A546B">
      <w:pPr>
        <w:pStyle w:val="a3"/>
        <w:numPr>
          <w:ilvl w:val="0"/>
          <w:numId w:val="14"/>
        </w:numPr>
        <w:snapToGrid w:val="0"/>
        <w:spacing w:line="500" w:lineRule="exact"/>
        <w:ind w:left="567" w:hanging="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除現任國外政府之重要政治性職務之人與受經濟制裁、外國政府或國際洗錢防制組織認定或追查之恐怖分子或團體，及依資恐防制法指定制裁之個人、法人或團體，應直接視為高風險客戶外，事業得依自身之業務型態及考量相關風險因素</w:t>
      </w:r>
      <w:r w:rsidRPr="00712627">
        <w:rPr>
          <w:rFonts w:ascii="標楷體" w:eastAsia="標楷體" w:hAnsi="標楷體"/>
          <w:color w:val="000000" w:themeColor="text1"/>
          <w:sz w:val="28"/>
          <w:szCs w:val="28"/>
        </w:rPr>
        <w:t>，</w:t>
      </w:r>
      <w:r w:rsidRPr="00712627">
        <w:rPr>
          <w:rFonts w:ascii="標楷體" w:eastAsia="標楷體" w:hAnsi="標楷體" w:hint="eastAsia"/>
          <w:color w:val="000000" w:themeColor="text1"/>
          <w:sz w:val="28"/>
          <w:szCs w:val="28"/>
        </w:rPr>
        <w:t>訂定應直接視為高風險客戶之類型</w:t>
      </w:r>
      <w:r w:rsidR="001C7A1A" w:rsidRPr="00712627">
        <w:rPr>
          <w:rFonts w:ascii="標楷體" w:eastAsia="標楷體" w:hAnsi="標楷體" w:hint="eastAsia"/>
          <w:color w:val="0D0D0D"/>
          <w:sz w:val="28"/>
          <w:szCs w:val="28"/>
        </w:rPr>
        <w:t>。</w:t>
      </w:r>
    </w:p>
    <w:p w:rsidR="00376730" w:rsidRPr="00712627" w:rsidRDefault="00D51537" w:rsidP="00E613CE">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事業得依據完整之書面風險分析結果，自行定義可直接視為低風險客戶之類型，而書面風險分析結果須能充分說明此類型客戶與較低之風險因素相稱</w:t>
      </w:r>
      <w:r w:rsidR="00E613CE" w:rsidRPr="00712627">
        <w:rPr>
          <w:rFonts w:ascii="標楷體" w:eastAsia="標楷體" w:hAnsi="標楷體" w:hint="eastAsia"/>
          <w:sz w:val="28"/>
          <w:szCs w:val="28"/>
        </w:rPr>
        <w:t>。</w:t>
      </w:r>
    </w:p>
    <w:p w:rsidR="00CA1A63" w:rsidRPr="00712627" w:rsidRDefault="00CA1A63" w:rsidP="00E613CE">
      <w:pPr>
        <w:pStyle w:val="a3"/>
        <w:snapToGrid w:val="0"/>
        <w:spacing w:line="500" w:lineRule="exact"/>
        <w:ind w:left="567"/>
        <w:jc w:val="both"/>
        <w:rPr>
          <w:rFonts w:ascii="Times New Roman" w:eastAsia="標楷體" w:hAnsi="標楷體"/>
          <w:color w:val="0D0D0D"/>
          <w:sz w:val="28"/>
          <w:szCs w:val="28"/>
        </w:rPr>
      </w:pPr>
    </w:p>
    <w:p w:rsidR="00376730" w:rsidRPr="00712627" w:rsidRDefault="00D51537" w:rsidP="00423AC2">
      <w:pPr>
        <w:pStyle w:val="a3"/>
        <w:numPr>
          <w:ilvl w:val="0"/>
          <w:numId w:val="14"/>
        </w:numPr>
        <w:snapToGrid w:val="0"/>
        <w:spacing w:line="500" w:lineRule="exact"/>
        <w:ind w:left="567" w:hanging="567"/>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對於新建立業務關係的客戶，事業應在建立業務關係時，確定其風險等級</w:t>
      </w:r>
      <w:r w:rsidR="00FE524A" w:rsidRPr="00712627">
        <w:rPr>
          <w:rFonts w:ascii="Times New Roman" w:eastAsia="標楷體" w:hAnsi="標楷體" w:hint="eastAsia"/>
          <w:color w:val="0D0D0D"/>
          <w:sz w:val="28"/>
          <w:szCs w:val="28"/>
        </w:rPr>
        <w:t>。</w:t>
      </w:r>
    </w:p>
    <w:p w:rsidR="00FE524A" w:rsidRPr="00712627" w:rsidRDefault="00D51537" w:rsidP="00423AC2">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對於已確定風險等級之既有客戶，事業應依據其風險評估政策及程序，重新進行客戶風險評估</w:t>
      </w:r>
      <w:r w:rsidR="00FE524A" w:rsidRPr="00712627">
        <w:rPr>
          <w:rFonts w:ascii="Times New Roman" w:eastAsia="標楷體" w:hAnsi="標楷體" w:hint="eastAsia"/>
          <w:color w:val="0D0D0D"/>
          <w:sz w:val="28"/>
          <w:szCs w:val="28"/>
        </w:rPr>
        <w:t>。</w:t>
      </w:r>
    </w:p>
    <w:p w:rsidR="00FE524A" w:rsidRPr="00712627" w:rsidRDefault="00D51537" w:rsidP="00423AC2">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雖然事業在建立業務關係時已對客戶進行風險評估，但就某些客戶而言，</w:t>
      </w:r>
      <w:r w:rsidRPr="00712627">
        <w:rPr>
          <w:rFonts w:ascii="標楷體" w:eastAsia="標楷體" w:hAnsi="標楷體" w:hint="eastAsia"/>
          <w:color w:val="000000" w:themeColor="text1"/>
          <w:sz w:val="28"/>
          <w:szCs w:val="28"/>
        </w:rPr>
        <w:lastRenderedPageBreak/>
        <w:t>必須待客戶進行交易，其全面風險狀況才會變得明確，爰此，事業應依重要性及風險程度，以風險基礎方法對現有客戶身分資料進行審查，並於考量前次執行審查之時點及所獲得資料之適足性後，在適當時機對已存在之往來關係進行審查及適時調整風險等級。</w:t>
      </w:r>
      <w:r w:rsidR="00EF7DD9" w:rsidRPr="00712627">
        <w:rPr>
          <w:rFonts w:ascii="標楷體" w:eastAsia="標楷體" w:hAnsi="標楷體" w:hint="eastAsia"/>
          <w:sz w:val="28"/>
          <w:szCs w:val="28"/>
        </w:rPr>
        <w:t>上開適當時機至少應包括：</w:t>
      </w:r>
    </w:p>
    <w:p w:rsidR="00FE524A" w:rsidRPr="00712627" w:rsidRDefault="00D51537" w:rsidP="00FE524A">
      <w:pPr>
        <w:pStyle w:val="a3"/>
        <w:numPr>
          <w:ilvl w:val="0"/>
          <w:numId w:val="19"/>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客戶加開帳戶或新增業務往來關係時</w:t>
      </w:r>
      <w:r w:rsidR="00FE524A" w:rsidRPr="00712627">
        <w:rPr>
          <w:rFonts w:ascii="Times New Roman" w:eastAsia="標楷體" w:hAnsi="標楷體" w:hint="eastAsia"/>
          <w:color w:val="0D0D0D"/>
          <w:sz w:val="28"/>
          <w:szCs w:val="28"/>
        </w:rPr>
        <w:t>。</w:t>
      </w:r>
    </w:p>
    <w:p w:rsidR="00FE524A" w:rsidRPr="00712627" w:rsidRDefault="00D51537" w:rsidP="00FE524A">
      <w:pPr>
        <w:pStyle w:val="a3"/>
        <w:numPr>
          <w:ilvl w:val="0"/>
          <w:numId w:val="19"/>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依據客戶之重要性及風險程度所定之定期審查時點</w:t>
      </w:r>
      <w:r w:rsidR="00FE524A" w:rsidRPr="00712627">
        <w:rPr>
          <w:rFonts w:ascii="Times New Roman" w:eastAsia="標楷體" w:hAnsi="標楷體" w:hint="eastAsia"/>
          <w:color w:val="0D0D0D"/>
          <w:sz w:val="28"/>
          <w:szCs w:val="28"/>
        </w:rPr>
        <w:t>。</w:t>
      </w:r>
    </w:p>
    <w:p w:rsidR="00055AB7" w:rsidRPr="00712627" w:rsidRDefault="00D51537" w:rsidP="00FE524A">
      <w:pPr>
        <w:pStyle w:val="a3"/>
        <w:numPr>
          <w:ilvl w:val="0"/>
          <w:numId w:val="19"/>
        </w:numPr>
        <w:snapToGrid w:val="0"/>
        <w:spacing w:line="500" w:lineRule="exact"/>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得知客戶身分與背景資訊有重大變動時</w:t>
      </w:r>
      <w:r w:rsidR="00055AB7" w:rsidRPr="00712627">
        <w:rPr>
          <w:rFonts w:ascii="標楷體" w:eastAsia="標楷體" w:hAnsi="標楷體" w:hint="eastAsia"/>
          <w:color w:val="0D0D0D"/>
          <w:sz w:val="28"/>
          <w:szCs w:val="28"/>
        </w:rPr>
        <w:t>。</w:t>
      </w:r>
    </w:p>
    <w:p w:rsidR="00FE524A" w:rsidRPr="00712627" w:rsidRDefault="00D51537" w:rsidP="001D7BAE">
      <w:pPr>
        <w:pStyle w:val="a3"/>
        <w:numPr>
          <w:ilvl w:val="0"/>
          <w:numId w:val="19"/>
        </w:numPr>
        <w:snapToGrid w:val="0"/>
        <w:spacing w:line="500" w:lineRule="exact"/>
        <w:ind w:left="1418" w:hanging="852"/>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經申報疑似洗錢或資恐交易等，</w:t>
      </w:r>
      <w:r w:rsidRPr="00712627">
        <w:rPr>
          <w:rFonts w:ascii="標楷體" w:eastAsia="標楷體" w:hAnsi="標楷體"/>
          <w:color w:val="000000" w:themeColor="text1"/>
          <w:sz w:val="28"/>
          <w:szCs w:val="28"/>
        </w:rPr>
        <w:t>可能導致</w:t>
      </w:r>
      <w:r w:rsidRPr="00712627">
        <w:rPr>
          <w:rFonts w:ascii="標楷體" w:eastAsia="標楷體" w:hAnsi="標楷體" w:hint="eastAsia"/>
          <w:color w:val="000000" w:themeColor="text1"/>
          <w:sz w:val="28"/>
          <w:szCs w:val="28"/>
        </w:rPr>
        <w:t>客戶</w:t>
      </w:r>
      <w:r w:rsidRPr="00712627">
        <w:rPr>
          <w:rFonts w:ascii="標楷體" w:eastAsia="標楷體" w:hAnsi="標楷體"/>
          <w:color w:val="000000" w:themeColor="text1"/>
          <w:sz w:val="28"/>
          <w:szCs w:val="28"/>
        </w:rPr>
        <w:t>風險狀況</w:t>
      </w:r>
      <w:r w:rsidRPr="00712627">
        <w:rPr>
          <w:rFonts w:ascii="標楷體" w:eastAsia="標楷體" w:hAnsi="標楷體" w:hint="eastAsia"/>
          <w:color w:val="000000" w:themeColor="text1"/>
          <w:sz w:val="28"/>
          <w:szCs w:val="28"/>
        </w:rPr>
        <w:t>發生實質</w:t>
      </w:r>
      <w:r w:rsidRPr="00712627">
        <w:rPr>
          <w:rFonts w:ascii="標楷體" w:eastAsia="標楷體" w:hAnsi="標楷體"/>
          <w:color w:val="000000" w:themeColor="text1"/>
          <w:sz w:val="28"/>
          <w:szCs w:val="28"/>
        </w:rPr>
        <w:t>性變化的事件</w:t>
      </w:r>
      <w:r w:rsidRPr="00712627">
        <w:rPr>
          <w:rFonts w:ascii="標楷體" w:eastAsia="標楷體" w:hAnsi="標楷體" w:hint="eastAsia"/>
          <w:color w:val="000000" w:themeColor="text1"/>
          <w:sz w:val="28"/>
          <w:szCs w:val="28"/>
        </w:rPr>
        <w:t>發</w:t>
      </w:r>
      <w:r w:rsidRPr="00712627">
        <w:rPr>
          <w:rFonts w:ascii="標楷體" w:eastAsia="標楷體" w:hAnsi="標楷體"/>
          <w:color w:val="000000" w:themeColor="text1"/>
          <w:sz w:val="28"/>
          <w:szCs w:val="28"/>
        </w:rPr>
        <w:t>生時</w:t>
      </w:r>
      <w:r w:rsidR="00FE524A" w:rsidRPr="00712627">
        <w:rPr>
          <w:rFonts w:ascii="Times New Roman" w:eastAsia="標楷體" w:hAnsi="標楷體" w:hint="eastAsia"/>
          <w:color w:val="0D0D0D"/>
          <w:sz w:val="28"/>
          <w:szCs w:val="28"/>
        </w:rPr>
        <w:t>。</w:t>
      </w:r>
    </w:p>
    <w:p w:rsidR="00376730" w:rsidRPr="00712627" w:rsidRDefault="00D51537" w:rsidP="00055AB7">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事業應定期檢視其辨識客戶及實質受益人身分所取得之資訊是否足夠，並確保該等資訊之更新，特別是高風險客戶，事業應至少每年檢視一次</w:t>
      </w:r>
      <w:r w:rsidR="00055AB7" w:rsidRPr="00712627">
        <w:rPr>
          <w:rFonts w:ascii="Times New Roman" w:eastAsia="標楷體" w:hAnsi="標楷體" w:hint="eastAsia"/>
          <w:color w:val="0D0D0D"/>
          <w:sz w:val="28"/>
          <w:szCs w:val="28"/>
        </w:rPr>
        <w:t>。</w:t>
      </w:r>
    </w:p>
    <w:p w:rsidR="005F2950" w:rsidRPr="00712627" w:rsidRDefault="005F2950" w:rsidP="00055AB7">
      <w:pPr>
        <w:pStyle w:val="a3"/>
        <w:snapToGrid w:val="0"/>
        <w:spacing w:line="500" w:lineRule="exact"/>
        <w:ind w:left="567"/>
        <w:jc w:val="both"/>
        <w:rPr>
          <w:rFonts w:ascii="Times New Roman" w:eastAsia="標楷體" w:hAnsi="標楷體"/>
          <w:color w:val="0D0D0D"/>
          <w:sz w:val="28"/>
          <w:szCs w:val="28"/>
        </w:rPr>
      </w:pPr>
    </w:p>
    <w:p w:rsidR="00FE524A" w:rsidRPr="00712627" w:rsidRDefault="0036316C" w:rsidP="00F5695A">
      <w:pPr>
        <w:pStyle w:val="a3"/>
        <w:numPr>
          <w:ilvl w:val="0"/>
          <w:numId w:val="14"/>
        </w:numPr>
        <w:snapToGrid w:val="0"/>
        <w:spacing w:line="500" w:lineRule="exact"/>
        <w:ind w:left="567" w:hanging="567"/>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事業應依據已識別之風險，建立相對應的管控措施，以降低或預防該洗錢風險；事業應依據客戶的風險程度，決定適用的管控措施</w:t>
      </w:r>
      <w:r w:rsidR="00FE524A" w:rsidRPr="00712627">
        <w:rPr>
          <w:rFonts w:ascii="Times New Roman" w:eastAsia="標楷體" w:hAnsi="標楷體" w:hint="eastAsia"/>
          <w:color w:val="0D0D0D"/>
          <w:sz w:val="28"/>
          <w:szCs w:val="28"/>
        </w:rPr>
        <w:t>。</w:t>
      </w:r>
    </w:p>
    <w:p w:rsidR="00FE524A" w:rsidRPr="00712627" w:rsidRDefault="0036316C" w:rsidP="00F5695A">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對於風險之管控措施，應由事業依據其風險防制政策及程序，針對高風險客戶</w:t>
      </w:r>
      <w:r w:rsidRPr="00712627">
        <w:rPr>
          <w:rFonts w:ascii="標楷體" w:eastAsia="標楷體" w:hAnsi="標楷體" w:hint="eastAsia"/>
          <w:color w:val="0D0D0D"/>
          <w:sz w:val="28"/>
          <w:szCs w:val="28"/>
        </w:rPr>
        <w:t>與具特定高風險因子之</w:t>
      </w:r>
      <w:r w:rsidRPr="00712627">
        <w:rPr>
          <w:rFonts w:ascii="標楷體" w:eastAsia="標楷體" w:hAnsi="標楷體" w:hint="eastAsia"/>
          <w:color w:val="000000" w:themeColor="text1"/>
          <w:sz w:val="28"/>
          <w:szCs w:val="28"/>
        </w:rPr>
        <w:t>客戶採取不同的管控措施，以有效管理和降低已知風險，舉例說明如下</w:t>
      </w:r>
      <w:r w:rsidR="00FE524A" w:rsidRPr="00712627">
        <w:rPr>
          <w:rFonts w:ascii="Times New Roman" w:eastAsia="標楷體" w:hAnsi="標楷體" w:hint="eastAsia"/>
          <w:color w:val="0D0D0D"/>
          <w:sz w:val="28"/>
          <w:szCs w:val="28"/>
        </w:rPr>
        <w:t>：</w:t>
      </w:r>
    </w:p>
    <w:p w:rsidR="00FE524A" w:rsidRPr="00712627" w:rsidRDefault="0036316C" w:rsidP="00FE524A">
      <w:pPr>
        <w:pStyle w:val="a3"/>
        <w:numPr>
          <w:ilvl w:val="0"/>
          <w:numId w:val="20"/>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進行加強客戶審查措施</w:t>
      </w:r>
      <w:r w:rsidRPr="00712627">
        <w:rPr>
          <w:rFonts w:ascii="標楷體" w:eastAsia="標楷體" w:hAnsi="標楷體"/>
          <w:color w:val="000000" w:themeColor="text1"/>
          <w:w w:val="90"/>
          <w:sz w:val="28"/>
          <w:szCs w:val="28"/>
        </w:rPr>
        <w:t>(Enhance Due Diligence)</w:t>
      </w:r>
      <w:r w:rsidRPr="00712627">
        <w:rPr>
          <w:rFonts w:ascii="標楷體" w:eastAsia="標楷體" w:hAnsi="標楷體" w:hint="eastAsia"/>
          <w:color w:val="000000" w:themeColor="text1"/>
          <w:sz w:val="28"/>
          <w:szCs w:val="28"/>
        </w:rPr>
        <w:t>，例如</w:t>
      </w:r>
      <w:r w:rsidR="00FE524A" w:rsidRPr="00712627">
        <w:rPr>
          <w:rFonts w:ascii="Times New Roman" w:eastAsia="標楷體" w:hAnsi="標楷體" w:hint="eastAsia"/>
          <w:color w:val="0D0D0D"/>
          <w:sz w:val="28"/>
          <w:szCs w:val="28"/>
        </w:rPr>
        <w:t>：</w:t>
      </w:r>
    </w:p>
    <w:p w:rsidR="00FE524A" w:rsidRPr="00712627" w:rsidRDefault="0036316C" w:rsidP="00FE524A">
      <w:pPr>
        <w:pStyle w:val="a3"/>
        <w:numPr>
          <w:ilvl w:val="0"/>
          <w:numId w:val="21"/>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取得開戶與往來目的之相關資料：預期帳戶使用狀況（如預期交易之金額、目的及頻率）</w:t>
      </w:r>
      <w:r w:rsidR="00FE524A" w:rsidRPr="00712627">
        <w:rPr>
          <w:rFonts w:ascii="Times New Roman" w:eastAsia="標楷體" w:hAnsi="標楷體" w:hint="eastAsia"/>
          <w:color w:val="0D0D0D"/>
          <w:sz w:val="28"/>
          <w:szCs w:val="28"/>
        </w:rPr>
        <w:t>。</w:t>
      </w:r>
    </w:p>
    <w:p w:rsidR="00FE524A" w:rsidRPr="00712627" w:rsidRDefault="0036316C" w:rsidP="00FE524A">
      <w:pPr>
        <w:pStyle w:val="a3"/>
        <w:numPr>
          <w:ilvl w:val="0"/>
          <w:numId w:val="21"/>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取得個人客戶財富來源、往來資金來源及去向、資產種類與數量等資訊。其中資金來源如為存款，應進一步瞭解該存款之來源</w:t>
      </w:r>
      <w:r w:rsidR="00FE524A" w:rsidRPr="00712627">
        <w:rPr>
          <w:rFonts w:ascii="Times New Roman" w:eastAsia="標楷體" w:hAnsi="標楷體" w:hint="eastAsia"/>
          <w:color w:val="0D0D0D"/>
          <w:sz w:val="28"/>
          <w:szCs w:val="28"/>
        </w:rPr>
        <w:t>。</w:t>
      </w:r>
    </w:p>
    <w:p w:rsidR="00FE524A" w:rsidRPr="00712627" w:rsidRDefault="0036316C" w:rsidP="00FE524A">
      <w:pPr>
        <w:pStyle w:val="a3"/>
        <w:numPr>
          <w:ilvl w:val="0"/>
          <w:numId w:val="21"/>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取得法人、團體或信託之受託人客戶進一步之商業資訊：瞭解客戶最新財務狀況、商業活動與業務往來資訊，以建立其資產、資金來源及資金去向</w:t>
      </w:r>
      <w:r w:rsidR="00FE524A" w:rsidRPr="00712627">
        <w:rPr>
          <w:rFonts w:ascii="Times New Roman" w:eastAsia="標楷體" w:hAnsi="標楷體" w:hint="eastAsia"/>
          <w:color w:val="0D0D0D"/>
          <w:sz w:val="28"/>
          <w:szCs w:val="28"/>
        </w:rPr>
        <w:t>。</w:t>
      </w:r>
    </w:p>
    <w:p w:rsidR="00FE524A" w:rsidRPr="00712627" w:rsidRDefault="0036316C" w:rsidP="00FE524A">
      <w:pPr>
        <w:pStyle w:val="a3"/>
        <w:numPr>
          <w:ilvl w:val="0"/>
          <w:numId w:val="21"/>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取得將進行或已完成交易之說明與資訊</w:t>
      </w:r>
      <w:r w:rsidR="00FE524A" w:rsidRPr="00712627">
        <w:rPr>
          <w:rFonts w:ascii="Times New Roman" w:eastAsia="標楷體" w:hAnsi="標楷體" w:hint="eastAsia"/>
          <w:color w:val="0D0D0D"/>
          <w:sz w:val="28"/>
          <w:szCs w:val="28"/>
        </w:rPr>
        <w:t>。</w:t>
      </w:r>
    </w:p>
    <w:p w:rsidR="00FE524A" w:rsidRPr="00712627" w:rsidRDefault="0036316C" w:rsidP="00FE524A">
      <w:pPr>
        <w:pStyle w:val="a3"/>
        <w:numPr>
          <w:ilvl w:val="0"/>
          <w:numId w:val="21"/>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依據客戶型態進行實地或電話訪查，以確認客戶之實際營運情形</w:t>
      </w:r>
      <w:r w:rsidR="00FE524A" w:rsidRPr="00712627">
        <w:rPr>
          <w:rFonts w:ascii="Times New Roman" w:eastAsia="標楷體" w:hAnsi="標楷體" w:hint="eastAsia"/>
          <w:color w:val="0D0D0D"/>
          <w:sz w:val="28"/>
          <w:szCs w:val="28"/>
        </w:rPr>
        <w:t>。</w:t>
      </w:r>
    </w:p>
    <w:p w:rsidR="00FE524A" w:rsidRPr="00712627" w:rsidRDefault="0036316C" w:rsidP="00FE524A">
      <w:pPr>
        <w:pStyle w:val="a3"/>
        <w:numPr>
          <w:ilvl w:val="0"/>
          <w:numId w:val="20"/>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在建立或新增業務往來關係前，應依事業內部風險考量，所訂核准層級之高階管理人員同意</w:t>
      </w:r>
      <w:r w:rsidR="00FE524A" w:rsidRPr="00712627">
        <w:rPr>
          <w:rFonts w:ascii="Times New Roman" w:eastAsia="標楷體" w:hAnsi="標楷體" w:hint="eastAsia"/>
          <w:color w:val="0D0D0D"/>
          <w:sz w:val="28"/>
          <w:szCs w:val="28"/>
        </w:rPr>
        <w:t>。</w:t>
      </w:r>
    </w:p>
    <w:p w:rsidR="00FE524A" w:rsidRPr="00712627" w:rsidRDefault="0036316C" w:rsidP="00FE524A">
      <w:pPr>
        <w:pStyle w:val="a3"/>
        <w:numPr>
          <w:ilvl w:val="0"/>
          <w:numId w:val="20"/>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lastRenderedPageBreak/>
        <w:t>增加進行客戶審查之頻率</w:t>
      </w:r>
      <w:r w:rsidR="00FE524A" w:rsidRPr="00712627">
        <w:rPr>
          <w:rFonts w:ascii="Times New Roman" w:eastAsia="標楷體" w:hAnsi="標楷體" w:hint="eastAsia"/>
          <w:color w:val="0D0D0D"/>
          <w:sz w:val="28"/>
          <w:szCs w:val="28"/>
        </w:rPr>
        <w:t>。</w:t>
      </w:r>
    </w:p>
    <w:p w:rsidR="00FE524A" w:rsidRPr="00712627" w:rsidRDefault="0036316C" w:rsidP="00FE524A">
      <w:pPr>
        <w:pStyle w:val="a3"/>
        <w:numPr>
          <w:ilvl w:val="0"/>
          <w:numId w:val="20"/>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對於業務往來關係應採取強化之持續監督</w:t>
      </w:r>
      <w:r w:rsidR="00FE524A" w:rsidRPr="00712627">
        <w:rPr>
          <w:rFonts w:ascii="Times New Roman" w:eastAsia="標楷體" w:hAnsi="標楷體" w:hint="eastAsia"/>
          <w:color w:val="0D0D0D"/>
          <w:sz w:val="28"/>
          <w:szCs w:val="28"/>
        </w:rPr>
        <w:t>。</w:t>
      </w:r>
    </w:p>
    <w:p w:rsidR="00FE524A" w:rsidRPr="00712627" w:rsidRDefault="0036316C" w:rsidP="00F5695A">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除有本公會</w:t>
      </w:r>
      <w:r w:rsidRPr="00712627">
        <w:rPr>
          <w:rFonts w:ascii="標楷體" w:eastAsia="標楷體" w:hAnsi="標楷體"/>
          <w:color w:val="000000" w:themeColor="text1"/>
          <w:sz w:val="28"/>
          <w:szCs w:val="28"/>
        </w:rPr>
        <w:t>證券投資信託事業證券投資顧問事業防制洗錢及打擊資恐注意事項範本</w:t>
      </w:r>
      <w:r w:rsidRPr="00712627">
        <w:rPr>
          <w:rFonts w:ascii="Times New Roman" w:eastAsia="標楷體" w:hAnsi="標楷體" w:hint="eastAsia"/>
          <w:color w:val="000000" w:themeColor="text1"/>
          <w:sz w:val="28"/>
          <w:szCs w:val="28"/>
        </w:rPr>
        <w:t>第六條第一項第三款</w:t>
      </w:r>
      <w:r w:rsidRPr="00712627">
        <w:rPr>
          <w:rFonts w:ascii="標楷體" w:eastAsia="標楷體" w:hAnsi="標楷體" w:hint="eastAsia"/>
          <w:color w:val="000000" w:themeColor="text1"/>
          <w:sz w:val="28"/>
          <w:szCs w:val="28"/>
        </w:rPr>
        <w:t>但書情形者，對於較低風險情形，得由事業依據其風險防制政策及程序，採取簡化措施。該簡化措施應與其較低風險因素相當，簡化措施得採行如下</w:t>
      </w:r>
      <w:r w:rsidR="00FE524A" w:rsidRPr="00712627">
        <w:rPr>
          <w:rFonts w:ascii="Times New Roman" w:eastAsia="標楷體" w:hAnsi="標楷體" w:hint="eastAsia"/>
          <w:color w:val="0D0D0D"/>
          <w:sz w:val="28"/>
          <w:szCs w:val="28"/>
        </w:rPr>
        <w:t>：</w:t>
      </w:r>
    </w:p>
    <w:p w:rsidR="00FE524A" w:rsidRPr="00712627" w:rsidRDefault="00FE524A" w:rsidP="00FE524A">
      <w:pPr>
        <w:pStyle w:val="a3"/>
        <w:numPr>
          <w:ilvl w:val="0"/>
          <w:numId w:val="22"/>
        </w:numPr>
        <w:snapToGrid w:val="0"/>
        <w:spacing w:line="500" w:lineRule="exact"/>
        <w:jc w:val="both"/>
        <w:rPr>
          <w:rFonts w:ascii="Times New Roman" w:eastAsia="標楷體" w:hAnsi="標楷體"/>
          <w:color w:val="0D0D0D"/>
          <w:sz w:val="28"/>
          <w:szCs w:val="28"/>
        </w:rPr>
      </w:pPr>
      <w:r w:rsidRPr="00712627">
        <w:rPr>
          <w:rFonts w:ascii="Times New Roman" w:eastAsia="標楷體" w:hAnsi="標楷體" w:hint="eastAsia"/>
          <w:color w:val="0D0D0D"/>
          <w:sz w:val="28"/>
          <w:szCs w:val="28"/>
        </w:rPr>
        <w:t>降低客戶身分資訊更新之頻率。</w:t>
      </w:r>
    </w:p>
    <w:p w:rsidR="00FE524A" w:rsidRPr="00712627" w:rsidRDefault="00FE524A" w:rsidP="00FE524A">
      <w:pPr>
        <w:pStyle w:val="a3"/>
        <w:numPr>
          <w:ilvl w:val="0"/>
          <w:numId w:val="22"/>
        </w:numPr>
        <w:snapToGrid w:val="0"/>
        <w:spacing w:line="500" w:lineRule="exact"/>
        <w:ind w:left="1418" w:hanging="852"/>
        <w:jc w:val="both"/>
        <w:rPr>
          <w:rFonts w:ascii="Times New Roman" w:eastAsia="標楷體" w:hAnsi="標楷體"/>
          <w:color w:val="0D0D0D"/>
          <w:sz w:val="28"/>
          <w:szCs w:val="28"/>
        </w:rPr>
      </w:pPr>
      <w:r w:rsidRPr="00712627">
        <w:rPr>
          <w:rFonts w:ascii="Times New Roman" w:eastAsia="標楷體" w:hAnsi="標楷體" w:hint="eastAsia"/>
          <w:color w:val="0D0D0D"/>
          <w:sz w:val="28"/>
          <w:szCs w:val="28"/>
        </w:rPr>
        <w:t>降低持續性監控之等級，並以合理的金額門檻作為審查交易之基礎。</w:t>
      </w:r>
    </w:p>
    <w:p w:rsidR="00FE524A" w:rsidRPr="00712627" w:rsidRDefault="0036316C" w:rsidP="00FE524A">
      <w:pPr>
        <w:pStyle w:val="a3"/>
        <w:numPr>
          <w:ilvl w:val="0"/>
          <w:numId w:val="22"/>
        </w:numPr>
        <w:snapToGrid w:val="0"/>
        <w:spacing w:line="500" w:lineRule="exact"/>
        <w:ind w:left="1418" w:hanging="852"/>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從交易類型或已建立業務往來關係可推斷其目的及性質者，得無須再針對瞭解業務往來關係之目的及其性質，蒐集特定資訊或執行特別措施</w:t>
      </w:r>
      <w:r w:rsidR="00FE524A" w:rsidRPr="00712627">
        <w:rPr>
          <w:rFonts w:ascii="Times New Roman" w:eastAsia="標楷體" w:hAnsi="標楷體" w:hint="eastAsia"/>
          <w:color w:val="0D0D0D"/>
          <w:sz w:val="28"/>
          <w:szCs w:val="28"/>
        </w:rPr>
        <w:t>。</w:t>
      </w:r>
    </w:p>
    <w:p w:rsidR="00FE524A" w:rsidRPr="00712627" w:rsidRDefault="00FE524A" w:rsidP="00FE524A">
      <w:pPr>
        <w:pStyle w:val="a3"/>
        <w:snapToGrid w:val="0"/>
        <w:spacing w:line="500" w:lineRule="exact"/>
        <w:ind w:left="480"/>
        <w:jc w:val="both"/>
        <w:rPr>
          <w:rFonts w:ascii="Times New Roman" w:eastAsia="標楷體" w:hAnsi="標楷體"/>
          <w:sz w:val="28"/>
          <w:szCs w:val="28"/>
        </w:rPr>
      </w:pPr>
    </w:p>
    <w:p w:rsidR="00F5695A" w:rsidRPr="00712627" w:rsidRDefault="0036316C" w:rsidP="00F5695A">
      <w:pPr>
        <w:pStyle w:val="a3"/>
        <w:numPr>
          <w:ilvl w:val="0"/>
          <w:numId w:val="14"/>
        </w:numPr>
        <w:snapToGrid w:val="0"/>
        <w:spacing w:line="500" w:lineRule="exact"/>
        <w:ind w:left="567" w:hanging="567"/>
        <w:jc w:val="both"/>
        <w:rPr>
          <w:rFonts w:ascii="Times New Roman" w:eastAsia="標楷體" w:hAnsi="標楷體"/>
          <w:sz w:val="28"/>
          <w:szCs w:val="28"/>
        </w:rPr>
      </w:pPr>
      <w:r w:rsidRPr="00712627">
        <w:rPr>
          <w:rFonts w:ascii="標楷體" w:eastAsia="標楷體" w:hAnsi="標楷體" w:hint="eastAsia"/>
          <w:color w:val="000000" w:themeColor="text1"/>
          <w:sz w:val="28"/>
          <w:szCs w:val="28"/>
        </w:rPr>
        <w:t>事業應建立定期之全面性洗錢及資恐風險評估作業並製作</w:t>
      </w:r>
      <w:r w:rsidRPr="00712627">
        <w:rPr>
          <w:rFonts w:ascii="標楷體" w:eastAsia="標楷體" w:hAnsi="標楷體"/>
          <w:color w:val="000000" w:themeColor="text1"/>
          <w:sz w:val="28"/>
          <w:szCs w:val="28"/>
        </w:rPr>
        <w:t>風險評估</w:t>
      </w:r>
      <w:r w:rsidRPr="00712627">
        <w:rPr>
          <w:rFonts w:ascii="標楷體" w:eastAsia="標楷體" w:hAnsi="標楷體" w:hint="eastAsia"/>
          <w:color w:val="000000" w:themeColor="text1"/>
          <w:sz w:val="28"/>
          <w:szCs w:val="28"/>
        </w:rPr>
        <w:t>報告且定期更新，使管理階層得以適時且有效地瞭解事業所面對之整體洗錢與資恐風險、決定應建立之機制及發展合宜之抵減措施</w:t>
      </w:r>
      <w:r w:rsidR="00F5695A" w:rsidRPr="00712627">
        <w:rPr>
          <w:rFonts w:ascii="Times New Roman" w:eastAsia="標楷體" w:hAnsi="標楷體" w:hint="eastAsia"/>
          <w:color w:val="0D0D0D"/>
          <w:sz w:val="28"/>
          <w:szCs w:val="28"/>
        </w:rPr>
        <w:t>。</w:t>
      </w:r>
    </w:p>
    <w:p w:rsidR="00853E3E" w:rsidRPr="00712627" w:rsidRDefault="0036316C" w:rsidP="00853E3E">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事業應依據下列指標，建立定期且全面性之洗錢及資恐風險評估作業</w:t>
      </w:r>
      <w:r w:rsidR="00853E3E" w:rsidRPr="00712627">
        <w:rPr>
          <w:rFonts w:ascii="Times New Roman" w:eastAsia="標楷體" w:hAnsi="標楷體" w:hint="eastAsia"/>
          <w:color w:val="0D0D0D"/>
          <w:sz w:val="28"/>
          <w:szCs w:val="28"/>
        </w:rPr>
        <w:t>：</w:t>
      </w:r>
    </w:p>
    <w:p w:rsidR="00853E3E" w:rsidRPr="00712627" w:rsidRDefault="00853E3E" w:rsidP="00853E3E">
      <w:pPr>
        <w:pStyle w:val="a3"/>
        <w:numPr>
          <w:ilvl w:val="0"/>
          <w:numId w:val="24"/>
        </w:numPr>
        <w:snapToGrid w:val="0"/>
        <w:spacing w:line="500" w:lineRule="exact"/>
        <w:jc w:val="both"/>
        <w:rPr>
          <w:rFonts w:ascii="Times New Roman" w:eastAsia="標楷體" w:hAnsi="標楷體"/>
          <w:color w:val="0D0D0D"/>
          <w:sz w:val="28"/>
          <w:szCs w:val="28"/>
        </w:rPr>
      </w:pPr>
      <w:r w:rsidRPr="00712627" w:rsidDel="00AF1F29">
        <w:rPr>
          <w:rFonts w:ascii="Times New Roman" w:eastAsia="標楷體" w:hAnsi="標楷體" w:hint="eastAsia"/>
          <w:color w:val="0D0D0D"/>
          <w:sz w:val="28"/>
          <w:szCs w:val="28"/>
        </w:rPr>
        <w:t>業務之性質、規模、多元性及複雜度</w:t>
      </w:r>
      <w:r w:rsidRPr="00712627">
        <w:rPr>
          <w:rFonts w:ascii="Times New Roman" w:eastAsia="標楷體" w:hAnsi="標楷體" w:hint="eastAsia"/>
          <w:color w:val="0D0D0D"/>
          <w:sz w:val="28"/>
          <w:szCs w:val="28"/>
        </w:rPr>
        <w:t>。</w:t>
      </w:r>
    </w:p>
    <w:p w:rsidR="00853E3E" w:rsidRPr="00712627" w:rsidRDefault="00853E3E" w:rsidP="00853E3E">
      <w:pPr>
        <w:pStyle w:val="a3"/>
        <w:numPr>
          <w:ilvl w:val="0"/>
          <w:numId w:val="24"/>
        </w:numPr>
        <w:snapToGrid w:val="0"/>
        <w:spacing w:line="500" w:lineRule="exact"/>
        <w:jc w:val="both"/>
        <w:rPr>
          <w:rFonts w:ascii="Times New Roman" w:eastAsia="標楷體" w:hAnsi="標楷體"/>
          <w:color w:val="0D0D0D"/>
          <w:sz w:val="28"/>
          <w:szCs w:val="28"/>
        </w:rPr>
      </w:pPr>
      <w:r w:rsidRPr="00712627" w:rsidDel="00AF1F29">
        <w:rPr>
          <w:rFonts w:ascii="Times New Roman" w:eastAsia="標楷體" w:hAnsi="標楷體" w:hint="eastAsia"/>
          <w:color w:val="0D0D0D"/>
          <w:sz w:val="28"/>
          <w:szCs w:val="28"/>
        </w:rPr>
        <w:t>目標市場</w:t>
      </w:r>
      <w:r w:rsidRPr="00712627">
        <w:rPr>
          <w:rFonts w:ascii="Times New Roman" w:eastAsia="標楷體" w:hAnsi="標楷體" w:hint="eastAsia"/>
          <w:color w:val="0D0D0D"/>
          <w:sz w:val="28"/>
          <w:szCs w:val="28"/>
        </w:rPr>
        <w:t>。</w:t>
      </w:r>
    </w:p>
    <w:p w:rsidR="00853E3E" w:rsidRPr="00712627" w:rsidRDefault="0036316C" w:rsidP="00853E3E">
      <w:pPr>
        <w:pStyle w:val="a3"/>
        <w:numPr>
          <w:ilvl w:val="0"/>
          <w:numId w:val="24"/>
        </w:numPr>
        <w:snapToGrid w:val="0"/>
        <w:spacing w:line="500" w:lineRule="exact"/>
        <w:ind w:left="1418" w:hanging="850"/>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事業交易數量與規模：考量事業一般交易活動與其客戶之特性等</w:t>
      </w:r>
      <w:r w:rsidR="00853E3E" w:rsidRPr="00712627">
        <w:rPr>
          <w:rFonts w:ascii="Times New Roman" w:eastAsia="標楷體" w:hAnsi="標楷體" w:hint="eastAsia"/>
          <w:color w:val="0D0D0D"/>
          <w:sz w:val="28"/>
          <w:szCs w:val="28"/>
        </w:rPr>
        <w:t>。</w:t>
      </w:r>
    </w:p>
    <w:p w:rsidR="00853E3E" w:rsidRPr="00712627" w:rsidRDefault="0036316C" w:rsidP="00853E3E">
      <w:pPr>
        <w:pStyle w:val="a3"/>
        <w:numPr>
          <w:ilvl w:val="0"/>
          <w:numId w:val="24"/>
        </w:numPr>
        <w:snapToGrid w:val="0"/>
        <w:spacing w:line="500" w:lineRule="exact"/>
        <w:ind w:left="1418" w:hanging="850"/>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高風險相關之管理數據與報告：如高風險客戶之數目與比例；高風險產品、服務或交易之金額、數量或比例；客戶之國籍、註冊地或營業地屬高風險地域、或交易涉及高風險地域之金額或比例等</w:t>
      </w:r>
      <w:r w:rsidR="00853E3E" w:rsidRPr="00712627">
        <w:rPr>
          <w:rFonts w:ascii="Times New Roman" w:eastAsia="標楷體" w:hAnsi="標楷體" w:hint="eastAsia"/>
          <w:color w:val="0D0D0D"/>
          <w:sz w:val="28"/>
          <w:szCs w:val="28"/>
        </w:rPr>
        <w:t>。</w:t>
      </w:r>
    </w:p>
    <w:p w:rsidR="00853E3E" w:rsidRPr="00712627" w:rsidRDefault="0036316C" w:rsidP="00853E3E">
      <w:pPr>
        <w:pStyle w:val="a3"/>
        <w:numPr>
          <w:ilvl w:val="0"/>
          <w:numId w:val="24"/>
        </w:numPr>
        <w:snapToGrid w:val="0"/>
        <w:spacing w:line="500" w:lineRule="exact"/>
        <w:ind w:left="1418" w:hanging="850"/>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業務與產品，包含提供業務與產品予客戶之管道及方式、執行客戶審查措施之方式，如資訊系統使用的程度以及是否委託第三人執行審查等</w:t>
      </w:r>
      <w:r w:rsidR="00853E3E" w:rsidRPr="00712627">
        <w:rPr>
          <w:rFonts w:ascii="Times New Roman" w:eastAsia="標楷體" w:hAnsi="標楷體" w:hint="eastAsia"/>
          <w:color w:val="0D0D0D"/>
          <w:sz w:val="28"/>
          <w:szCs w:val="28"/>
        </w:rPr>
        <w:t>。</w:t>
      </w:r>
    </w:p>
    <w:p w:rsidR="00853E3E" w:rsidRPr="00712627" w:rsidRDefault="00853E3E" w:rsidP="00853E3E">
      <w:pPr>
        <w:pStyle w:val="a3"/>
        <w:numPr>
          <w:ilvl w:val="0"/>
          <w:numId w:val="24"/>
        </w:numPr>
        <w:snapToGrid w:val="0"/>
        <w:spacing w:line="500" w:lineRule="exact"/>
        <w:ind w:left="1418" w:hanging="850"/>
        <w:jc w:val="both"/>
        <w:rPr>
          <w:rFonts w:ascii="Times New Roman" w:eastAsia="標楷體" w:hAnsi="標楷體"/>
          <w:color w:val="0D0D0D"/>
          <w:sz w:val="28"/>
          <w:szCs w:val="28"/>
        </w:rPr>
      </w:pPr>
      <w:r w:rsidRPr="00712627" w:rsidDel="00AF1F29">
        <w:rPr>
          <w:rFonts w:ascii="Times New Roman" w:eastAsia="標楷體" w:hAnsi="標楷體" w:hint="eastAsia"/>
          <w:color w:val="0D0D0D"/>
          <w:sz w:val="28"/>
          <w:szCs w:val="28"/>
        </w:rPr>
        <w:t>內部稽核與監理機關之檢查結果</w:t>
      </w:r>
      <w:r w:rsidRPr="00712627">
        <w:rPr>
          <w:rFonts w:ascii="Times New Roman" w:eastAsia="標楷體" w:hAnsi="標楷體" w:hint="eastAsia"/>
          <w:color w:val="0D0D0D"/>
          <w:sz w:val="28"/>
          <w:szCs w:val="28"/>
        </w:rPr>
        <w:t>。</w:t>
      </w:r>
    </w:p>
    <w:p w:rsidR="00853E3E" w:rsidRPr="00712627" w:rsidRDefault="0036316C" w:rsidP="00853E3E">
      <w:pPr>
        <w:pStyle w:val="a3"/>
        <w:snapToGrid w:val="0"/>
        <w:spacing w:line="500" w:lineRule="exact"/>
        <w:ind w:left="567"/>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事業於進行前項之全面性洗錢及資恐風險評估作業時，除考量上開指標外，建議輔以其他內部與外部來源取得之資訊，如</w:t>
      </w:r>
      <w:r w:rsidR="00853E3E" w:rsidRPr="00712627">
        <w:rPr>
          <w:rFonts w:ascii="Times New Roman" w:eastAsia="標楷體" w:hAnsi="標楷體" w:hint="eastAsia"/>
          <w:color w:val="0D0D0D"/>
          <w:sz w:val="28"/>
          <w:szCs w:val="28"/>
        </w:rPr>
        <w:t>：</w:t>
      </w:r>
    </w:p>
    <w:p w:rsidR="00853E3E" w:rsidRPr="00712627" w:rsidRDefault="0036316C" w:rsidP="00853E3E">
      <w:pPr>
        <w:pStyle w:val="a3"/>
        <w:numPr>
          <w:ilvl w:val="0"/>
          <w:numId w:val="25"/>
        </w:numPr>
        <w:snapToGrid w:val="0"/>
        <w:spacing w:line="500" w:lineRule="exact"/>
        <w:ind w:left="1418" w:hanging="850"/>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內部管理階層</w:t>
      </w:r>
      <w:r w:rsidRPr="00712627">
        <w:rPr>
          <w:rFonts w:ascii="標楷體" w:eastAsia="標楷體" w:hAnsi="標楷體"/>
          <w:color w:val="000000" w:themeColor="text1"/>
          <w:sz w:val="28"/>
          <w:szCs w:val="28"/>
        </w:rPr>
        <w:t>(</w:t>
      </w:r>
      <w:r w:rsidRPr="00712627">
        <w:rPr>
          <w:rFonts w:ascii="標楷體" w:eastAsia="標楷體" w:hAnsi="標楷體" w:hint="eastAsia"/>
          <w:color w:val="000000" w:themeColor="text1"/>
          <w:sz w:val="28"/>
          <w:szCs w:val="28"/>
        </w:rPr>
        <w:t>如事業單位主管、客戶關係經理等</w:t>
      </w:r>
      <w:r w:rsidRPr="00712627">
        <w:rPr>
          <w:rFonts w:ascii="標楷體" w:eastAsia="標楷體" w:hAnsi="標楷體"/>
          <w:color w:val="000000" w:themeColor="text1"/>
          <w:sz w:val="28"/>
          <w:szCs w:val="28"/>
        </w:rPr>
        <w:t>)</w:t>
      </w:r>
      <w:r w:rsidRPr="00712627">
        <w:rPr>
          <w:rFonts w:ascii="標楷體" w:eastAsia="標楷體" w:hAnsi="標楷體" w:hint="eastAsia"/>
          <w:color w:val="000000" w:themeColor="text1"/>
          <w:sz w:val="28"/>
          <w:szCs w:val="28"/>
        </w:rPr>
        <w:t>所提供的管理報</w:t>
      </w:r>
      <w:r w:rsidRPr="00712627">
        <w:rPr>
          <w:rFonts w:ascii="標楷體" w:eastAsia="標楷體" w:hAnsi="標楷體" w:hint="eastAsia"/>
          <w:color w:val="000000" w:themeColor="text1"/>
          <w:sz w:val="28"/>
          <w:szCs w:val="28"/>
        </w:rPr>
        <w:lastRenderedPageBreak/>
        <w:t>告</w:t>
      </w:r>
      <w:r w:rsidR="00853E3E" w:rsidRPr="00712627">
        <w:rPr>
          <w:rFonts w:ascii="Times New Roman" w:eastAsia="標楷體" w:hAnsi="標楷體" w:hint="eastAsia"/>
          <w:color w:val="0D0D0D"/>
          <w:sz w:val="28"/>
          <w:szCs w:val="28"/>
        </w:rPr>
        <w:t>。</w:t>
      </w:r>
    </w:p>
    <w:p w:rsidR="00853E3E" w:rsidRPr="00712627" w:rsidRDefault="0036316C" w:rsidP="002F12A1">
      <w:pPr>
        <w:pStyle w:val="a3"/>
        <w:numPr>
          <w:ilvl w:val="0"/>
          <w:numId w:val="25"/>
        </w:numPr>
        <w:snapToGrid w:val="0"/>
        <w:spacing w:line="500" w:lineRule="exact"/>
        <w:ind w:left="1418" w:hanging="850"/>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國際防制洗錢組織與他國所發布之防制洗錢及打擊資恐相關報告</w:t>
      </w:r>
      <w:r w:rsidR="00853E3E" w:rsidRPr="00712627">
        <w:rPr>
          <w:rFonts w:ascii="Times New Roman" w:eastAsia="標楷體" w:hAnsi="標楷體" w:hint="eastAsia"/>
          <w:color w:val="0D0D0D"/>
          <w:sz w:val="28"/>
          <w:szCs w:val="28"/>
        </w:rPr>
        <w:t>。</w:t>
      </w:r>
    </w:p>
    <w:p w:rsidR="00853E3E" w:rsidRPr="00712627" w:rsidRDefault="0036316C" w:rsidP="00853E3E">
      <w:pPr>
        <w:pStyle w:val="a3"/>
        <w:numPr>
          <w:ilvl w:val="0"/>
          <w:numId w:val="25"/>
        </w:numPr>
        <w:snapToGrid w:val="0"/>
        <w:spacing w:line="500" w:lineRule="exact"/>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主管機關發布之洗錢及資恐風險資訊</w:t>
      </w:r>
      <w:r w:rsidR="00853E3E" w:rsidRPr="00712627">
        <w:rPr>
          <w:rFonts w:ascii="Times New Roman" w:eastAsia="標楷體" w:hAnsi="標楷體" w:hint="eastAsia"/>
          <w:color w:val="0D0D0D"/>
          <w:sz w:val="28"/>
          <w:szCs w:val="28"/>
        </w:rPr>
        <w:t>。</w:t>
      </w:r>
    </w:p>
    <w:p w:rsidR="00853E3E" w:rsidRPr="00712627" w:rsidRDefault="0036316C" w:rsidP="00853E3E">
      <w:pPr>
        <w:pStyle w:val="a3"/>
        <w:snapToGrid w:val="0"/>
        <w:spacing w:line="500" w:lineRule="exact"/>
        <w:ind w:left="568"/>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事業之全面性洗錢及資恐風險評估結果應做為發展防制洗錢及打擊資恐計畫之基礎；事業應依據風險評估結果分配適當人力與資源，採取有效的反制措施，以預防或降低風險</w:t>
      </w:r>
      <w:r w:rsidR="00853E3E" w:rsidRPr="00712627">
        <w:rPr>
          <w:rFonts w:ascii="Times New Roman" w:eastAsia="標楷體" w:hAnsi="標楷體" w:hint="eastAsia"/>
          <w:color w:val="0D0D0D"/>
          <w:sz w:val="28"/>
          <w:szCs w:val="28"/>
        </w:rPr>
        <w:t>。</w:t>
      </w:r>
    </w:p>
    <w:p w:rsidR="00853E3E" w:rsidRPr="00712627" w:rsidRDefault="0036316C" w:rsidP="00853E3E">
      <w:pPr>
        <w:pStyle w:val="a3"/>
        <w:snapToGrid w:val="0"/>
        <w:spacing w:line="500" w:lineRule="exact"/>
        <w:ind w:leftChars="236" w:left="567" w:hanging="1"/>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事業有重大改變，如發生重大事件、管理及營運上有重大發展、或有相關新威脅產生時，應重新進行評估作業</w:t>
      </w:r>
      <w:r w:rsidR="00853E3E" w:rsidRPr="00712627" w:rsidDel="00ED62D2">
        <w:rPr>
          <w:rFonts w:ascii="Times New Roman" w:eastAsia="標楷體" w:hAnsi="標楷體" w:hint="eastAsia"/>
          <w:color w:val="0D0D0D"/>
          <w:sz w:val="28"/>
          <w:szCs w:val="28"/>
        </w:rPr>
        <w:t>。</w:t>
      </w:r>
    </w:p>
    <w:p w:rsidR="0042490F" w:rsidRPr="00712627" w:rsidRDefault="0036316C" w:rsidP="007F1CFC">
      <w:pPr>
        <w:pStyle w:val="a3"/>
        <w:snapToGrid w:val="0"/>
        <w:spacing w:line="500" w:lineRule="exact"/>
        <w:ind w:leftChars="236" w:left="567" w:hanging="1"/>
        <w:jc w:val="both"/>
        <w:rPr>
          <w:rFonts w:ascii="Times New Roman" w:eastAsia="標楷體" w:hAnsi="標楷體"/>
          <w:color w:val="0D0D0D"/>
          <w:sz w:val="28"/>
          <w:szCs w:val="28"/>
        </w:rPr>
      </w:pPr>
      <w:r w:rsidRPr="00712627">
        <w:rPr>
          <w:rFonts w:ascii="標楷體" w:eastAsia="標楷體" w:hAnsi="標楷體" w:hint="eastAsia"/>
          <w:color w:val="000000" w:themeColor="text1"/>
          <w:sz w:val="28"/>
          <w:szCs w:val="28"/>
        </w:rPr>
        <w:t>事業</w:t>
      </w:r>
      <w:r w:rsidRPr="00712627">
        <w:rPr>
          <w:rFonts w:ascii="標楷體" w:eastAsia="標楷體" w:hAnsi="標楷體"/>
          <w:color w:val="000000" w:themeColor="text1"/>
          <w:sz w:val="28"/>
          <w:szCs w:val="28"/>
        </w:rPr>
        <w:t>應</w:t>
      </w:r>
      <w:r w:rsidRPr="00712627">
        <w:rPr>
          <w:rFonts w:ascii="標楷體" w:eastAsia="標楷體" w:hAnsi="標楷體" w:hint="eastAsia"/>
          <w:color w:val="000000" w:themeColor="text1"/>
          <w:sz w:val="28"/>
          <w:szCs w:val="28"/>
        </w:rPr>
        <w:t>於完成或更新風險評估報告時，將風險評估報告送金融監督管理委員會備查</w:t>
      </w:r>
      <w:r w:rsidR="00DB17E1" w:rsidRPr="00712627">
        <w:rPr>
          <w:rFonts w:ascii="標楷體" w:eastAsia="標楷體" w:hAnsi="標楷體" w:hint="eastAsia"/>
          <w:sz w:val="28"/>
          <w:szCs w:val="28"/>
        </w:rPr>
        <w:t>。</w:t>
      </w:r>
    </w:p>
    <w:sectPr w:rsidR="0042490F" w:rsidRPr="00712627" w:rsidSect="008E6461">
      <w:headerReference w:type="default" r:id="rId8"/>
      <w:footerReference w:type="even" r:id="rId9"/>
      <w:footerReference w:type="default" r:id="rId10"/>
      <w:pgSz w:w="11906" w:h="16838" w:code="9"/>
      <w:pgMar w:top="1134" w:right="1134" w:bottom="1134" w:left="1134" w:header="0" w:footer="391"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16C" w:rsidRDefault="0036316C">
      <w:r>
        <w:separator/>
      </w:r>
    </w:p>
  </w:endnote>
  <w:endnote w:type="continuationSeparator" w:id="0">
    <w:p w:rsidR="0036316C" w:rsidRDefault="0036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16C" w:rsidRDefault="00E87DC8" w:rsidP="00743299">
    <w:pPr>
      <w:pStyle w:val="a5"/>
      <w:framePr w:wrap="around" w:vAnchor="text" w:hAnchor="margin" w:xAlign="center" w:y="1"/>
      <w:rPr>
        <w:rStyle w:val="a7"/>
      </w:rPr>
    </w:pPr>
    <w:r>
      <w:rPr>
        <w:rStyle w:val="a7"/>
      </w:rPr>
      <w:fldChar w:fldCharType="begin"/>
    </w:r>
    <w:r w:rsidR="0036316C">
      <w:rPr>
        <w:rStyle w:val="a7"/>
      </w:rPr>
      <w:instrText xml:space="preserve">PAGE  </w:instrText>
    </w:r>
    <w:r>
      <w:rPr>
        <w:rStyle w:val="a7"/>
      </w:rPr>
      <w:fldChar w:fldCharType="end"/>
    </w:r>
  </w:p>
  <w:p w:rsidR="0036316C" w:rsidRDefault="003631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16C" w:rsidRDefault="00F33DED">
    <w:pPr>
      <w:pStyle w:val="a5"/>
      <w:jc w:val="center"/>
    </w:pPr>
    <w:r>
      <w:fldChar w:fldCharType="begin"/>
    </w:r>
    <w:r>
      <w:instrText xml:space="preserve"> PAGE   \* MERGEFORMAT </w:instrText>
    </w:r>
    <w:r>
      <w:fldChar w:fldCharType="separate"/>
    </w:r>
    <w:r w:rsidR="00B216DC" w:rsidRPr="00B216DC">
      <w:rPr>
        <w:noProof/>
        <w:lang w:val="zh-TW"/>
      </w:rPr>
      <w:t>1</w:t>
    </w:r>
    <w:r>
      <w:rPr>
        <w:noProof/>
        <w:lang w:val="zh-TW"/>
      </w:rPr>
      <w:fldChar w:fldCharType="end"/>
    </w:r>
  </w:p>
  <w:p w:rsidR="0036316C" w:rsidRDefault="003631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16C" w:rsidRDefault="0036316C">
      <w:r>
        <w:separator/>
      </w:r>
    </w:p>
  </w:footnote>
  <w:footnote w:type="continuationSeparator" w:id="0">
    <w:p w:rsidR="0036316C" w:rsidRDefault="00363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17" w:rsidRDefault="00C15317">
    <w:pPr>
      <w:pStyle w:val="a8"/>
    </w:pPr>
  </w:p>
  <w:p w:rsidR="00C15317" w:rsidRDefault="00C15317" w:rsidP="00C15317">
    <w:pPr>
      <w:pStyle w:val="a8"/>
      <w:rPr>
        <w:rFonts w:ascii="標楷體" w:eastAsia="標楷體" w:hAnsi="標楷體"/>
      </w:rPr>
    </w:pPr>
  </w:p>
  <w:p w:rsidR="00C15317" w:rsidRDefault="00C15317" w:rsidP="00C15317">
    <w:pPr>
      <w:pStyle w:val="a8"/>
      <w:rPr>
        <w:sz w:val="24"/>
        <w:szCs w:val="24"/>
      </w:rPr>
    </w:pPr>
    <w:r w:rsidRPr="00061EAF">
      <w:rPr>
        <w:rFonts w:ascii="標楷體" w:eastAsia="標楷體" w:hAnsi="標楷體" w:hint="eastAsia"/>
      </w:rPr>
      <w:t>編製日期：</w:t>
    </w:r>
    <w:r>
      <w:rPr>
        <w:rFonts w:ascii="標楷體" w:eastAsia="標楷體" w:hAnsi="標楷體" w:hint="eastAsia"/>
      </w:rPr>
      <w:t>10</w:t>
    </w:r>
    <w:r w:rsidR="00FD3F00">
      <w:rPr>
        <w:rFonts w:ascii="標楷體" w:eastAsia="標楷體" w:hAnsi="標楷體" w:hint="eastAsia"/>
      </w:rPr>
      <w:t>8</w:t>
    </w:r>
    <w:r>
      <w:rPr>
        <w:rFonts w:ascii="標楷體" w:eastAsia="標楷體" w:hAnsi="標楷體" w:hint="eastAsia"/>
      </w:rPr>
      <w:t>.</w:t>
    </w:r>
    <w:r w:rsidR="00FD3F00">
      <w:rPr>
        <w:rFonts w:ascii="標楷體" w:eastAsia="標楷體" w:hAnsi="標楷體" w:hint="eastAsia"/>
      </w:rPr>
      <w:t>10</w:t>
    </w:r>
    <w:r>
      <w:rPr>
        <w:rFonts w:ascii="標楷體" w:eastAsia="標楷體" w:hAnsi="標楷體" w:hint="eastAsia"/>
      </w:rPr>
      <w:t>.</w:t>
    </w:r>
    <w:r w:rsidR="00FD3F00">
      <w:rPr>
        <w:rFonts w:ascii="標楷體" w:eastAsia="標楷體" w:hAnsi="標楷體" w:hint="eastAsia"/>
      </w:rPr>
      <w:t>08</w:t>
    </w:r>
  </w:p>
  <w:p w:rsidR="00C15317" w:rsidRDefault="00C153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DBE"/>
    <w:multiLevelType w:val="hybridMultilevel"/>
    <w:tmpl w:val="798C6E48"/>
    <w:lvl w:ilvl="0" w:tplc="738AFE6E">
      <w:start w:val="1"/>
      <w:numFmt w:val="taiwaneseCountingThousand"/>
      <w:lvlText w:val="（%1）"/>
      <w:lvlJc w:val="left"/>
      <w:pPr>
        <w:ind w:left="960" w:hanging="480"/>
      </w:pPr>
      <w:rPr>
        <w:rFonts w:hint="eastAsia"/>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AF6D38"/>
    <w:multiLevelType w:val="hybridMultilevel"/>
    <w:tmpl w:val="F38A9340"/>
    <w:lvl w:ilvl="0" w:tplc="13C49AF4">
      <w:start w:val="1"/>
      <w:numFmt w:val="taiwaneseCountingThousand"/>
      <w:lvlText w:val="（%1）"/>
      <w:lvlJc w:val="left"/>
      <w:pPr>
        <w:ind w:left="1288" w:hanging="720"/>
      </w:pPr>
      <w:rPr>
        <w:rFonts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C111E66"/>
    <w:multiLevelType w:val="hybridMultilevel"/>
    <w:tmpl w:val="022CA6E0"/>
    <w:lvl w:ilvl="0" w:tplc="770A2BDA">
      <w:start w:val="3"/>
      <w:numFmt w:val="taiwaneseCountingThousand"/>
      <w:lvlText w:val="（%1）"/>
      <w:lvlJc w:val="left"/>
      <w:pPr>
        <w:ind w:left="1286"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671D2F"/>
    <w:multiLevelType w:val="hybridMultilevel"/>
    <w:tmpl w:val="F38A9340"/>
    <w:lvl w:ilvl="0" w:tplc="13C49AF4">
      <w:start w:val="1"/>
      <w:numFmt w:val="taiwaneseCountingThousand"/>
      <w:lvlText w:val="（%1）"/>
      <w:lvlJc w:val="left"/>
      <w:pPr>
        <w:ind w:left="1288" w:hanging="720"/>
      </w:pPr>
      <w:rPr>
        <w:rFonts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14257E40"/>
    <w:multiLevelType w:val="hybridMultilevel"/>
    <w:tmpl w:val="5026581E"/>
    <w:lvl w:ilvl="0" w:tplc="9B7691B4">
      <w:start w:val="1"/>
      <w:numFmt w:val="decimal"/>
      <w:lvlText w:val="%1、"/>
      <w:lvlJc w:val="left"/>
      <w:pPr>
        <w:ind w:left="1614" w:hanging="480"/>
      </w:pPr>
      <w:rPr>
        <w:rFonts w:eastAsia="標楷體" w:hint="eastAsia"/>
        <w:b w:val="0"/>
        <w:i w:val="0"/>
        <w:color w:val="auto"/>
        <w:sz w:val="28"/>
        <w:szCs w:val="28"/>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16185923"/>
    <w:multiLevelType w:val="hybridMultilevel"/>
    <w:tmpl w:val="F38A9340"/>
    <w:lvl w:ilvl="0" w:tplc="13C49AF4">
      <w:start w:val="1"/>
      <w:numFmt w:val="taiwaneseCountingThousand"/>
      <w:lvlText w:val="（%1）"/>
      <w:lvlJc w:val="left"/>
      <w:pPr>
        <w:ind w:left="1288" w:hanging="720"/>
      </w:pPr>
      <w:rPr>
        <w:rFonts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AB13BB3"/>
    <w:multiLevelType w:val="hybridMultilevel"/>
    <w:tmpl w:val="269A5224"/>
    <w:lvl w:ilvl="0" w:tplc="0550068E">
      <w:start w:val="1"/>
      <w:numFmt w:val="decimal"/>
      <w:lvlText w:val="(%1)"/>
      <w:lvlJc w:val="left"/>
      <w:pPr>
        <w:ind w:left="2094" w:hanging="480"/>
      </w:pPr>
      <w:rPr>
        <w:rFonts w:hAnsi="Times New Roman"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7" w15:restartNumberingAfterBreak="0">
    <w:nsid w:val="1D7C589C"/>
    <w:multiLevelType w:val="hybridMultilevel"/>
    <w:tmpl w:val="E6E2EB94"/>
    <w:lvl w:ilvl="0" w:tplc="9B7691B4">
      <w:start w:val="1"/>
      <w:numFmt w:val="decimal"/>
      <w:lvlText w:val="%1、"/>
      <w:lvlJc w:val="left"/>
      <w:pPr>
        <w:ind w:left="1614" w:hanging="480"/>
      </w:pPr>
      <w:rPr>
        <w:rFonts w:eastAsia="標楷體" w:hint="eastAsia"/>
        <w:b w:val="0"/>
        <w:i w:val="0"/>
        <w:color w:val="auto"/>
        <w:sz w:val="28"/>
        <w:szCs w:val="28"/>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1F7D32FC"/>
    <w:multiLevelType w:val="hybridMultilevel"/>
    <w:tmpl w:val="E6E2EB94"/>
    <w:lvl w:ilvl="0" w:tplc="9B7691B4">
      <w:start w:val="1"/>
      <w:numFmt w:val="decimal"/>
      <w:lvlText w:val="%1、"/>
      <w:lvlJc w:val="left"/>
      <w:pPr>
        <w:ind w:left="1614" w:hanging="480"/>
      </w:pPr>
      <w:rPr>
        <w:rFonts w:eastAsia="標楷體" w:hint="eastAsia"/>
        <w:b w:val="0"/>
        <w:i w:val="0"/>
        <w:color w:val="auto"/>
        <w:sz w:val="28"/>
        <w:szCs w:val="28"/>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5835DFF"/>
    <w:multiLevelType w:val="hybridMultilevel"/>
    <w:tmpl w:val="A1ACF2D6"/>
    <w:lvl w:ilvl="0" w:tplc="13C49AF4">
      <w:start w:val="1"/>
      <w:numFmt w:val="taiwaneseCountingThousand"/>
      <w:lvlText w:val="（%1）"/>
      <w:lvlJc w:val="left"/>
      <w:pPr>
        <w:ind w:left="1046" w:hanging="480"/>
      </w:pPr>
      <w:rPr>
        <w:rFonts w:hint="default"/>
        <w:u w:val="no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34957DD8"/>
    <w:multiLevelType w:val="hybridMultilevel"/>
    <w:tmpl w:val="B1B64610"/>
    <w:lvl w:ilvl="0" w:tplc="2BD868D6">
      <w:start w:val="1"/>
      <w:numFmt w:val="taiwaneseCountingThousand"/>
      <w:lvlText w:val="（%1）"/>
      <w:lvlJc w:val="left"/>
      <w:pPr>
        <w:ind w:left="1288" w:hanging="720"/>
      </w:pPr>
      <w:rPr>
        <w:rFonts w:hint="default"/>
        <w:u w:val="none"/>
        <w:lang w:val="en-US"/>
      </w:rPr>
    </w:lvl>
    <w:lvl w:ilvl="1" w:tplc="13C49AF4">
      <w:start w:val="1"/>
      <w:numFmt w:val="taiwaneseCountingThousand"/>
      <w:lvlText w:val="（%2）"/>
      <w:lvlJc w:val="left"/>
      <w:pPr>
        <w:tabs>
          <w:tab w:val="num" w:pos="853"/>
        </w:tabs>
        <w:ind w:left="1703" w:hanging="850"/>
      </w:pPr>
      <w:rPr>
        <w:rFonts w:hint="default"/>
        <w:u w:val="none"/>
        <w:lang w:val="en-US"/>
      </w:rPr>
    </w:lvl>
    <w:lvl w:ilvl="2" w:tplc="9B7691B4">
      <w:start w:val="1"/>
      <w:numFmt w:val="decimal"/>
      <w:lvlText w:val="%3、"/>
      <w:lvlJc w:val="left"/>
      <w:pPr>
        <w:ind w:left="2008" w:hanging="480"/>
      </w:pPr>
      <w:rPr>
        <w:rFonts w:eastAsia="標楷體" w:hint="eastAsia"/>
        <w:b w:val="0"/>
        <w:i w:val="0"/>
        <w:color w:val="auto"/>
        <w:sz w:val="28"/>
        <w:szCs w:val="28"/>
        <w:u w:val="none"/>
      </w:rPr>
    </w:lvl>
    <w:lvl w:ilvl="3" w:tplc="E7A44058">
      <w:start w:val="1"/>
      <w:numFmt w:val="decimal"/>
      <w:lvlText w:val="(%4)"/>
      <w:lvlJc w:val="left"/>
      <w:pPr>
        <w:ind w:left="2488" w:hanging="480"/>
      </w:pPr>
      <w:rPr>
        <w:rFonts w:hAnsi="Times New Roman" w:hint="default"/>
      </w:r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35AC481E"/>
    <w:multiLevelType w:val="hybridMultilevel"/>
    <w:tmpl w:val="E658603C"/>
    <w:lvl w:ilvl="0" w:tplc="9B7691B4">
      <w:start w:val="1"/>
      <w:numFmt w:val="decimal"/>
      <w:lvlText w:val="%1、"/>
      <w:lvlJc w:val="left"/>
      <w:pPr>
        <w:ind w:left="1766" w:hanging="480"/>
      </w:pPr>
      <w:rPr>
        <w:rFonts w:eastAsia="標楷體" w:hint="eastAsia"/>
        <w:b w:val="0"/>
        <w:i w:val="0"/>
        <w:color w:val="auto"/>
        <w:sz w:val="28"/>
        <w:szCs w:val="28"/>
        <w:u w:val="none"/>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12" w15:restartNumberingAfterBreak="0">
    <w:nsid w:val="39AC2947"/>
    <w:multiLevelType w:val="hybridMultilevel"/>
    <w:tmpl w:val="5026581E"/>
    <w:lvl w:ilvl="0" w:tplc="9B7691B4">
      <w:start w:val="1"/>
      <w:numFmt w:val="decimal"/>
      <w:lvlText w:val="%1、"/>
      <w:lvlJc w:val="left"/>
      <w:pPr>
        <w:ind w:left="1614" w:hanging="480"/>
      </w:pPr>
      <w:rPr>
        <w:rFonts w:eastAsia="標楷體" w:hint="eastAsia"/>
        <w:b w:val="0"/>
        <w:i w:val="0"/>
        <w:color w:val="auto"/>
        <w:sz w:val="28"/>
        <w:szCs w:val="28"/>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3FDF0E85"/>
    <w:multiLevelType w:val="hybridMultilevel"/>
    <w:tmpl w:val="E6E2EB94"/>
    <w:lvl w:ilvl="0" w:tplc="9B7691B4">
      <w:start w:val="1"/>
      <w:numFmt w:val="decimal"/>
      <w:lvlText w:val="%1、"/>
      <w:lvlJc w:val="left"/>
      <w:pPr>
        <w:ind w:left="1614" w:hanging="480"/>
      </w:pPr>
      <w:rPr>
        <w:rFonts w:eastAsia="標楷體" w:hint="eastAsia"/>
        <w:b w:val="0"/>
        <w:i w:val="0"/>
        <w:color w:val="auto"/>
        <w:sz w:val="28"/>
        <w:szCs w:val="28"/>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468D5A6F"/>
    <w:multiLevelType w:val="hybridMultilevel"/>
    <w:tmpl w:val="F38A9340"/>
    <w:lvl w:ilvl="0" w:tplc="13C49AF4">
      <w:start w:val="1"/>
      <w:numFmt w:val="taiwaneseCountingThousand"/>
      <w:lvlText w:val="（%1）"/>
      <w:lvlJc w:val="left"/>
      <w:pPr>
        <w:ind w:left="1286" w:hanging="720"/>
      </w:pPr>
      <w:rPr>
        <w:rFonts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475B36CD"/>
    <w:multiLevelType w:val="hybridMultilevel"/>
    <w:tmpl w:val="F38A9340"/>
    <w:lvl w:ilvl="0" w:tplc="13C49AF4">
      <w:start w:val="1"/>
      <w:numFmt w:val="taiwaneseCountingThousand"/>
      <w:lvlText w:val="（%1）"/>
      <w:lvlJc w:val="left"/>
      <w:pPr>
        <w:ind w:left="1286" w:hanging="720"/>
      </w:pPr>
      <w:rPr>
        <w:rFonts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502C668D"/>
    <w:multiLevelType w:val="hybridMultilevel"/>
    <w:tmpl w:val="D498481A"/>
    <w:lvl w:ilvl="0" w:tplc="13C49AF4">
      <w:start w:val="1"/>
      <w:numFmt w:val="taiwaneseCountingThousand"/>
      <w:lvlText w:val="（%1）"/>
      <w:lvlJc w:val="left"/>
      <w:pPr>
        <w:ind w:left="1046" w:hanging="480"/>
      </w:pPr>
      <w:rPr>
        <w:rFonts w:hint="default"/>
        <w:u w:val="no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52960236"/>
    <w:multiLevelType w:val="hybridMultilevel"/>
    <w:tmpl w:val="FE525B48"/>
    <w:lvl w:ilvl="0" w:tplc="E7A44058">
      <w:start w:val="1"/>
      <w:numFmt w:val="decimal"/>
      <w:lvlText w:val="(%1)"/>
      <w:lvlJc w:val="left"/>
      <w:pPr>
        <w:ind w:left="3032" w:hanging="480"/>
      </w:pPr>
      <w:rPr>
        <w:rFonts w:hAnsi="Times New Roman"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8" w15:restartNumberingAfterBreak="0">
    <w:nsid w:val="60EA3F4C"/>
    <w:multiLevelType w:val="hybridMultilevel"/>
    <w:tmpl w:val="C87A7060"/>
    <w:lvl w:ilvl="0" w:tplc="821E3666">
      <w:start w:val="1"/>
      <w:numFmt w:val="taiwaneseCountingThousand"/>
      <w:lvlText w:val="（%1）"/>
      <w:lvlJc w:val="left"/>
      <w:pPr>
        <w:ind w:left="1286" w:hanging="720"/>
      </w:pPr>
      <w:rPr>
        <w:rFonts w:hint="default"/>
        <w:u w:val="singl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66A91C8D"/>
    <w:multiLevelType w:val="hybridMultilevel"/>
    <w:tmpl w:val="847CEE5C"/>
    <w:lvl w:ilvl="0" w:tplc="DDB60E7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8A61D9"/>
    <w:multiLevelType w:val="hybridMultilevel"/>
    <w:tmpl w:val="FE525B48"/>
    <w:lvl w:ilvl="0" w:tplc="E7A44058">
      <w:start w:val="1"/>
      <w:numFmt w:val="decimal"/>
      <w:lvlText w:val="(%1)"/>
      <w:lvlJc w:val="left"/>
      <w:pPr>
        <w:ind w:left="2094" w:hanging="480"/>
      </w:pPr>
      <w:rPr>
        <w:rFonts w:hAnsi="Times New Roman" w:hint="default"/>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1" w15:restartNumberingAfterBreak="0">
    <w:nsid w:val="6BB82FBC"/>
    <w:multiLevelType w:val="hybridMultilevel"/>
    <w:tmpl w:val="E6E2EB94"/>
    <w:lvl w:ilvl="0" w:tplc="9B7691B4">
      <w:start w:val="1"/>
      <w:numFmt w:val="decimal"/>
      <w:lvlText w:val="%1、"/>
      <w:lvlJc w:val="left"/>
      <w:pPr>
        <w:ind w:left="1614" w:hanging="480"/>
      </w:pPr>
      <w:rPr>
        <w:rFonts w:eastAsia="標楷體" w:hint="eastAsia"/>
        <w:b w:val="0"/>
        <w:i w:val="0"/>
        <w:color w:val="auto"/>
        <w:sz w:val="28"/>
        <w:szCs w:val="28"/>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6C594E76"/>
    <w:multiLevelType w:val="hybridMultilevel"/>
    <w:tmpl w:val="F38A9340"/>
    <w:lvl w:ilvl="0" w:tplc="13C49AF4">
      <w:start w:val="1"/>
      <w:numFmt w:val="taiwaneseCountingThousand"/>
      <w:lvlText w:val="（%1）"/>
      <w:lvlJc w:val="left"/>
      <w:pPr>
        <w:ind w:left="1286" w:hanging="720"/>
      </w:pPr>
      <w:rPr>
        <w:rFonts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71232B63"/>
    <w:multiLevelType w:val="hybridMultilevel"/>
    <w:tmpl w:val="F38A9340"/>
    <w:lvl w:ilvl="0" w:tplc="13C49AF4">
      <w:start w:val="1"/>
      <w:numFmt w:val="taiwaneseCountingThousand"/>
      <w:lvlText w:val="（%1）"/>
      <w:lvlJc w:val="left"/>
      <w:pPr>
        <w:ind w:left="1286" w:hanging="720"/>
      </w:pPr>
      <w:rPr>
        <w:rFonts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730438B3"/>
    <w:multiLevelType w:val="hybridMultilevel"/>
    <w:tmpl w:val="F38A9340"/>
    <w:lvl w:ilvl="0" w:tplc="13C49AF4">
      <w:start w:val="1"/>
      <w:numFmt w:val="taiwaneseCountingThousand"/>
      <w:lvlText w:val="（%1）"/>
      <w:lvlJc w:val="left"/>
      <w:pPr>
        <w:ind w:left="1288" w:hanging="720"/>
      </w:pPr>
      <w:rPr>
        <w:rFonts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7A183EDB"/>
    <w:multiLevelType w:val="hybridMultilevel"/>
    <w:tmpl w:val="0F48976A"/>
    <w:lvl w:ilvl="0" w:tplc="13C49AF4">
      <w:start w:val="1"/>
      <w:numFmt w:val="taiwaneseCountingThousand"/>
      <w:lvlText w:val="（%1）"/>
      <w:lvlJc w:val="left"/>
      <w:pPr>
        <w:ind w:left="1046" w:hanging="480"/>
      </w:pPr>
      <w:rPr>
        <w:rFonts w:hint="default"/>
        <w:u w:val="no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22"/>
  </w:num>
  <w:num w:numId="2">
    <w:abstractNumId w:val="21"/>
  </w:num>
  <w:num w:numId="3">
    <w:abstractNumId w:val="4"/>
  </w:num>
  <w:num w:numId="4">
    <w:abstractNumId w:val="12"/>
  </w:num>
  <w:num w:numId="5">
    <w:abstractNumId w:val="18"/>
  </w:num>
  <w:num w:numId="6">
    <w:abstractNumId w:val="10"/>
  </w:num>
  <w:num w:numId="7">
    <w:abstractNumId w:val="2"/>
  </w:num>
  <w:num w:numId="8">
    <w:abstractNumId w:val="6"/>
  </w:num>
  <w:num w:numId="9">
    <w:abstractNumId w:val="14"/>
  </w:num>
  <w:num w:numId="10">
    <w:abstractNumId w:val="16"/>
  </w:num>
  <w:num w:numId="11">
    <w:abstractNumId w:val="11"/>
  </w:num>
  <w:num w:numId="12">
    <w:abstractNumId w:val="25"/>
  </w:num>
  <w:num w:numId="13">
    <w:abstractNumId w:val="9"/>
  </w:num>
  <w:num w:numId="14">
    <w:abstractNumId w:val="19"/>
  </w:num>
  <w:num w:numId="15">
    <w:abstractNumId w:val="13"/>
  </w:num>
  <w:num w:numId="16">
    <w:abstractNumId w:val="17"/>
  </w:num>
  <w:num w:numId="17">
    <w:abstractNumId w:val="7"/>
  </w:num>
  <w:num w:numId="18">
    <w:abstractNumId w:val="20"/>
  </w:num>
  <w:num w:numId="19">
    <w:abstractNumId w:val="15"/>
  </w:num>
  <w:num w:numId="20">
    <w:abstractNumId w:val="23"/>
  </w:num>
  <w:num w:numId="21">
    <w:abstractNumId w:val="8"/>
  </w:num>
  <w:num w:numId="22">
    <w:abstractNumId w:val="3"/>
  </w:num>
  <w:num w:numId="23">
    <w:abstractNumId w:val="5"/>
  </w:num>
  <w:num w:numId="24">
    <w:abstractNumId w:val="1"/>
  </w:num>
  <w:num w:numId="25">
    <w:abstractNumId w:val="24"/>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361"/>
  <w:displayHorizontalDrawingGridEvery w:val="0"/>
  <w:characterSpacingControl w:val="doNotCompress"/>
  <w:noLineBreaksAfter w:lang="zh-TW" w:val="([{£¥‘“‵〈《「『【〔〝︵︷︹︻︽︿﹁﹃﹙﹛﹝（｛"/>
  <w:noLineBreaksBefore w:lang="zh-TW" w:va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30A5"/>
    <w:rsid w:val="0001121B"/>
    <w:rsid w:val="00011349"/>
    <w:rsid w:val="00014D26"/>
    <w:rsid w:val="00020FFA"/>
    <w:rsid w:val="000225AF"/>
    <w:rsid w:val="00024027"/>
    <w:rsid w:val="00025920"/>
    <w:rsid w:val="0003167C"/>
    <w:rsid w:val="000321FA"/>
    <w:rsid w:val="00032FDF"/>
    <w:rsid w:val="00033359"/>
    <w:rsid w:val="00034A80"/>
    <w:rsid w:val="000366CA"/>
    <w:rsid w:val="0003710C"/>
    <w:rsid w:val="00040CAB"/>
    <w:rsid w:val="00041E59"/>
    <w:rsid w:val="00041ED6"/>
    <w:rsid w:val="000462EB"/>
    <w:rsid w:val="00047C4E"/>
    <w:rsid w:val="00051390"/>
    <w:rsid w:val="00055AB7"/>
    <w:rsid w:val="00057E0B"/>
    <w:rsid w:val="0006643E"/>
    <w:rsid w:val="00071152"/>
    <w:rsid w:val="000713D9"/>
    <w:rsid w:val="00071998"/>
    <w:rsid w:val="00071CB4"/>
    <w:rsid w:val="00071D7A"/>
    <w:rsid w:val="000764C0"/>
    <w:rsid w:val="00077A0B"/>
    <w:rsid w:val="00082FFA"/>
    <w:rsid w:val="00084CFC"/>
    <w:rsid w:val="00086E30"/>
    <w:rsid w:val="000905A5"/>
    <w:rsid w:val="000955DF"/>
    <w:rsid w:val="00096C69"/>
    <w:rsid w:val="000A2B1E"/>
    <w:rsid w:val="000A4329"/>
    <w:rsid w:val="000A55BC"/>
    <w:rsid w:val="000A7C9D"/>
    <w:rsid w:val="000B14CA"/>
    <w:rsid w:val="000B18AC"/>
    <w:rsid w:val="000B194A"/>
    <w:rsid w:val="000B63CD"/>
    <w:rsid w:val="000B7E11"/>
    <w:rsid w:val="000C1A47"/>
    <w:rsid w:val="000C2E11"/>
    <w:rsid w:val="000C3E21"/>
    <w:rsid w:val="000C47DC"/>
    <w:rsid w:val="000C5A07"/>
    <w:rsid w:val="000C7DB9"/>
    <w:rsid w:val="000D023E"/>
    <w:rsid w:val="000D3DD2"/>
    <w:rsid w:val="000D52D6"/>
    <w:rsid w:val="000E10B0"/>
    <w:rsid w:val="000E53A7"/>
    <w:rsid w:val="000F0C2B"/>
    <w:rsid w:val="000F4353"/>
    <w:rsid w:val="000F593A"/>
    <w:rsid w:val="000F607E"/>
    <w:rsid w:val="001045E3"/>
    <w:rsid w:val="00104CBA"/>
    <w:rsid w:val="00110699"/>
    <w:rsid w:val="00112591"/>
    <w:rsid w:val="0012045D"/>
    <w:rsid w:val="00122116"/>
    <w:rsid w:val="00127AD8"/>
    <w:rsid w:val="00127E69"/>
    <w:rsid w:val="001329EC"/>
    <w:rsid w:val="00133316"/>
    <w:rsid w:val="00137765"/>
    <w:rsid w:val="001410B1"/>
    <w:rsid w:val="001412D1"/>
    <w:rsid w:val="00144D43"/>
    <w:rsid w:val="00146BC5"/>
    <w:rsid w:val="0014763F"/>
    <w:rsid w:val="00147C43"/>
    <w:rsid w:val="001503A9"/>
    <w:rsid w:val="0015460E"/>
    <w:rsid w:val="00157231"/>
    <w:rsid w:val="0015766E"/>
    <w:rsid w:val="0015798F"/>
    <w:rsid w:val="001609FC"/>
    <w:rsid w:val="001616C4"/>
    <w:rsid w:val="0016192B"/>
    <w:rsid w:val="00161B50"/>
    <w:rsid w:val="00162BE9"/>
    <w:rsid w:val="0016405C"/>
    <w:rsid w:val="00165BA9"/>
    <w:rsid w:val="00165C74"/>
    <w:rsid w:val="00167579"/>
    <w:rsid w:val="001677BE"/>
    <w:rsid w:val="00171653"/>
    <w:rsid w:val="00175686"/>
    <w:rsid w:val="001760AC"/>
    <w:rsid w:val="00181ABC"/>
    <w:rsid w:val="0018763E"/>
    <w:rsid w:val="00191DAF"/>
    <w:rsid w:val="00191E63"/>
    <w:rsid w:val="00192EB1"/>
    <w:rsid w:val="00195B73"/>
    <w:rsid w:val="001A1284"/>
    <w:rsid w:val="001A4825"/>
    <w:rsid w:val="001A5087"/>
    <w:rsid w:val="001A546B"/>
    <w:rsid w:val="001A627F"/>
    <w:rsid w:val="001B1C21"/>
    <w:rsid w:val="001B25C7"/>
    <w:rsid w:val="001B277F"/>
    <w:rsid w:val="001B575C"/>
    <w:rsid w:val="001B60B5"/>
    <w:rsid w:val="001C14B0"/>
    <w:rsid w:val="001C1926"/>
    <w:rsid w:val="001C3AD1"/>
    <w:rsid w:val="001C6495"/>
    <w:rsid w:val="001C759B"/>
    <w:rsid w:val="001C7A1A"/>
    <w:rsid w:val="001D1AF3"/>
    <w:rsid w:val="001D1B84"/>
    <w:rsid w:val="001D2D95"/>
    <w:rsid w:val="001D3C0D"/>
    <w:rsid w:val="001D5500"/>
    <w:rsid w:val="001D5556"/>
    <w:rsid w:val="001D7680"/>
    <w:rsid w:val="001D7BAE"/>
    <w:rsid w:val="001E056D"/>
    <w:rsid w:val="001E0EA8"/>
    <w:rsid w:val="001E1822"/>
    <w:rsid w:val="001E248F"/>
    <w:rsid w:val="001E2781"/>
    <w:rsid w:val="001E3169"/>
    <w:rsid w:val="001E5A4E"/>
    <w:rsid w:val="001E6913"/>
    <w:rsid w:val="001F116E"/>
    <w:rsid w:val="001F1A08"/>
    <w:rsid w:val="001F1CBF"/>
    <w:rsid w:val="001F1FCA"/>
    <w:rsid w:val="001F2248"/>
    <w:rsid w:val="001F487A"/>
    <w:rsid w:val="001F4D03"/>
    <w:rsid w:val="001F5A4E"/>
    <w:rsid w:val="002008CE"/>
    <w:rsid w:val="002030D4"/>
    <w:rsid w:val="00211304"/>
    <w:rsid w:val="00212177"/>
    <w:rsid w:val="00212A99"/>
    <w:rsid w:val="002147EC"/>
    <w:rsid w:val="00216B59"/>
    <w:rsid w:val="002236A2"/>
    <w:rsid w:val="00225B0B"/>
    <w:rsid w:val="0022606F"/>
    <w:rsid w:val="00226566"/>
    <w:rsid w:val="0022683B"/>
    <w:rsid w:val="00227430"/>
    <w:rsid w:val="002313E1"/>
    <w:rsid w:val="0023238E"/>
    <w:rsid w:val="00237342"/>
    <w:rsid w:val="00242C03"/>
    <w:rsid w:val="00253479"/>
    <w:rsid w:val="00253FFE"/>
    <w:rsid w:val="00255A14"/>
    <w:rsid w:val="00257B05"/>
    <w:rsid w:val="00260B46"/>
    <w:rsid w:val="00261E55"/>
    <w:rsid w:val="002636A2"/>
    <w:rsid w:val="00270C7F"/>
    <w:rsid w:val="00271329"/>
    <w:rsid w:val="00272332"/>
    <w:rsid w:val="0027439F"/>
    <w:rsid w:val="0027566E"/>
    <w:rsid w:val="0027675B"/>
    <w:rsid w:val="002815BC"/>
    <w:rsid w:val="00281966"/>
    <w:rsid w:val="002828DB"/>
    <w:rsid w:val="00287F58"/>
    <w:rsid w:val="0029033F"/>
    <w:rsid w:val="00292858"/>
    <w:rsid w:val="002951BE"/>
    <w:rsid w:val="0029678F"/>
    <w:rsid w:val="00296F9B"/>
    <w:rsid w:val="002970F2"/>
    <w:rsid w:val="002A0755"/>
    <w:rsid w:val="002A3B25"/>
    <w:rsid w:val="002A46FA"/>
    <w:rsid w:val="002A5167"/>
    <w:rsid w:val="002A5624"/>
    <w:rsid w:val="002A5E62"/>
    <w:rsid w:val="002A6114"/>
    <w:rsid w:val="002A6B1A"/>
    <w:rsid w:val="002A7414"/>
    <w:rsid w:val="002A7814"/>
    <w:rsid w:val="002B138F"/>
    <w:rsid w:val="002B1BE6"/>
    <w:rsid w:val="002B24CF"/>
    <w:rsid w:val="002B3DB8"/>
    <w:rsid w:val="002B42FA"/>
    <w:rsid w:val="002B573C"/>
    <w:rsid w:val="002B5A25"/>
    <w:rsid w:val="002B7D98"/>
    <w:rsid w:val="002C101D"/>
    <w:rsid w:val="002C37E9"/>
    <w:rsid w:val="002C494F"/>
    <w:rsid w:val="002C63F5"/>
    <w:rsid w:val="002C6548"/>
    <w:rsid w:val="002C6F80"/>
    <w:rsid w:val="002C7210"/>
    <w:rsid w:val="002D1E59"/>
    <w:rsid w:val="002D22B8"/>
    <w:rsid w:val="002D36FE"/>
    <w:rsid w:val="002D480D"/>
    <w:rsid w:val="002D565C"/>
    <w:rsid w:val="002E3E41"/>
    <w:rsid w:val="002E423B"/>
    <w:rsid w:val="002E4869"/>
    <w:rsid w:val="002E5AB2"/>
    <w:rsid w:val="002E66E4"/>
    <w:rsid w:val="002E6F0E"/>
    <w:rsid w:val="002F05A3"/>
    <w:rsid w:val="002F0A9F"/>
    <w:rsid w:val="002F12A1"/>
    <w:rsid w:val="002F42EE"/>
    <w:rsid w:val="002F6D1A"/>
    <w:rsid w:val="00300AC5"/>
    <w:rsid w:val="00300D90"/>
    <w:rsid w:val="00301E86"/>
    <w:rsid w:val="00302691"/>
    <w:rsid w:val="00303A4E"/>
    <w:rsid w:val="00305E2A"/>
    <w:rsid w:val="00305EC6"/>
    <w:rsid w:val="00306364"/>
    <w:rsid w:val="003075B8"/>
    <w:rsid w:val="0030762D"/>
    <w:rsid w:val="003119AE"/>
    <w:rsid w:val="00312ED3"/>
    <w:rsid w:val="00315712"/>
    <w:rsid w:val="003167AD"/>
    <w:rsid w:val="00316ACE"/>
    <w:rsid w:val="0031739A"/>
    <w:rsid w:val="00317A9A"/>
    <w:rsid w:val="00322F63"/>
    <w:rsid w:val="0032305A"/>
    <w:rsid w:val="0032572E"/>
    <w:rsid w:val="003270DB"/>
    <w:rsid w:val="00331229"/>
    <w:rsid w:val="00334263"/>
    <w:rsid w:val="0033449E"/>
    <w:rsid w:val="00334DF6"/>
    <w:rsid w:val="00337CCB"/>
    <w:rsid w:val="003436D4"/>
    <w:rsid w:val="00344E13"/>
    <w:rsid w:val="003451EE"/>
    <w:rsid w:val="00350A75"/>
    <w:rsid w:val="00352CDE"/>
    <w:rsid w:val="0035314C"/>
    <w:rsid w:val="0035386F"/>
    <w:rsid w:val="00353D5D"/>
    <w:rsid w:val="003578C5"/>
    <w:rsid w:val="003609EE"/>
    <w:rsid w:val="0036278C"/>
    <w:rsid w:val="0036316C"/>
    <w:rsid w:val="0036638E"/>
    <w:rsid w:val="0036717A"/>
    <w:rsid w:val="003673B3"/>
    <w:rsid w:val="003738F9"/>
    <w:rsid w:val="00374C75"/>
    <w:rsid w:val="00375B00"/>
    <w:rsid w:val="00376730"/>
    <w:rsid w:val="00376B55"/>
    <w:rsid w:val="00377430"/>
    <w:rsid w:val="003801C2"/>
    <w:rsid w:val="00380495"/>
    <w:rsid w:val="003870E9"/>
    <w:rsid w:val="003941FD"/>
    <w:rsid w:val="003978D6"/>
    <w:rsid w:val="003A26EF"/>
    <w:rsid w:val="003A66A7"/>
    <w:rsid w:val="003B6029"/>
    <w:rsid w:val="003B73DF"/>
    <w:rsid w:val="003C022F"/>
    <w:rsid w:val="003C1F66"/>
    <w:rsid w:val="003C3D83"/>
    <w:rsid w:val="003C5361"/>
    <w:rsid w:val="003C667C"/>
    <w:rsid w:val="003C69B9"/>
    <w:rsid w:val="003C6A72"/>
    <w:rsid w:val="003D364F"/>
    <w:rsid w:val="003D57EE"/>
    <w:rsid w:val="003D736C"/>
    <w:rsid w:val="003D7EB8"/>
    <w:rsid w:val="003E16DF"/>
    <w:rsid w:val="003E239E"/>
    <w:rsid w:val="003E258F"/>
    <w:rsid w:val="003E2DC4"/>
    <w:rsid w:val="003E577D"/>
    <w:rsid w:val="003E7CCA"/>
    <w:rsid w:val="003F6318"/>
    <w:rsid w:val="003F729D"/>
    <w:rsid w:val="0040049D"/>
    <w:rsid w:val="004015BE"/>
    <w:rsid w:val="004024A5"/>
    <w:rsid w:val="004049A5"/>
    <w:rsid w:val="004058B3"/>
    <w:rsid w:val="0040602C"/>
    <w:rsid w:val="00410C2D"/>
    <w:rsid w:val="00414107"/>
    <w:rsid w:val="00414166"/>
    <w:rsid w:val="00416E55"/>
    <w:rsid w:val="004213FA"/>
    <w:rsid w:val="0042232E"/>
    <w:rsid w:val="00423AC2"/>
    <w:rsid w:val="0042490F"/>
    <w:rsid w:val="004259AC"/>
    <w:rsid w:val="004269CC"/>
    <w:rsid w:val="00426DD8"/>
    <w:rsid w:val="004279A4"/>
    <w:rsid w:val="004342BD"/>
    <w:rsid w:val="00434857"/>
    <w:rsid w:val="00434D17"/>
    <w:rsid w:val="004368EE"/>
    <w:rsid w:val="0044175F"/>
    <w:rsid w:val="0044185A"/>
    <w:rsid w:val="00452133"/>
    <w:rsid w:val="004570FB"/>
    <w:rsid w:val="00460595"/>
    <w:rsid w:val="00462567"/>
    <w:rsid w:val="004665D7"/>
    <w:rsid w:val="00466D7C"/>
    <w:rsid w:val="00466EF3"/>
    <w:rsid w:val="00467CE2"/>
    <w:rsid w:val="00471933"/>
    <w:rsid w:val="00480174"/>
    <w:rsid w:val="00484338"/>
    <w:rsid w:val="00484BD7"/>
    <w:rsid w:val="004866B3"/>
    <w:rsid w:val="004869C4"/>
    <w:rsid w:val="004872B5"/>
    <w:rsid w:val="00487E96"/>
    <w:rsid w:val="004911E1"/>
    <w:rsid w:val="00494ADA"/>
    <w:rsid w:val="00497E8A"/>
    <w:rsid w:val="004A3BA5"/>
    <w:rsid w:val="004A5CA0"/>
    <w:rsid w:val="004B2575"/>
    <w:rsid w:val="004B611C"/>
    <w:rsid w:val="004B779D"/>
    <w:rsid w:val="004C0167"/>
    <w:rsid w:val="004C13AA"/>
    <w:rsid w:val="004C2CCF"/>
    <w:rsid w:val="004C4029"/>
    <w:rsid w:val="004C56B9"/>
    <w:rsid w:val="004D2496"/>
    <w:rsid w:val="004E125E"/>
    <w:rsid w:val="004E3670"/>
    <w:rsid w:val="004E3FA4"/>
    <w:rsid w:val="004E4C36"/>
    <w:rsid w:val="004E64CA"/>
    <w:rsid w:val="004E7B82"/>
    <w:rsid w:val="004F074A"/>
    <w:rsid w:val="004F1ED3"/>
    <w:rsid w:val="004F3CE5"/>
    <w:rsid w:val="004F3D5C"/>
    <w:rsid w:val="004F6113"/>
    <w:rsid w:val="004F7F89"/>
    <w:rsid w:val="005011F4"/>
    <w:rsid w:val="00502106"/>
    <w:rsid w:val="0050510C"/>
    <w:rsid w:val="0050542D"/>
    <w:rsid w:val="00506A6A"/>
    <w:rsid w:val="00506BC9"/>
    <w:rsid w:val="00510D2B"/>
    <w:rsid w:val="00511302"/>
    <w:rsid w:val="00511A57"/>
    <w:rsid w:val="0051206B"/>
    <w:rsid w:val="00512534"/>
    <w:rsid w:val="00515DDD"/>
    <w:rsid w:val="005223EB"/>
    <w:rsid w:val="00523BAB"/>
    <w:rsid w:val="00523D5B"/>
    <w:rsid w:val="00523F8E"/>
    <w:rsid w:val="00524DFB"/>
    <w:rsid w:val="005253CA"/>
    <w:rsid w:val="00525AC3"/>
    <w:rsid w:val="00531F96"/>
    <w:rsid w:val="00532809"/>
    <w:rsid w:val="00532CFE"/>
    <w:rsid w:val="005339CA"/>
    <w:rsid w:val="0053435F"/>
    <w:rsid w:val="00534D59"/>
    <w:rsid w:val="00540CB6"/>
    <w:rsid w:val="00541966"/>
    <w:rsid w:val="00541A71"/>
    <w:rsid w:val="00541FCE"/>
    <w:rsid w:val="00542CC2"/>
    <w:rsid w:val="00546B6C"/>
    <w:rsid w:val="0054759C"/>
    <w:rsid w:val="005501A6"/>
    <w:rsid w:val="0055072C"/>
    <w:rsid w:val="005511CE"/>
    <w:rsid w:val="00555916"/>
    <w:rsid w:val="00561B32"/>
    <w:rsid w:val="0056295D"/>
    <w:rsid w:val="00567537"/>
    <w:rsid w:val="00570536"/>
    <w:rsid w:val="00575ED1"/>
    <w:rsid w:val="00576FF0"/>
    <w:rsid w:val="005818AF"/>
    <w:rsid w:val="00582F9F"/>
    <w:rsid w:val="00584F73"/>
    <w:rsid w:val="00585B97"/>
    <w:rsid w:val="00585F4B"/>
    <w:rsid w:val="00587352"/>
    <w:rsid w:val="00590535"/>
    <w:rsid w:val="00590D92"/>
    <w:rsid w:val="00597472"/>
    <w:rsid w:val="00597F35"/>
    <w:rsid w:val="005A0636"/>
    <w:rsid w:val="005A10C1"/>
    <w:rsid w:val="005A1B80"/>
    <w:rsid w:val="005A391A"/>
    <w:rsid w:val="005A3A3F"/>
    <w:rsid w:val="005A42FF"/>
    <w:rsid w:val="005A5454"/>
    <w:rsid w:val="005A5AB2"/>
    <w:rsid w:val="005A5E7D"/>
    <w:rsid w:val="005A6255"/>
    <w:rsid w:val="005C00AF"/>
    <w:rsid w:val="005C4172"/>
    <w:rsid w:val="005C7807"/>
    <w:rsid w:val="005C78D4"/>
    <w:rsid w:val="005C7D24"/>
    <w:rsid w:val="005D017C"/>
    <w:rsid w:val="005D08E5"/>
    <w:rsid w:val="005D2158"/>
    <w:rsid w:val="005D389D"/>
    <w:rsid w:val="005D5AEC"/>
    <w:rsid w:val="005D60D5"/>
    <w:rsid w:val="005E05CB"/>
    <w:rsid w:val="005E1312"/>
    <w:rsid w:val="005E14DB"/>
    <w:rsid w:val="005E6270"/>
    <w:rsid w:val="005F09A6"/>
    <w:rsid w:val="005F0E87"/>
    <w:rsid w:val="005F2950"/>
    <w:rsid w:val="005F3A1F"/>
    <w:rsid w:val="005F573F"/>
    <w:rsid w:val="0060126C"/>
    <w:rsid w:val="00601827"/>
    <w:rsid w:val="00601ED7"/>
    <w:rsid w:val="0060637B"/>
    <w:rsid w:val="00606DF4"/>
    <w:rsid w:val="006073D1"/>
    <w:rsid w:val="00610F82"/>
    <w:rsid w:val="00620267"/>
    <w:rsid w:val="00621752"/>
    <w:rsid w:val="00621CD9"/>
    <w:rsid w:val="0062299B"/>
    <w:rsid w:val="00622A91"/>
    <w:rsid w:val="00623D6D"/>
    <w:rsid w:val="00626145"/>
    <w:rsid w:val="00630E88"/>
    <w:rsid w:val="00631036"/>
    <w:rsid w:val="00631591"/>
    <w:rsid w:val="00632244"/>
    <w:rsid w:val="00634B9D"/>
    <w:rsid w:val="00635FB2"/>
    <w:rsid w:val="00640BFE"/>
    <w:rsid w:val="00640E22"/>
    <w:rsid w:val="00643000"/>
    <w:rsid w:val="00643D20"/>
    <w:rsid w:val="0064414F"/>
    <w:rsid w:val="00645725"/>
    <w:rsid w:val="00646DF3"/>
    <w:rsid w:val="00651A8A"/>
    <w:rsid w:val="0065228B"/>
    <w:rsid w:val="006553A3"/>
    <w:rsid w:val="006570DA"/>
    <w:rsid w:val="00657D3A"/>
    <w:rsid w:val="00660B12"/>
    <w:rsid w:val="00660D65"/>
    <w:rsid w:val="00661531"/>
    <w:rsid w:val="00661689"/>
    <w:rsid w:val="00661810"/>
    <w:rsid w:val="00666380"/>
    <w:rsid w:val="00667768"/>
    <w:rsid w:val="00667785"/>
    <w:rsid w:val="00672BE7"/>
    <w:rsid w:val="00672C40"/>
    <w:rsid w:val="00673C02"/>
    <w:rsid w:val="00673C98"/>
    <w:rsid w:val="00674BEE"/>
    <w:rsid w:val="00677D4C"/>
    <w:rsid w:val="00677D7C"/>
    <w:rsid w:val="00686422"/>
    <w:rsid w:val="00691662"/>
    <w:rsid w:val="006939DC"/>
    <w:rsid w:val="00694C69"/>
    <w:rsid w:val="006A0B42"/>
    <w:rsid w:val="006A6E67"/>
    <w:rsid w:val="006B344D"/>
    <w:rsid w:val="006B6395"/>
    <w:rsid w:val="006B7230"/>
    <w:rsid w:val="006B73FC"/>
    <w:rsid w:val="006C00EC"/>
    <w:rsid w:val="006C03F1"/>
    <w:rsid w:val="006C23BA"/>
    <w:rsid w:val="006C370A"/>
    <w:rsid w:val="006C4A90"/>
    <w:rsid w:val="006C4D06"/>
    <w:rsid w:val="006C528B"/>
    <w:rsid w:val="006C6FB9"/>
    <w:rsid w:val="006C7BE8"/>
    <w:rsid w:val="006D17CF"/>
    <w:rsid w:val="006D2891"/>
    <w:rsid w:val="006D3738"/>
    <w:rsid w:val="006D4B42"/>
    <w:rsid w:val="006D6502"/>
    <w:rsid w:val="006E048D"/>
    <w:rsid w:val="006E0F72"/>
    <w:rsid w:val="006E17BB"/>
    <w:rsid w:val="006E1DFA"/>
    <w:rsid w:val="006E35FA"/>
    <w:rsid w:val="006E520C"/>
    <w:rsid w:val="006E603A"/>
    <w:rsid w:val="006E6FE8"/>
    <w:rsid w:val="006F15EE"/>
    <w:rsid w:val="006F1E0F"/>
    <w:rsid w:val="006F3E4D"/>
    <w:rsid w:val="006F43B2"/>
    <w:rsid w:val="006F4B4A"/>
    <w:rsid w:val="006F50C5"/>
    <w:rsid w:val="006F7A3A"/>
    <w:rsid w:val="0070081C"/>
    <w:rsid w:val="00701093"/>
    <w:rsid w:val="00701849"/>
    <w:rsid w:val="0070234E"/>
    <w:rsid w:val="00703984"/>
    <w:rsid w:val="00704758"/>
    <w:rsid w:val="00706A98"/>
    <w:rsid w:val="00712627"/>
    <w:rsid w:val="00713D3D"/>
    <w:rsid w:val="00714A28"/>
    <w:rsid w:val="00715A3F"/>
    <w:rsid w:val="00722B6E"/>
    <w:rsid w:val="00723BB3"/>
    <w:rsid w:val="00723F41"/>
    <w:rsid w:val="007241AC"/>
    <w:rsid w:val="007266DD"/>
    <w:rsid w:val="00727678"/>
    <w:rsid w:val="00730F87"/>
    <w:rsid w:val="007318F4"/>
    <w:rsid w:val="007350DF"/>
    <w:rsid w:val="007375B8"/>
    <w:rsid w:val="00743299"/>
    <w:rsid w:val="007433B1"/>
    <w:rsid w:val="00744230"/>
    <w:rsid w:val="00744C85"/>
    <w:rsid w:val="00745DCC"/>
    <w:rsid w:val="00746DE6"/>
    <w:rsid w:val="0075127D"/>
    <w:rsid w:val="00751442"/>
    <w:rsid w:val="0075300D"/>
    <w:rsid w:val="0075379E"/>
    <w:rsid w:val="00754110"/>
    <w:rsid w:val="00754EA4"/>
    <w:rsid w:val="00755299"/>
    <w:rsid w:val="00755EB4"/>
    <w:rsid w:val="0075647B"/>
    <w:rsid w:val="00760515"/>
    <w:rsid w:val="007642A8"/>
    <w:rsid w:val="0076762E"/>
    <w:rsid w:val="00767740"/>
    <w:rsid w:val="007677BF"/>
    <w:rsid w:val="0077323B"/>
    <w:rsid w:val="0077601E"/>
    <w:rsid w:val="00776BFE"/>
    <w:rsid w:val="00777D8B"/>
    <w:rsid w:val="00791FF0"/>
    <w:rsid w:val="00793191"/>
    <w:rsid w:val="007934B5"/>
    <w:rsid w:val="00793952"/>
    <w:rsid w:val="00794251"/>
    <w:rsid w:val="00796E5C"/>
    <w:rsid w:val="00796F90"/>
    <w:rsid w:val="00797E3C"/>
    <w:rsid w:val="007A1339"/>
    <w:rsid w:val="007A1709"/>
    <w:rsid w:val="007A3F69"/>
    <w:rsid w:val="007A4EBC"/>
    <w:rsid w:val="007A554E"/>
    <w:rsid w:val="007A6405"/>
    <w:rsid w:val="007A6ED7"/>
    <w:rsid w:val="007B623E"/>
    <w:rsid w:val="007C1801"/>
    <w:rsid w:val="007C1DBF"/>
    <w:rsid w:val="007C23ED"/>
    <w:rsid w:val="007C4B6E"/>
    <w:rsid w:val="007C7D1D"/>
    <w:rsid w:val="007D314A"/>
    <w:rsid w:val="007D358B"/>
    <w:rsid w:val="007D72C7"/>
    <w:rsid w:val="007E0645"/>
    <w:rsid w:val="007E39AE"/>
    <w:rsid w:val="007E40EB"/>
    <w:rsid w:val="007E6D4D"/>
    <w:rsid w:val="007F1305"/>
    <w:rsid w:val="007F1CFC"/>
    <w:rsid w:val="007F464D"/>
    <w:rsid w:val="007F63E5"/>
    <w:rsid w:val="008007F4"/>
    <w:rsid w:val="00802B59"/>
    <w:rsid w:val="00807CE2"/>
    <w:rsid w:val="008129B8"/>
    <w:rsid w:val="00813499"/>
    <w:rsid w:val="00813D46"/>
    <w:rsid w:val="00814115"/>
    <w:rsid w:val="0081698C"/>
    <w:rsid w:val="00821BB2"/>
    <w:rsid w:val="00822682"/>
    <w:rsid w:val="00823EB6"/>
    <w:rsid w:val="008264AF"/>
    <w:rsid w:val="008350A1"/>
    <w:rsid w:val="00837F39"/>
    <w:rsid w:val="00843D7C"/>
    <w:rsid w:val="00845A69"/>
    <w:rsid w:val="00846075"/>
    <w:rsid w:val="00853E3E"/>
    <w:rsid w:val="00854866"/>
    <w:rsid w:val="00854AE5"/>
    <w:rsid w:val="00854CA4"/>
    <w:rsid w:val="00855087"/>
    <w:rsid w:val="00855173"/>
    <w:rsid w:val="0085732E"/>
    <w:rsid w:val="008577D1"/>
    <w:rsid w:val="0086116D"/>
    <w:rsid w:val="0086206B"/>
    <w:rsid w:val="00864470"/>
    <w:rsid w:val="0086679C"/>
    <w:rsid w:val="0087032B"/>
    <w:rsid w:val="00871408"/>
    <w:rsid w:val="00875257"/>
    <w:rsid w:val="0087632D"/>
    <w:rsid w:val="008843FE"/>
    <w:rsid w:val="00885176"/>
    <w:rsid w:val="008858AD"/>
    <w:rsid w:val="00886B78"/>
    <w:rsid w:val="008900B1"/>
    <w:rsid w:val="00892298"/>
    <w:rsid w:val="008933E5"/>
    <w:rsid w:val="00894A82"/>
    <w:rsid w:val="008955DA"/>
    <w:rsid w:val="008A33BE"/>
    <w:rsid w:val="008A3456"/>
    <w:rsid w:val="008A4284"/>
    <w:rsid w:val="008B3842"/>
    <w:rsid w:val="008B525A"/>
    <w:rsid w:val="008C1968"/>
    <w:rsid w:val="008C68DB"/>
    <w:rsid w:val="008D014F"/>
    <w:rsid w:val="008D086C"/>
    <w:rsid w:val="008D2D6B"/>
    <w:rsid w:val="008D543C"/>
    <w:rsid w:val="008D5522"/>
    <w:rsid w:val="008D5553"/>
    <w:rsid w:val="008D5B94"/>
    <w:rsid w:val="008D6BD4"/>
    <w:rsid w:val="008D7BAC"/>
    <w:rsid w:val="008E18C0"/>
    <w:rsid w:val="008E2828"/>
    <w:rsid w:val="008E2F76"/>
    <w:rsid w:val="008E3F6A"/>
    <w:rsid w:val="008E6461"/>
    <w:rsid w:val="008E7FAE"/>
    <w:rsid w:val="008F0CCC"/>
    <w:rsid w:val="008F1A08"/>
    <w:rsid w:val="008F3067"/>
    <w:rsid w:val="008F372A"/>
    <w:rsid w:val="008F43EE"/>
    <w:rsid w:val="008F6608"/>
    <w:rsid w:val="008F6B35"/>
    <w:rsid w:val="008F76EB"/>
    <w:rsid w:val="008F7F8B"/>
    <w:rsid w:val="0090063E"/>
    <w:rsid w:val="0090070D"/>
    <w:rsid w:val="0090116B"/>
    <w:rsid w:val="00903147"/>
    <w:rsid w:val="0090370D"/>
    <w:rsid w:val="00905F5E"/>
    <w:rsid w:val="0091034A"/>
    <w:rsid w:val="00910ED6"/>
    <w:rsid w:val="00911E09"/>
    <w:rsid w:val="00912196"/>
    <w:rsid w:val="0091249F"/>
    <w:rsid w:val="009158CB"/>
    <w:rsid w:val="00926F64"/>
    <w:rsid w:val="009276EB"/>
    <w:rsid w:val="0092773C"/>
    <w:rsid w:val="00931438"/>
    <w:rsid w:val="00931963"/>
    <w:rsid w:val="00937DAE"/>
    <w:rsid w:val="00942677"/>
    <w:rsid w:val="009428F5"/>
    <w:rsid w:val="0094561D"/>
    <w:rsid w:val="00946483"/>
    <w:rsid w:val="009472F4"/>
    <w:rsid w:val="00947E38"/>
    <w:rsid w:val="0095186C"/>
    <w:rsid w:val="009567F9"/>
    <w:rsid w:val="00960B44"/>
    <w:rsid w:val="00961C76"/>
    <w:rsid w:val="00962ECC"/>
    <w:rsid w:val="009664C6"/>
    <w:rsid w:val="0097127C"/>
    <w:rsid w:val="00971E30"/>
    <w:rsid w:val="00974640"/>
    <w:rsid w:val="00980D69"/>
    <w:rsid w:val="00983539"/>
    <w:rsid w:val="00983D75"/>
    <w:rsid w:val="00985609"/>
    <w:rsid w:val="00990DC5"/>
    <w:rsid w:val="00991B04"/>
    <w:rsid w:val="00991D85"/>
    <w:rsid w:val="009927C9"/>
    <w:rsid w:val="00996BA1"/>
    <w:rsid w:val="009A097A"/>
    <w:rsid w:val="009A3C39"/>
    <w:rsid w:val="009A3C43"/>
    <w:rsid w:val="009A3DCD"/>
    <w:rsid w:val="009A3F4F"/>
    <w:rsid w:val="009A5BC2"/>
    <w:rsid w:val="009A64E8"/>
    <w:rsid w:val="009B0890"/>
    <w:rsid w:val="009B1007"/>
    <w:rsid w:val="009B1C14"/>
    <w:rsid w:val="009B6058"/>
    <w:rsid w:val="009B701F"/>
    <w:rsid w:val="009C2AF3"/>
    <w:rsid w:val="009C407C"/>
    <w:rsid w:val="009C4731"/>
    <w:rsid w:val="009C7A51"/>
    <w:rsid w:val="009D11D2"/>
    <w:rsid w:val="009D2435"/>
    <w:rsid w:val="009D6AC6"/>
    <w:rsid w:val="009E0921"/>
    <w:rsid w:val="009E2430"/>
    <w:rsid w:val="009E37B4"/>
    <w:rsid w:val="009E3F66"/>
    <w:rsid w:val="009E6C27"/>
    <w:rsid w:val="009F1B34"/>
    <w:rsid w:val="009F369E"/>
    <w:rsid w:val="009F56D7"/>
    <w:rsid w:val="00A056CC"/>
    <w:rsid w:val="00A070EF"/>
    <w:rsid w:val="00A1035F"/>
    <w:rsid w:val="00A10D57"/>
    <w:rsid w:val="00A11823"/>
    <w:rsid w:val="00A126D8"/>
    <w:rsid w:val="00A13D4E"/>
    <w:rsid w:val="00A20C79"/>
    <w:rsid w:val="00A21789"/>
    <w:rsid w:val="00A2465B"/>
    <w:rsid w:val="00A2650C"/>
    <w:rsid w:val="00A32038"/>
    <w:rsid w:val="00A34B97"/>
    <w:rsid w:val="00A350A9"/>
    <w:rsid w:val="00A35C04"/>
    <w:rsid w:val="00A41AC3"/>
    <w:rsid w:val="00A41F8A"/>
    <w:rsid w:val="00A42ABB"/>
    <w:rsid w:val="00A43439"/>
    <w:rsid w:val="00A467CF"/>
    <w:rsid w:val="00A473EB"/>
    <w:rsid w:val="00A53EF8"/>
    <w:rsid w:val="00A556DB"/>
    <w:rsid w:val="00A55940"/>
    <w:rsid w:val="00A5641C"/>
    <w:rsid w:val="00A5672C"/>
    <w:rsid w:val="00A57C99"/>
    <w:rsid w:val="00A61421"/>
    <w:rsid w:val="00A62CB8"/>
    <w:rsid w:val="00A635F8"/>
    <w:rsid w:val="00A65942"/>
    <w:rsid w:val="00A66099"/>
    <w:rsid w:val="00A66C29"/>
    <w:rsid w:val="00A700B6"/>
    <w:rsid w:val="00A7174E"/>
    <w:rsid w:val="00A75575"/>
    <w:rsid w:val="00A758E3"/>
    <w:rsid w:val="00A812B8"/>
    <w:rsid w:val="00A81548"/>
    <w:rsid w:val="00A84370"/>
    <w:rsid w:val="00A84F25"/>
    <w:rsid w:val="00A94805"/>
    <w:rsid w:val="00A94D3D"/>
    <w:rsid w:val="00A95AA0"/>
    <w:rsid w:val="00A96A40"/>
    <w:rsid w:val="00A9783B"/>
    <w:rsid w:val="00AA29A1"/>
    <w:rsid w:val="00AA3798"/>
    <w:rsid w:val="00AA59D0"/>
    <w:rsid w:val="00AA78A6"/>
    <w:rsid w:val="00AB12FB"/>
    <w:rsid w:val="00AB4093"/>
    <w:rsid w:val="00AB5081"/>
    <w:rsid w:val="00AB525C"/>
    <w:rsid w:val="00AB6BA8"/>
    <w:rsid w:val="00AB75EF"/>
    <w:rsid w:val="00AC1395"/>
    <w:rsid w:val="00AC20F7"/>
    <w:rsid w:val="00AC26FB"/>
    <w:rsid w:val="00AC34FB"/>
    <w:rsid w:val="00AC43D5"/>
    <w:rsid w:val="00AC6E75"/>
    <w:rsid w:val="00AD086D"/>
    <w:rsid w:val="00AD4B04"/>
    <w:rsid w:val="00AD5B0F"/>
    <w:rsid w:val="00AD5ECE"/>
    <w:rsid w:val="00AE730D"/>
    <w:rsid w:val="00AF1687"/>
    <w:rsid w:val="00AF5BB4"/>
    <w:rsid w:val="00AF638D"/>
    <w:rsid w:val="00AF7986"/>
    <w:rsid w:val="00B038A3"/>
    <w:rsid w:val="00B05AC3"/>
    <w:rsid w:val="00B05BFD"/>
    <w:rsid w:val="00B07785"/>
    <w:rsid w:val="00B108CD"/>
    <w:rsid w:val="00B10C84"/>
    <w:rsid w:val="00B13053"/>
    <w:rsid w:val="00B17808"/>
    <w:rsid w:val="00B20099"/>
    <w:rsid w:val="00B20134"/>
    <w:rsid w:val="00B216DC"/>
    <w:rsid w:val="00B21D94"/>
    <w:rsid w:val="00B24977"/>
    <w:rsid w:val="00B2634E"/>
    <w:rsid w:val="00B27175"/>
    <w:rsid w:val="00B27F72"/>
    <w:rsid w:val="00B303DE"/>
    <w:rsid w:val="00B327B1"/>
    <w:rsid w:val="00B32F13"/>
    <w:rsid w:val="00B35A86"/>
    <w:rsid w:val="00B366B4"/>
    <w:rsid w:val="00B4073B"/>
    <w:rsid w:val="00B41B57"/>
    <w:rsid w:val="00B41CE3"/>
    <w:rsid w:val="00B4370E"/>
    <w:rsid w:val="00B44B49"/>
    <w:rsid w:val="00B5453F"/>
    <w:rsid w:val="00B56D0C"/>
    <w:rsid w:val="00B57192"/>
    <w:rsid w:val="00B60FF6"/>
    <w:rsid w:val="00B638AE"/>
    <w:rsid w:val="00B66289"/>
    <w:rsid w:val="00B677DF"/>
    <w:rsid w:val="00B67EBC"/>
    <w:rsid w:val="00B705CC"/>
    <w:rsid w:val="00B730A5"/>
    <w:rsid w:val="00B73222"/>
    <w:rsid w:val="00B764E2"/>
    <w:rsid w:val="00B76F68"/>
    <w:rsid w:val="00B809CF"/>
    <w:rsid w:val="00B83F0F"/>
    <w:rsid w:val="00B87065"/>
    <w:rsid w:val="00B879F9"/>
    <w:rsid w:val="00B90EF7"/>
    <w:rsid w:val="00B92A38"/>
    <w:rsid w:val="00B93ECE"/>
    <w:rsid w:val="00B97B02"/>
    <w:rsid w:val="00BA11AC"/>
    <w:rsid w:val="00BA2080"/>
    <w:rsid w:val="00BA3D23"/>
    <w:rsid w:val="00BA536F"/>
    <w:rsid w:val="00BA721C"/>
    <w:rsid w:val="00BB005C"/>
    <w:rsid w:val="00BB1819"/>
    <w:rsid w:val="00BB1BA2"/>
    <w:rsid w:val="00BB2443"/>
    <w:rsid w:val="00BB4809"/>
    <w:rsid w:val="00BB6B95"/>
    <w:rsid w:val="00BB709E"/>
    <w:rsid w:val="00BB7199"/>
    <w:rsid w:val="00BC0580"/>
    <w:rsid w:val="00BC4AD3"/>
    <w:rsid w:val="00BD0471"/>
    <w:rsid w:val="00BD055A"/>
    <w:rsid w:val="00BD0E03"/>
    <w:rsid w:val="00BD0F0A"/>
    <w:rsid w:val="00BD1194"/>
    <w:rsid w:val="00BD3204"/>
    <w:rsid w:val="00BD3386"/>
    <w:rsid w:val="00BE4AD2"/>
    <w:rsid w:val="00BE705B"/>
    <w:rsid w:val="00BF0323"/>
    <w:rsid w:val="00BF3713"/>
    <w:rsid w:val="00BF4EF3"/>
    <w:rsid w:val="00BF62D0"/>
    <w:rsid w:val="00BF688D"/>
    <w:rsid w:val="00BF6D53"/>
    <w:rsid w:val="00BF75C2"/>
    <w:rsid w:val="00C021FB"/>
    <w:rsid w:val="00C04F73"/>
    <w:rsid w:val="00C14275"/>
    <w:rsid w:val="00C15317"/>
    <w:rsid w:val="00C16162"/>
    <w:rsid w:val="00C23636"/>
    <w:rsid w:val="00C24044"/>
    <w:rsid w:val="00C2432E"/>
    <w:rsid w:val="00C25E1E"/>
    <w:rsid w:val="00C306B9"/>
    <w:rsid w:val="00C3122A"/>
    <w:rsid w:val="00C31F4D"/>
    <w:rsid w:val="00C33810"/>
    <w:rsid w:val="00C33A31"/>
    <w:rsid w:val="00C33A79"/>
    <w:rsid w:val="00C41560"/>
    <w:rsid w:val="00C44796"/>
    <w:rsid w:val="00C51413"/>
    <w:rsid w:val="00C52CA0"/>
    <w:rsid w:val="00C60913"/>
    <w:rsid w:val="00C614BB"/>
    <w:rsid w:val="00C634FE"/>
    <w:rsid w:val="00C63EF9"/>
    <w:rsid w:val="00C66751"/>
    <w:rsid w:val="00C66B69"/>
    <w:rsid w:val="00C71309"/>
    <w:rsid w:val="00C76894"/>
    <w:rsid w:val="00C8196A"/>
    <w:rsid w:val="00C8197C"/>
    <w:rsid w:val="00C836BC"/>
    <w:rsid w:val="00C90F1A"/>
    <w:rsid w:val="00C94A1D"/>
    <w:rsid w:val="00C9562E"/>
    <w:rsid w:val="00C95A29"/>
    <w:rsid w:val="00CA1A63"/>
    <w:rsid w:val="00CA35CF"/>
    <w:rsid w:val="00CA6524"/>
    <w:rsid w:val="00CA6739"/>
    <w:rsid w:val="00CA712D"/>
    <w:rsid w:val="00CA7CD4"/>
    <w:rsid w:val="00CB28E6"/>
    <w:rsid w:val="00CB5A3B"/>
    <w:rsid w:val="00CB5A6B"/>
    <w:rsid w:val="00CB7293"/>
    <w:rsid w:val="00CC0157"/>
    <w:rsid w:val="00CC2699"/>
    <w:rsid w:val="00CC2704"/>
    <w:rsid w:val="00CC28BD"/>
    <w:rsid w:val="00CC35EE"/>
    <w:rsid w:val="00CC5888"/>
    <w:rsid w:val="00CC6909"/>
    <w:rsid w:val="00CD03D5"/>
    <w:rsid w:val="00CD1CF1"/>
    <w:rsid w:val="00CD4AAE"/>
    <w:rsid w:val="00CD7E91"/>
    <w:rsid w:val="00CE0515"/>
    <w:rsid w:val="00CE19B0"/>
    <w:rsid w:val="00CE20DF"/>
    <w:rsid w:val="00CE63ED"/>
    <w:rsid w:val="00CE6D34"/>
    <w:rsid w:val="00CE73B8"/>
    <w:rsid w:val="00CF4E84"/>
    <w:rsid w:val="00CF64C4"/>
    <w:rsid w:val="00CF6807"/>
    <w:rsid w:val="00CF73E3"/>
    <w:rsid w:val="00D00BC0"/>
    <w:rsid w:val="00D02011"/>
    <w:rsid w:val="00D06363"/>
    <w:rsid w:val="00D06DA0"/>
    <w:rsid w:val="00D11CED"/>
    <w:rsid w:val="00D120FD"/>
    <w:rsid w:val="00D13BA1"/>
    <w:rsid w:val="00D13D6C"/>
    <w:rsid w:val="00D13E1E"/>
    <w:rsid w:val="00D149B4"/>
    <w:rsid w:val="00D21164"/>
    <w:rsid w:val="00D227F1"/>
    <w:rsid w:val="00D247F8"/>
    <w:rsid w:val="00D24A78"/>
    <w:rsid w:val="00D31D8E"/>
    <w:rsid w:val="00D32A14"/>
    <w:rsid w:val="00D3337B"/>
    <w:rsid w:val="00D349DF"/>
    <w:rsid w:val="00D37970"/>
    <w:rsid w:val="00D41979"/>
    <w:rsid w:val="00D5039B"/>
    <w:rsid w:val="00D51537"/>
    <w:rsid w:val="00D529B4"/>
    <w:rsid w:val="00D52B50"/>
    <w:rsid w:val="00D53D57"/>
    <w:rsid w:val="00D5413F"/>
    <w:rsid w:val="00D61F96"/>
    <w:rsid w:val="00D76996"/>
    <w:rsid w:val="00D76E77"/>
    <w:rsid w:val="00D80C68"/>
    <w:rsid w:val="00D83484"/>
    <w:rsid w:val="00D8464E"/>
    <w:rsid w:val="00D848AE"/>
    <w:rsid w:val="00D85827"/>
    <w:rsid w:val="00D860F0"/>
    <w:rsid w:val="00D87D02"/>
    <w:rsid w:val="00D90A0B"/>
    <w:rsid w:val="00D94C91"/>
    <w:rsid w:val="00D954A3"/>
    <w:rsid w:val="00D968E7"/>
    <w:rsid w:val="00D97DFC"/>
    <w:rsid w:val="00DA2F91"/>
    <w:rsid w:val="00DA5989"/>
    <w:rsid w:val="00DB17E1"/>
    <w:rsid w:val="00DB1D0F"/>
    <w:rsid w:val="00DB4B60"/>
    <w:rsid w:val="00DB6EED"/>
    <w:rsid w:val="00DC025E"/>
    <w:rsid w:val="00DC0DAF"/>
    <w:rsid w:val="00DC2D81"/>
    <w:rsid w:val="00DC2F45"/>
    <w:rsid w:val="00DC6F8C"/>
    <w:rsid w:val="00DC7985"/>
    <w:rsid w:val="00DD13EC"/>
    <w:rsid w:val="00DD194B"/>
    <w:rsid w:val="00DD37F0"/>
    <w:rsid w:val="00DD3DEC"/>
    <w:rsid w:val="00DD6097"/>
    <w:rsid w:val="00DD654A"/>
    <w:rsid w:val="00DE0A08"/>
    <w:rsid w:val="00DE1823"/>
    <w:rsid w:val="00DE1E0C"/>
    <w:rsid w:val="00DE200A"/>
    <w:rsid w:val="00DE5C91"/>
    <w:rsid w:val="00DE62BC"/>
    <w:rsid w:val="00DF0491"/>
    <w:rsid w:val="00DF04D4"/>
    <w:rsid w:val="00DF4C51"/>
    <w:rsid w:val="00DF50AC"/>
    <w:rsid w:val="00DF560D"/>
    <w:rsid w:val="00DF6F6F"/>
    <w:rsid w:val="00E02190"/>
    <w:rsid w:val="00E023AF"/>
    <w:rsid w:val="00E05F56"/>
    <w:rsid w:val="00E064B3"/>
    <w:rsid w:val="00E06F0A"/>
    <w:rsid w:val="00E06F7F"/>
    <w:rsid w:val="00E10652"/>
    <w:rsid w:val="00E141ED"/>
    <w:rsid w:val="00E1757A"/>
    <w:rsid w:val="00E23E16"/>
    <w:rsid w:val="00E272EF"/>
    <w:rsid w:val="00E27C9B"/>
    <w:rsid w:val="00E371CE"/>
    <w:rsid w:val="00E40DA7"/>
    <w:rsid w:val="00E43382"/>
    <w:rsid w:val="00E4628A"/>
    <w:rsid w:val="00E46CC0"/>
    <w:rsid w:val="00E52E30"/>
    <w:rsid w:val="00E54212"/>
    <w:rsid w:val="00E54B5D"/>
    <w:rsid w:val="00E60F72"/>
    <w:rsid w:val="00E613CE"/>
    <w:rsid w:val="00E6196A"/>
    <w:rsid w:val="00E61A63"/>
    <w:rsid w:val="00E62DD6"/>
    <w:rsid w:val="00E648A9"/>
    <w:rsid w:val="00E64CE0"/>
    <w:rsid w:val="00E65BAB"/>
    <w:rsid w:val="00E65C38"/>
    <w:rsid w:val="00E65EE0"/>
    <w:rsid w:val="00E67631"/>
    <w:rsid w:val="00E72F1F"/>
    <w:rsid w:val="00E80941"/>
    <w:rsid w:val="00E810D5"/>
    <w:rsid w:val="00E81FE9"/>
    <w:rsid w:val="00E83136"/>
    <w:rsid w:val="00E84BAC"/>
    <w:rsid w:val="00E87DC8"/>
    <w:rsid w:val="00E90764"/>
    <w:rsid w:val="00E913BF"/>
    <w:rsid w:val="00E95505"/>
    <w:rsid w:val="00EA167C"/>
    <w:rsid w:val="00EA28F3"/>
    <w:rsid w:val="00EA2904"/>
    <w:rsid w:val="00EA4887"/>
    <w:rsid w:val="00EA4C3C"/>
    <w:rsid w:val="00EA4C59"/>
    <w:rsid w:val="00EB1943"/>
    <w:rsid w:val="00EB2217"/>
    <w:rsid w:val="00EB3D2A"/>
    <w:rsid w:val="00EB6AEE"/>
    <w:rsid w:val="00EC0B13"/>
    <w:rsid w:val="00EC66AE"/>
    <w:rsid w:val="00ED1536"/>
    <w:rsid w:val="00ED2524"/>
    <w:rsid w:val="00ED49B2"/>
    <w:rsid w:val="00EE1AC4"/>
    <w:rsid w:val="00EE1F1C"/>
    <w:rsid w:val="00EE2252"/>
    <w:rsid w:val="00EE2E22"/>
    <w:rsid w:val="00EF2505"/>
    <w:rsid w:val="00EF35F7"/>
    <w:rsid w:val="00EF3A06"/>
    <w:rsid w:val="00EF3DA2"/>
    <w:rsid w:val="00EF76DF"/>
    <w:rsid w:val="00EF7B0B"/>
    <w:rsid w:val="00EF7DD9"/>
    <w:rsid w:val="00F00AD1"/>
    <w:rsid w:val="00F047BD"/>
    <w:rsid w:val="00F053A4"/>
    <w:rsid w:val="00F05C17"/>
    <w:rsid w:val="00F072A7"/>
    <w:rsid w:val="00F12D15"/>
    <w:rsid w:val="00F149A9"/>
    <w:rsid w:val="00F16717"/>
    <w:rsid w:val="00F1682C"/>
    <w:rsid w:val="00F2043F"/>
    <w:rsid w:val="00F23309"/>
    <w:rsid w:val="00F23440"/>
    <w:rsid w:val="00F23D6D"/>
    <w:rsid w:val="00F246DD"/>
    <w:rsid w:val="00F24989"/>
    <w:rsid w:val="00F25891"/>
    <w:rsid w:val="00F25C6B"/>
    <w:rsid w:val="00F32F1E"/>
    <w:rsid w:val="00F33DED"/>
    <w:rsid w:val="00F36EF3"/>
    <w:rsid w:val="00F37748"/>
    <w:rsid w:val="00F37EEF"/>
    <w:rsid w:val="00F40C87"/>
    <w:rsid w:val="00F4464E"/>
    <w:rsid w:val="00F44E71"/>
    <w:rsid w:val="00F44EBE"/>
    <w:rsid w:val="00F50E01"/>
    <w:rsid w:val="00F521E4"/>
    <w:rsid w:val="00F54A8E"/>
    <w:rsid w:val="00F55786"/>
    <w:rsid w:val="00F5695A"/>
    <w:rsid w:val="00F63996"/>
    <w:rsid w:val="00F63A6F"/>
    <w:rsid w:val="00F677D3"/>
    <w:rsid w:val="00F67AE8"/>
    <w:rsid w:val="00F704BA"/>
    <w:rsid w:val="00F70848"/>
    <w:rsid w:val="00F70AF5"/>
    <w:rsid w:val="00F73CF1"/>
    <w:rsid w:val="00F81546"/>
    <w:rsid w:val="00F905DB"/>
    <w:rsid w:val="00F90811"/>
    <w:rsid w:val="00F910E7"/>
    <w:rsid w:val="00F91612"/>
    <w:rsid w:val="00F927E0"/>
    <w:rsid w:val="00F92A71"/>
    <w:rsid w:val="00F940D0"/>
    <w:rsid w:val="00F941F1"/>
    <w:rsid w:val="00F95795"/>
    <w:rsid w:val="00F95DE9"/>
    <w:rsid w:val="00F96963"/>
    <w:rsid w:val="00F969BE"/>
    <w:rsid w:val="00FA6155"/>
    <w:rsid w:val="00FA6E5A"/>
    <w:rsid w:val="00FB04BD"/>
    <w:rsid w:val="00FB097F"/>
    <w:rsid w:val="00FB173A"/>
    <w:rsid w:val="00FB2E33"/>
    <w:rsid w:val="00FB304F"/>
    <w:rsid w:val="00FB3BA4"/>
    <w:rsid w:val="00FB5340"/>
    <w:rsid w:val="00FB5422"/>
    <w:rsid w:val="00FB72C6"/>
    <w:rsid w:val="00FB7B8B"/>
    <w:rsid w:val="00FB7E43"/>
    <w:rsid w:val="00FC317E"/>
    <w:rsid w:val="00FC5780"/>
    <w:rsid w:val="00FC6421"/>
    <w:rsid w:val="00FC6C3F"/>
    <w:rsid w:val="00FD3F00"/>
    <w:rsid w:val="00FD6642"/>
    <w:rsid w:val="00FD6706"/>
    <w:rsid w:val="00FE04A2"/>
    <w:rsid w:val="00FE1ACC"/>
    <w:rsid w:val="00FE1D27"/>
    <w:rsid w:val="00FE34B3"/>
    <w:rsid w:val="00FE524A"/>
    <w:rsid w:val="00FE62C4"/>
    <w:rsid w:val="00FF098E"/>
    <w:rsid w:val="00FF228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97DE0CFA-095F-47B5-B4F5-06970609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72C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B72C6"/>
    <w:rPr>
      <w:rFonts w:ascii="細明體" w:eastAsia="細明體" w:hAnsi="Courier New"/>
    </w:rPr>
  </w:style>
  <w:style w:type="paragraph" w:styleId="a5">
    <w:name w:val="footer"/>
    <w:basedOn w:val="a"/>
    <w:link w:val="a6"/>
    <w:uiPriority w:val="99"/>
    <w:rsid w:val="00FB72C6"/>
    <w:pPr>
      <w:tabs>
        <w:tab w:val="center" w:pos="4153"/>
        <w:tab w:val="right" w:pos="8306"/>
      </w:tabs>
      <w:snapToGrid w:val="0"/>
    </w:pPr>
    <w:rPr>
      <w:sz w:val="20"/>
      <w:szCs w:val="20"/>
    </w:rPr>
  </w:style>
  <w:style w:type="character" w:styleId="a7">
    <w:name w:val="page number"/>
    <w:basedOn w:val="a0"/>
    <w:rsid w:val="00FB72C6"/>
  </w:style>
  <w:style w:type="paragraph" w:styleId="a8">
    <w:name w:val="header"/>
    <w:basedOn w:val="a"/>
    <w:link w:val="a9"/>
    <w:uiPriority w:val="99"/>
    <w:rsid w:val="00FB72C6"/>
    <w:pPr>
      <w:tabs>
        <w:tab w:val="center" w:pos="4153"/>
        <w:tab w:val="right" w:pos="8306"/>
      </w:tabs>
      <w:snapToGrid w:val="0"/>
    </w:pPr>
    <w:rPr>
      <w:sz w:val="20"/>
      <w:szCs w:val="20"/>
    </w:rPr>
  </w:style>
  <w:style w:type="paragraph" w:styleId="aa">
    <w:name w:val="Body Text Indent"/>
    <w:basedOn w:val="a"/>
    <w:rsid w:val="00FB72C6"/>
    <w:pPr>
      <w:ind w:leftChars="200" w:left="1200" w:hangingChars="300" w:hanging="720"/>
    </w:pPr>
  </w:style>
  <w:style w:type="paragraph" w:styleId="ab">
    <w:name w:val="Date"/>
    <w:basedOn w:val="a"/>
    <w:next w:val="a"/>
    <w:rsid w:val="00F54A8E"/>
    <w:pPr>
      <w:jc w:val="right"/>
    </w:pPr>
  </w:style>
  <w:style w:type="paragraph" w:styleId="ac">
    <w:name w:val="Balloon Text"/>
    <w:basedOn w:val="a"/>
    <w:semiHidden/>
    <w:rsid w:val="002F42EE"/>
    <w:rPr>
      <w:rFonts w:ascii="Arial" w:hAnsi="Arial"/>
      <w:sz w:val="18"/>
      <w:szCs w:val="18"/>
    </w:rPr>
  </w:style>
  <w:style w:type="paragraph" w:customStyle="1" w:styleId="ad">
    <w:name w:val="公文(主旨)"/>
    <w:basedOn w:val="a"/>
    <w:next w:val="a"/>
    <w:rsid w:val="00674BEE"/>
    <w:pPr>
      <w:widowControl/>
      <w:ind w:left="958" w:hanging="958"/>
      <w:textAlignment w:val="baseline"/>
    </w:pPr>
    <w:rPr>
      <w:rFonts w:eastAsia="標楷體"/>
      <w:noProof/>
      <w:kern w:val="0"/>
      <w:sz w:val="32"/>
      <w:szCs w:val="20"/>
      <w:lang w:bidi="he-IL"/>
    </w:rPr>
  </w:style>
  <w:style w:type="paragraph" w:customStyle="1" w:styleId="Char">
    <w:name w:val="Char"/>
    <w:basedOn w:val="a"/>
    <w:rsid w:val="00A11823"/>
    <w:pPr>
      <w:widowControl/>
      <w:spacing w:after="160" w:line="240" w:lineRule="exact"/>
    </w:pPr>
    <w:rPr>
      <w:rFonts w:ascii="Verdana" w:eastAsia="標楷體" w:hAnsi="Verdana"/>
      <w:kern w:val="0"/>
      <w:sz w:val="20"/>
      <w:szCs w:val="20"/>
      <w:lang w:eastAsia="en-US"/>
    </w:rPr>
  </w:style>
  <w:style w:type="paragraph" w:styleId="HTML">
    <w:name w:val="HTML Preformatted"/>
    <w:basedOn w:val="a"/>
    <w:link w:val="HTML0"/>
    <w:rsid w:val="00CC27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link w:val="HTML"/>
    <w:rsid w:val="00CC2704"/>
    <w:rPr>
      <w:rFonts w:ascii="細明體" w:eastAsia="細明體" w:hAnsi="Courier New" w:cs="Courier New"/>
    </w:rPr>
  </w:style>
  <w:style w:type="character" w:customStyle="1" w:styleId="a4">
    <w:name w:val="純文字 字元"/>
    <w:link w:val="a3"/>
    <w:rsid w:val="00CB7293"/>
    <w:rPr>
      <w:rFonts w:ascii="細明體" w:eastAsia="細明體" w:hAnsi="Courier New" w:cs="Courier New"/>
      <w:kern w:val="2"/>
      <w:sz w:val="24"/>
      <w:szCs w:val="24"/>
    </w:rPr>
  </w:style>
  <w:style w:type="character" w:styleId="ae">
    <w:name w:val="Hyperlink"/>
    <w:rsid w:val="00672BE7"/>
    <w:rPr>
      <w:color w:val="0000FF"/>
      <w:u w:val="single"/>
    </w:rPr>
  </w:style>
  <w:style w:type="character" w:customStyle="1" w:styleId="a6">
    <w:name w:val="頁尾 字元"/>
    <w:link w:val="a5"/>
    <w:uiPriority w:val="99"/>
    <w:rsid w:val="00864470"/>
    <w:rPr>
      <w:kern w:val="2"/>
    </w:rPr>
  </w:style>
  <w:style w:type="character" w:styleId="af">
    <w:name w:val="annotation reference"/>
    <w:rsid w:val="00041E59"/>
    <w:rPr>
      <w:sz w:val="18"/>
      <w:szCs w:val="18"/>
    </w:rPr>
  </w:style>
  <w:style w:type="paragraph" w:styleId="af0">
    <w:name w:val="annotation text"/>
    <w:basedOn w:val="a"/>
    <w:link w:val="af1"/>
    <w:rsid w:val="00041E59"/>
  </w:style>
  <w:style w:type="character" w:customStyle="1" w:styleId="af1">
    <w:name w:val="註解文字 字元"/>
    <w:link w:val="af0"/>
    <w:rsid w:val="00041E59"/>
    <w:rPr>
      <w:kern w:val="2"/>
      <w:sz w:val="24"/>
      <w:szCs w:val="24"/>
    </w:rPr>
  </w:style>
  <w:style w:type="paragraph" w:styleId="af2">
    <w:name w:val="annotation subject"/>
    <w:basedOn w:val="af0"/>
    <w:next w:val="af0"/>
    <w:link w:val="af3"/>
    <w:rsid w:val="00041E59"/>
    <w:rPr>
      <w:b/>
      <w:bCs/>
    </w:rPr>
  </w:style>
  <w:style w:type="character" w:customStyle="1" w:styleId="af3">
    <w:name w:val="註解主旨 字元"/>
    <w:link w:val="af2"/>
    <w:rsid w:val="00041E59"/>
    <w:rPr>
      <w:b/>
      <w:bCs/>
      <w:kern w:val="2"/>
      <w:sz w:val="24"/>
      <w:szCs w:val="24"/>
    </w:rPr>
  </w:style>
  <w:style w:type="paragraph" w:styleId="af4">
    <w:name w:val="List Paragraph"/>
    <w:basedOn w:val="a"/>
    <w:uiPriority w:val="34"/>
    <w:qFormat/>
    <w:rsid w:val="00673C02"/>
    <w:pPr>
      <w:ind w:leftChars="200" w:left="480"/>
    </w:pPr>
  </w:style>
  <w:style w:type="character" w:customStyle="1" w:styleId="a9">
    <w:name w:val="頁首 字元"/>
    <w:basedOn w:val="a0"/>
    <w:link w:val="a8"/>
    <w:uiPriority w:val="99"/>
    <w:rsid w:val="00C1531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B833E-3B08-42B7-9520-DEF1F8D0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「銀行評估洗錢及資恐風險及訂定相關防制計畫指引」修正條文</dc:title>
  <dc:creator>BAROC</dc:creator>
  <cp:lastModifiedBy>投信投顧公會 林采蓉</cp:lastModifiedBy>
  <cp:revision>17</cp:revision>
  <cp:lastPrinted>2015-12-17T07:04:00Z</cp:lastPrinted>
  <dcterms:created xsi:type="dcterms:W3CDTF">2017-10-18T01:26:00Z</dcterms:created>
  <dcterms:modified xsi:type="dcterms:W3CDTF">2019-10-09T01:47:00Z</dcterms:modified>
</cp:coreProperties>
</file>