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A72BE" w14:textId="77777777" w:rsidR="0009085A" w:rsidRPr="00471175" w:rsidRDefault="0009085A" w:rsidP="0009085A">
      <w:pPr>
        <w:spacing w:before="360" w:after="360" w:line="0" w:lineRule="atLeast"/>
        <w:rPr>
          <w:b/>
          <w:sz w:val="40"/>
        </w:rPr>
      </w:pPr>
    </w:p>
    <w:p w14:paraId="5A00B871" w14:textId="77777777" w:rsidR="0009085A" w:rsidRPr="004546D9" w:rsidRDefault="0009085A" w:rsidP="0009085A">
      <w:pPr>
        <w:spacing w:before="360" w:after="360" w:line="0" w:lineRule="atLeast"/>
        <w:jc w:val="center"/>
        <w:rPr>
          <w:b/>
          <w:sz w:val="52"/>
          <w:szCs w:val="36"/>
        </w:rPr>
      </w:pPr>
      <w:r w:rsidRPr="004546D9">
        <w:rPr>
          <w:b/>
          <w:sz w:val="52"/>
          <w:szCs w:val="36"/>
        </w:rPr>
        <w:t>證券投資信託事業</w:t>
      </w:r>
    </w:p>
    <w:p w14:paraId="68B0A396" w14:textId="60D47978" w:rsidR="0009085A" w:rsidRPr="004546D9" w:rsidRDefault="0009085A" w:rsidP="0009085A">
      <w:pPr>
        <w:spacing w:before="360" w:after="360" w:line="0" w:lineRule="atLeast"/>
        <w:jc w:val="center"/>
        <w:rPr>
          <w:b/>
          <w:sz w:val="52"/>
          <w:szCs w:val="52"/>
        </w:rPr>
      </w:pPr>
      <w:bookmarkStart w:id="0" w:name="_Hlk143511395"/>
      <w:r w:rsidRPr="004546D9">
        <w:rPr>
          <w:b/>
          <w:sz w:val="52"/>
          <w:szCs w:val="52"/>
        </w:rPr>
        <w:t>氣候</w:t>
      </w:r>
      <w:r w:rsidR="00B334BD" w:rsidRPr="004546D9">
        <w:rPr>
          <w:rFonts w:ascii="標楷體" w:hAnsi="標楷體" w:hint="eastAsia"/>
          <w:b/>
          <w:bCs/>
          <w:sz w:val="52"/>
          <w:szCs w:val="52"/>
        </w:rPr>
        <w:t>變遷資訊</w:t>
      </w:r>
      <w:r w:rsidRPr="004546D9">
        <w:rPr>
          <w:b/>
          <w:sz w:val="52"/>
          <w:szCs w:val="52"/>
        </w:rPr>
        <w:t>揭露</w:t>
      </w:r>
      <w:bookmarkEnd w:id="0"/>
    </w:p>
    <w:p w14:paraId="5B8097D8" w14:textId="5244E1BC" w:rsidR="0009085A" w:rsidRPr="004546D9" w:rsidRDefault="0009085A" w:rsidP="0009085A">
      <w:pPr>
        <w:spacing w:before="360" w:after="360" w:line="0" w:lineRule="atLeast"/>
        <w:jc w:val="center"/>
        <w:rPr>
          <w:b/>
          <w:sz w:val="52"/>
          <w:szCs w:val="52"/>
        </w:rPr>
      </w:pPr>
      <w:r w:rsidRPr="004546D9">
        <w:rPr>
          <w:b/>
          <w:sz w:val="52"/>
          <w:szCs w:val="52"/>
        </w:rPr>
        <w:t>範例</w:t>
      </w:r>
    </w:p>
    <w:p w14:paraId="6F4E17F3" w14:textId="4D1864F5" w:rsidR="0009085A" w:rsidRPr="004546D9" w:rsidRDefault="0009085A" w:rsidP="0009085A">
      <w:pPr>
        <w:spacing w:before="360" w:after="360" w:line="0" w:lineRule="atLeast"/>
        <w:jc w:val="center"/>
        <w:rPr>
          <w:b/>
          <w:sz w:val="52"/>
          <w:szCs w:val="52"/>
        </w:rPr>
      </w:pPr>
    </w:p>
    <w:p w14:paraId="0661AE20" w14:textId="77777777" w:rsidR="0009085A" w:rsidRPr="004546D9" w:rsidRDefault="0009085A" w:rsidP="0009085A">
      <w:pPr>
        <w:spacing w:after="480"/>
        <w:rPr>
          <w:b/>
          <w:sz w:val="40"/>
          <w:szCs w:val="40"/>
        </w:rPr>
      </w:pPr>
    </w:p>
    <w:p w14:paraId="6C61C0B6" w14:textId="77777777" w:rsidR="0009085A" w:rsidRPr="004546D9" w:rsidRDefault="0009085A" w:rsidP="0009085A">
      <w:pPr>
        <w:spacing w:after="480"/>
        <w:rPr>
          <w:b/>
          <w:sz w:val="40"/>
          <w:szCs w:val="40"/>
        </w:rPr>
      </w:pPr>
    </w:p>
    <w:p w14:paraId="60ED4540" w14:textId="77777777" w:rsidR="009D4849" w:rsidRPr="004546D9" w:rsidRDefault="009D4849" w:rsidP="0009085A">
      <w:pPr>
        <w:spacing w:after="480"/>
        <w:rPr>
          <w:b/>
          <w:sz w:val="40"/>
          <w:szCs w:val="40"/>
        </w:rPr>
      </w:pPr>
    </w:p>
    <w:p w14:paraId="7D2B0411" w14:textId="77777777" w:rsidR="0009085A" w:rsidRPr="004546D9" w:rsidRDefault="0009085A" w:rsidP="0009085A">
      <w:r w:rsidRPr="004546D9">
        <w:rPr>
          <w:noProof/>
        </w:rPr>
        <w:drawing>
          <wp:anchor distT="0" distB="0" distL="114300" distR="114300" simplePos="0" relativeHeight="251659264" behindDoc="0" locked="0" layoutInCell="1" allowOverlap="1" wp14:anchorId="1D566B89" wp14:editId="17682530">
            <wp:simplePos x="0" y="0"/>
            <wp:positionH relativeFrom="margin">
              <wp:posOffset>2444948</wp:posOffset>
            </wp:positionH>
            <wp:positionV relativeFrom="paragraph">
              <wp:posOffset>493395</wp:posOffset>
            </wp:positionV>
            <wp:extent cx="953135" cy="1029970"/>
            <wp:effectExtent l="19050" t="0" r="0" b="0"/>
            <wp:wrapTopAndBottom/>
            <wp:docPr id="5" name="圖片 5" descr="一張含有 標誌, 字型, 圖形, 符號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標誌, 字型, 圖形, 符號 的圖片&#10;&#10;自動產生的描述"/>
                    <pic:cNvPicPr>
                      <a:picLocks noChangeAspect="1" noChangeArrowheads="1"/>
                    </pic:cNvPicPr>
                  </pic:nvPicPr>
                  <pic:blipFill>
                    <a:blip r:embed="rId11" cstate="print"/>
                    <a:srcRect/>
                    <a:stretch>
                      <a:fillRect/>
                    </a:stretch>
                  </pic:blipFill>
                  <pic:spPr bwMode="auto">
                    <a:xfrm>
                      <a:off x="0" y="0"/>
                      <a:ext cx="953135" cy="1029970"/>
                    </a:xfrm>
                    <a:prstGeom prst="rect">
                      <a:avLst/>
                    </a:prstGeom>
                    <a:noFill/>
                    <a:ln w="9525">
                      <a:noFill/>
                      <a:miter lim="800000"/>
                      <a:headEnd/>
                      <a:tailEnd/>
                    </a:ln>
                  </pic:spPr>
                </pic:pic>
              </a:graphicData>
            </a:graphic>
          </wp:anchor>
        </w:drawing>
      </w:r>
    </w:p>
    <w:p w14:paraId="76480D6A" w14:textId="77777777" w:rsidR="0009085A" w:rsidRPr="004546D9" w:rsidRDefault="0009085A" w:rsidP="0009085A"/>
    <w:p w14:paraId="4537847B" w14:textId="77777777" w:rsidR="0009085A" w:rsidRPr="004546D9" w:rsidRDefault="0009085A" w:rsidP="0009085A">
      <w:pPr>
        <w:spacing w:beforeLines="50" w:before="180"/>
        <w:jc w:val="center"/>
        <w:rPr>
          <w:b/>
          <w:sz w:val="32"/>
          <w:szCs w:val="32"/>
        </w:rPr>
      </w:pPr>
      <w:r w:rsidRPr="004546D9">
        <w:rPr>
          <w:b/>
          <w:bCs/>
          <w:sz w:val="32"/>
          <w:szCs w:val="32"/>
        </w:rPr>
        <w:t>中華民國證券投資信託暨顧問商業同業公會</w:t>
      </w:r>
    </w:p>
    <w:p w14:paraId="7DE24EF4" w14:textId="049443C1" w:rsidR="0009085A" w:rsidRPr="004546D9" w:rsidRDefault="0009085A" w:rsidP="0009085A">
      <w:pPr>
        <w:spacing w:beforeLines="50" w:before="180"/>
        <w:jc w:val="center"/>
        <w:rPr>
          <w:b/>
          <w:sz w:val="32"/>
          <w:szCs w:val="32"/>
        </w:rPr>
      </w:pPr>
      <w:r w:rsidRPr="004546D9">
        <w:rPr>
          <w:b/>
          <w:sz w:val="32"/>
          <w:szCs w:val="32"/>
        </w:rPr>
        <w:t>11</w:t>
      </w:r>
      <w:r w:rsidR="006F482D" w:rsidRPr="004546D9">
        <w:rPr>
          <w:b/>
          <w:sz w:val="32"/>
          <w:szCs w:val="32"/>
        </w:rPr>
        <w:t>3</w:t>
      </w:r>
      <w:r w:rsidRPr="004546D9">
        <w:rPr>
          <w:b/>
          <w:sz w:val="32"/>
          <w:szCs w:val="32"/>
        </w:rPr>
        <w:t>年</w:t>
      </w:r>
      <w:r w:rsidR="008029CF">
        <w:rPr>
          <w:b/>
          <w:sz w:val="32"/>
          <w:szCs w:val="32"/>
        </w:rPr>
        <w:t>4</w:t>
      </w:r>
      <w:r w:rsidRPr="004546D9">
        <w:rPr>
          <w:b/>
          <w:sz w:val="32"/>
          <w:szCs w:val="32"/>
        </w:rPr>
        <w:t>月</w:t>
      </w:r>
    </w:p>
    <w:p w14:paraId="6DFBD289" w14:textId="77777777" w:rsidR="0009085A" w:rsidRPr="004546D9" w:rsidRDefault="0009085A" w:rsidP="0009085A">
      <w:pPr>
        <w:widowControl/>
        <w:spacing w:before="0" w:after="0" w:line="240" w:lineRule="auto"/>
        <w:rPr>
          <w:b/>
          <w:sz w:val="40"/>
          <w:szCs w:val="40"/>
        </w:rPr>
      </w:pPr>
      <w:r w:rsidRPr="004546D9">
        <w:rPr>
          <w:b/>
          <w:sz w:val="40"/>
          <w:szCs w:val="40"/>
        </w:rPr>
        <w:br w:type="page"/>
      </w:r>
    </w:p>
    <w:p w14:paraId="6EE32B81" w14:textId="487FD328" w:rsidR="0009085A" w:rsidRPr="004546D9" w:rsidRDefault="0009085A" w:rsidP="0009085A">
      <w:pPr>
        <w:pStyle w:val="1"/>
        <w:spacing w:before="0" w:afterLines="100" w:after="360" w:line="0" w:lineRule="atLeast"/>
        <w:jc w:val="center"/>
        <w:rPr>
          <w:rFonts w:ascii="Times New Roman" w:eastAsia="標楷體" w:hAnsi="Times New Roman" w:cs="Times New Roman"/>
          <w:sz w:val="44"/>
          <w:szCs w:val="44"/>
        </w:rPr>
      </w:pPr>
      <w:bookmarkStart w:id="1" w:name="_Toc144912765"/>
      <w:r w:rsidRPr="004546D9">
        <w:rPr>
          <w:rFonts w:ascii="Times New Roman" w:eastAsia="標楷體" w:hAnsi="Times New Roman" w:cs="Times New Roman"/>
          <w:sz w:val="44"/>
          <w:szCs w:val="44"/>
        </w:rPr>
        <w:lastRenderedPageBreak/>
        <w:t>總說明</w:t>
      </w:r>
      <w:bookmarkEnd w:id="1"/>
    </w:p>
    <w:p w14:paraId="09847611" w14:textId="3491F6EA" w:rsidR="001B35E6" w:rsidRPr="004546D9" w:rsidRDefault="009D4849" w:rsidP="001B35E6">
      <w:pPr>
        <w:pStyle w:val="a4"/>
        <w:numPr>
          <w:ilvl w:val="0"/>
          <w:numId w:val="37"/>
        </w:numPr>
        <w:spacing w:before="0" w:after="180"/>
        <w:ind w:leftChars="0" w:left="567" w:hanging="567"/>
        <w:rPr>
          <w:rFonts w:ascii="標楷體" w:hAnsi="標楷體"/>
          <w:sz w:val="28"/>
          <w:szCs w:val="28"/>
        </w:rPr>
      </w:pPr>
      <w:r w:rsidRPr="004546D9">
        <w:rPr>
          <w:rFonts w:ascii="標楷體" w:hAnsi="標楷體" w:hint="eastAsia"/>
          <w:sz w:val="28"/>
          <w:szCs w:val="28"/>
        </w:rPr>
        <w:t>金管會112年6月16日金管證投字第1120382814號函(說明二)，111年3月8日發布「證券期貨業永續發展轉型執行策略」，計有27項具體措施，其中為強化證券期貨業因應氣候變遷風險能力，於具體措施第22項「研訂證券期貨業氣候變遷資訊揭露範例或指引」，係請公會應研訂並公布氣候變遷資訊揭露之範例及指引。</w:t>
      </w:r>
    </w:p>
    <w:p w14:paraId="39B22119" w14:textId="0E419099" w:rsidR="001B35E6" w:rsidRPr="004546D9" w:rsidRDefault="00CE0E41" w:rsidP="001B35E6">
      <w:pPr>
        <w:pStyle w:val="a4"/>
        <w:numPr>
          <w:ilvl w:val="0"/>
          <w:numId w:val="37"/>
        </w:numPr>
        <w:spacing w:before="0" w:after="180"/>
        <w:ind w:leftChars="0" w:left="567" w:hanging="567"/>
        <w:rPr>
          <w:rFonts w:ascii="標楷體" w:hAnsi="標楷體"/>
          <w:sz w:val="28"/>
          <w:szCs w:val="28"/>
        </w:rPr>
      </w:pPr>
      <w:r w:rsidRPr="004546D9">
        <w:rPr>
          <w:rFonts w:ascii="標楷體" w:hAnsi="標楷體" w:hint="eastAsia"/>
          <w:sz w:val="28"/>
          <w:szCs w:val="28"/>
        </w:rPr>
        <w:t>本範例僅供公司於編寫氣候</w:t>
      </w:r>
      <w:r w:rsidR="002C40D8" w:rsidRPr="004546D9">
        <w:rPr>
          <w:rFonts w:ascii="標楷體" w:hAnsi="標楷體" w:hint="eastAsia"/>
          <w:sz w:val="28"/>
          <w:szCs w:val="28"/>
        </w:rPr>
        <w:t>變遷資訊</w:t>
      </w:r>
      <w:r w:rsidRPr="004546D9">
        <w:rPr>
          <w:rFonts w:ascii="標楷體" w:hAnsi="標楷體" w:hint="eastAsia"/>
          <w:sz w:val="28"/>
          <w:szCs w:val="28"/>
        </w:rPr>
        <w:t>時之參考，未具強制性，其內容不是法規或自律規範，亦不是作為公司之組織架構、政策、及作業程序之規範，各界不宜以此範例作為檢視公司是否符合相關法規或自律規範的依據。</w:t>
      </w:r>
    </w:p>
    <w:p w14:paraId="01AC9B65" w14:textId="6F669333" w:rsidR="001B35E6" w:rsidRPr="004546D9" w:rsidRDefault="001B35E6" w:rsidP="001B35E6">
      <w:pPr>
        <w:pStyle w:val="a4"/>
        <w:numPr>
          <w:ilvl w:val="0"/>
          <w:numId w:val="37"/>
        </w:numPr>
        <w:spacing w:before="0" w:after="180"/>
        <w:ind w:leftChars="0" w:left="567" w:hanging="567"/>
        <w:rPr>
          <w:rFonts w:ascii="標楷體" w:hAnsi="標楷體"/>
          <w:sz w:val="28"/>
          <w:szCs w:val="28"/>
        </w:rPr>
      </w:pPr>
      <w:r w:rsidRPr="004546D9">
        <w:rPr>
          <w:rFonts w:ascii="標楷體" w:hAnsi="標楷體" w:hint="eastAsia"/>
          <w:sz w:val="28"/>
          <w:szCs w:val="28"/>
        </w:rPr>
        <w:t>本範例係以TCFD資訊揭露建議所列4大構面11項揭露為架構，參酌會計研究發展基金會之銀行業TCFD揭露範例，於每章前摘述內容並援引</w:t>
      </w:r>
      <w:r w:rsidRPr="004546D9">
        <w:rPr>
          <w:rFonts w:ascii="新細明體" w:eastAsia="新細明體" w:hAnsi="新細明體" w:hint="eastAsia"/>
          <w:sz w:val="28"/>
          <w:szCs w:val="28"/>
        </w:rPr>
        <w:t>「</w:t>
      </w:r>
      <w:r w:rsidRPr="004546D9">
        <w:rPr>
          <w:rFonts w:ascii="標楷體" w:hAnsi="標楷體" w:hint="eastAsia"/>
          <w:sz w:val="28"/>
          <w:szCs w:val="28"/>
        </w:rPr>
        <w:t>證券投資信託事業氣候</w:t>
      </w:r>
      <w:r w:rsidR="00B334BD" w:rsidRPr="004546D9">
        <w:rPr>
          <w:rFonts w:ascii="標楷體" w:hAnsi="標楷體" w:hint="eastAsia"/>
          <w:sz w:val="28"/>
          <w:szCs w:val="28"/>
        </w:rPr>
        <w:t>變遷資訊</w:t>
      </w:r>
      <w:r w:rsidRPr="004546D9">
        <w:rPr>
          <w:rFonts w:ascii="標楷體" w:hAnsi="標楷體" w:hint="eastAsia"/>
          <w:sz w:val="28"/>
          <w:szCs w:val="28"/>
        </w:rPr>
        <w:t>揭露指引｣，作為本範例之綱要，其後為業者於實作時之氣候</w:t>
      </w:r>
      <w:r w:rsidR="00B334BD" w:rsidRPr="004546D9">
        <w:rPr>
          <w:rFonts w:ascii="標楷體" w:hAnsi="標楷體" w:hint="eastAsia"/>
          <w:sz w:val="28"/>
          <w:szCs w:val="28"/>
        </w:rPr>
        <w:t>變遷資訊</w:t>
      </w:r>
      <w:r w:rsidRPr="004546D9">
        <w:rPr>
          <w:rFonts w:ascii="標楷體" w:hAnsi="標楷體" w:hint="eastAsia"/>
          <w:sz w:val="28"/>
          <w:szCs w:val="28"/>
        </w:rPr>
        <w:t>揭露參考內容，俾利業者對照參考。</w:t>
      </w:r>
    </w:p>
    <w:p w14:paraId="55D226F7" w14:textId="5F1D2D5D" w:rsidR="001B35E6" w:rsidRPr="004546D9" w:rsidRDefault="004A01E2" w:rsidP="001B35E6">
      <w:pPr>
        <w:pStyle w:val="a4"/>
        <w:numPr>
          <w:ilvl w:val="0"/>
          <w:numId w:val="37"/>
        </w:numPr>
        <w:spacing w:before="0" w:after="180"/>
        <w:ind w:leftChars="0" w:left="567" w:hanging="567"/>
        <w:rPr>
          <w:rFonts w:ascii="標楷體" w:hAnsi="標楷體"/>
          <w:sz w:val="28"/>
          <w:szCs w:val="28"/>
        </w:rPr>
      </w:pPr>
      <w:r w:rsidRPr="004546D9">
        <w:rPr>
          <w:rFonts w:ascii="標楷體" w:hAnsi="標楷體" w:hint="eastAsia"/>
          <w:sz w:val="28"/>
          <w:szCs w:val="28"/>
        </w:rPr>
        <w:t>屬集團或金控之投信事業，</w:t>
      </w:r>
      <w:r w:rsidR="00B334BD" w:rsidRPr="004546D9">
        <w:rPr>
          <w:rFonts w:ascii="標楷體" w:hAnsi="標楷體" w:hint="eastAsia"/>
          <w:sz w:val="28"/>
          <w:szCs w:val="28"/>
        </w:rPr>
        <w:t>得</w:t>
      </w:r>
      <w:r w:rsidRPr="004546D9">
        <w:rPr>
          <w:rFonts w:ascii="標楷體" w:hAnsi="標楷體" w:hint="eastAsia"/>
          <w:sz w:val="28"/>
          <w:szCs w:val="28"/>
        </w:rPr>
        <w:t>依</w:t>
      </w:r>
      <w:r w:rsidR="00B334BD" w:rsidRPr="004546D9">
        <w:rPr>
          <w:rFonts w:ascii="標楷體" w:hAnsi="標楷體" w:hint="eastAsia"/>
          <w:sz w:val="28"/>
          <w:szCs w:val="28"/>
        </w:rPr>
        <w:t>其</w:t>
      </w:r>
      <w:r w:rsidRPr="004546D9">
        <w:rPr>
          <w:rFonts w:ascii="標楷體" w:hAnsi="標楷體" w:hint="eastAsia"/>
          <w:sz w:val="28"/>
          <w:szCs w:val="28"/>
        </w:rPr>
        <w:t>母集團或金控之</w:t>
      </w:r>
      <w:r w:rsidR="00352014" w:rsidRPr="004546D9">
        <w:rPr>
          <w:rFonts w:ascii="標楷體" w:hAnsi="標楷體" w:hint="eastAsia"/>
          <w:sz w:val="28"/>
          <w:szCs w:val="28"/>
        </w:rPr>
        <w:t>環境或氣候政策，將氣候變遷相關因子納入其產品與服務策略考量或其資產管理策略考量中</w:t>
      </w:r>
      <w:r w:rsidRPr="004546D9">
        <w:rPr>
          <w:rFonts w:ascii="標楷體" w:hAnsi="標楷體" w:hint="eastAsia"/>
          <w:sz w:val="28"/>
          <w:szCs w:val="28"/>
        </w:rPr>
        <w:t>。</w:t>
      </w:r>
      <w:r w:rsidR="00352014" w:rsidRPr="004546D9">
        <w:rPr>
          <w:rFonts w:ascii="標楷體" w:hAnsi="標楷體" w:hint="eastAsia"/>
          <w:sz w:val="28"/>
          <w:szCs w:val="28"/>
        </w:rPr>
        <w:t>若採用母集團或金控之相關報告，其內容須明確說明涵蓋範圍包含投信事業，且可辨識出屬於投信營業範疇與業務之相關風險、機會與指標。若否，則應補充報告。</w:t>
      </w:r>
    </w:p>
    <w:p w14:paraId="068501EC" w14:textId="77777777" w:rsidR="009222CD" w:rsidRPr="004546D9" w:rsidRDefault="009222CD" w:rsidP="009222CD">
      <w:pPr>
        <w:widowControl/>
        <w:spacing w:before="0" w:afterLines="50" w:after="180" w:line="0" w:lineRule="atLeast"/>
        <w:rPr>
          <w:bCs/>
          <w:sz w:val="28"/>
          <w:szCs w:val="28"/>
        </w:rPr>
      </w:pPr>
    </w:p>
    <w:p w14:paraId="24FDEDD6" w14:textId="77777777" w:rsidR="009222CD" w:rsidRPr="009222CD" w:rsidRDefault="009222CD" w:rsidP="009222CD">
      <w:pPr>
        <w:widowControl/>
        <w:spacing w:before="0" w:afterLines="50" w:after="180" w:line="0" w:lineRule="atLeast"/>
        <w:rPr>
          <w:bCs/>
          <w:sz w:val="28"/>
          <w:szCs w:val="28"/>
        </w:rPr>
      </w:pPr>
    </w:p>
    <w:p w14:paraId="67C2716C" w14:textId="77777777" w:rsidR="0009085A" w:rsidRPr="00532CAF" w:rsidRDefault="0009085A" w:rsidP="0009085A">
      <w:pPr>
        <w:widowControl/>
        <w:spacing w:before="0" w:after="0" w:line="240" w:lineRule="auto"/>
        <w:rPr>
          <w:b/>
        </w:rPr>
      </w:pPr>
      <w:r w:rsidRPr="00532CAF">
        <w:rPr>
          <w:b/>
        </w:rPr>
        <w:br w:type="page"/>
      </w:r>
    </w:p>
    <w:p w14:paraId="49765C44" w14:textId="4191F91A" w:rsidR="00F0783F" w:rsidRPr="00EA5EE0" w:rsidRDefault="00F0783F" w:rsidP="00EA5EE0">
      <w:pPr>
        <w:pStyle w:val="afff8"/>
        <w:ind w:leftChars="0" w:left="426" w:hangingChars="133" w:hanging="426"/>
        <w:jc w:val="center"/>
        <w:rPr>
          <w:b/>
          <w:bCs w:val="0"/>
          <w:sz w:val="32"/>
          <w:szCs w:val="32"/>
        </w:rPr>
      </w:pPr>
      <w:bookmarkStart w:id="2" w:name="_Toc140587663"/>
      <w:bookmarkStart w:id="3" w:name="_Toc144912775"/>
      <w:r w:rsidRPr="00EA5EE0">
        <w:rPr>
          <w:b/>
          <w:bCs w:val="0"/>
          <w:sz w:val="32"/>
          <w:szCs w:val="32"/>
        </w:rPr>
        <w:lastRenderedPageBreak/>
        <w:t>第一章</w:t>
      </w:r>
      <w:r w:rsidRPr="00EA5EE0">
        <w:rPr>
          <w:b/>
          <w:bCs w:val="0"/>
          <w:sz w:val="32"/>
          <w:szCs w:val="32"/>
        </w:rPr>
        <w:t xml:space="preserve"> </w:t>
      </w:r>
      <w:r w:rsidRPr="00EA5EE0">
        <w:rPr>
          <w:b/>
          <w:bCs w:val="0"/>
          <w:sz w:val="32"/>
          <w:szCs w:val="32"/>
        </w:rPr>
        <w:t>治理</w:t>
      </w:r>
      <w:bookmarkEnd w:id="2"/>
      <w:r w:rsidR="00B477DB" w:rsidRPr="00EA5EE0">
        <w:rPr>
          <w:rFonts w:hint="eastAsia"/>
          <w:b/>
          <w:bCs w:val="0"/>
          <w:sz w:val="32"/>
          <w:szCs w:val="32"/>
        </w:rPr>
        <w:t xml:space="preserve"> </w:t>
      </w:r>
      <w:r w:rsidR="00B477DB" w:rsidRPr="00EA5EE0">
        <w:rPr>
          <w:b/>
          <w:bCs w:val="0"/>
          <w:sz w:val="32"/>
          <w:szCs w:val="32"/>
        </w:rPr>
        <w:t>(GOVERNANCE)</w:t>
      </w:r>
      <w:bookmarkEnd w:id="3"/>
    </w:p>
    <w:tbl>
      <w:tblPr>
        <w:tblStyle w:val="aa"/>
        <w:tblW w:w="10065" w:type="dxa"/>
        <w:tblInd w:w="-360" w:type="dxa"/>
        <w:tblLook w:val="04A0" w:firstRow="1" w:lastRow="0" w:firstColumn="1" w:lastColumn="0" w:noHBand="0" w:noVBand="1"/>
      </w:tblPr>
      <w:tblGrid>
        <w:gridCol w:w="10065"/>
      </w:tblGrid>
      <w:tr w:rsidR="002E07BA" w:rsidRPr="00471175" w14:paraId="4F7FC35C" w14:textId="77777777" w:rsidTr="00297747">
        <w:tc>
          <w:tcPr>
            <w:tcW w:w="10065" w:type="dxa"/>
            <w:shd w:val="clear" w:color="auto" w:fill="auto"/>
          </w:tcPr>
          <w:p w14:paraId="33518565" w14:textId="3707AD84" w:rsidR="002E07BA" w:rsidRPr="004546D9" w:rsidRDefault="002E07BA" w:rsidP="002E07BA">
            <w:pPr>
              <w:spacing w:before="0" w:afterLines="50" w:after="180" w:line="0" w:lineRule="atLeast"/>
              <w:ind w:left="317" w:hangingChars="132" w:hanging="317"/>
              <w:jc w:val="both"/>
            </w:pPr>
            <w:r w:rsidRPr="004546D9">
              <w:t>G.</w:t>
            </w:r>
            <w:r w:rsidR="00EA5EE0" w:rsidRPr="004546D9">
              <w:t>1</w:t>
            </w:r>
            <w:r w:rsidR="00A53B47" w:rsidRPr="004546D9">
              <w:rPr>
                <w:rFonts w:hint="eastAsia"/>
              </w:rPr>
              <w:t>投信事業描述董事會對氣候相關風險與機會的監督情況時：</w:t>
            </w:r>
          </w:p>
          <w:p w14:paraId="59773600" w14:textId="2C8F77EA" w:rsidR="002E07BA" w:rsidRPr="004546D9" w:rsidRDefault="00EA5EE0" w:rsidP="00EA5EE0">
            <w:pPr>
              <w:spacing w:before="0" w:afterLines="50" w:after="180" w:line="0" w:lineRule="atLeast"/>
              <w:ind w:leftChars="132" w:left="533" w:hangingChars="90" w:hanging="216"/>
              <w:jc w:val="both"/>
            </w:pPr>
            <w:r w:rsidRPr="004546D9">
              <w:t>(</w:t>
            </w:r>
            <w:r w:rsidR="002E07BA" w:rsidRPr="004546D9">
              <w:rPr>
                <w:rFonts w:hint="eastAsia"/>
              </w:rPr>
              <w:t>1</w:t>
            </w:r>
            <w:r w:rsidRPr="004546D9">
              <w:t>)</w:t>
            </w:r>
            <w:r w:rsidRPr="004546D9">
              <w:rPr>
                <w:rFonts w:hint="eastAsia"/>
              </w:rPr>
              <w:t>宜揭露負責氣候相關風險與機會之功能性委員會（如風險管理委員會、審計委員會、永續委員會或其他功能性委員會）或工作小組。</w:t>
            </w:r>
          </w:p>
          <w:p w14:paraId="4D5F94B0" w14:textId="58866E8B" w:rsidR="002E07BA" w:rsidRPr="004546D9" w:rsidRDefault="00EA5EE0" w:rsidP="00EA5EE0">
            <w:pPr>
              <w:spacing w:before="0" w:afterLines="50" w:after="180" w:line="0" w:lineRule="atLeast"/>
              <w:ind w:leftChars="132" w:left="533" w:hangingChars="90" w:hanging="216"/>
              <w:jc w:val="both"/>
            </w:pPr>
            <w:r w:rsidRPr="004546D9">
              <w:t>(</w:t>
            </w:r>
            <w:r w:rsidR="002E07BA" w:rsidRPr="004546D9">
              <w:rPr>
                <w:rFonts w:hint="eastAsia"/>
              </w:rPr>
              <w:t>2</w:t>
            </w:r>
            <w:r w:rsidRPr="004546D9">
              <w:t>)</w:t>
            </w:r>
            <w:r w:rsidRPr="004546D9">
              <w:rPr>
                <w:rFonts w:hint="eastAsia"/>
              </w:rPr>
              <w:t>宜揭露向董事會或功能性委員會呈報氣候相關機會或風險之流程與頻率。</w:t>
            </w:r>
          </w:p>
          <w:p w14:paraId="66D7F2FC" w14:textId="384BB32C" w:rsidR="002E07BA" w:rsidRPr="004546D9" w:rsidRDefault="00EA5EE0" w:rsidP="00EA5EE0">
            <w:pPr>
              <w:spacing w:before="0" w:afterLines="50" w:after="180" w:line="0" w:lineRule="atLeast"/>
              <w:ind w:leftChars="132" w:left="533" w:hangingChars="90" w:hanging="216"/>
              <w:jc w:val="both"/>
            </w:pPr>
            <w:r w:rsidRPr="004546D9">
              <w:t>(</w:t>
            </w:r>
            <w:r w:rsidR="002E07BA" w:rsidRPr="004546D9">
              <w:rPr>
                <w:rFonts w:hint="eastAsia"/>
              </w:rPr>
              <w:t>3</w:t>
            </w:r>
            <w:r w:rsidRPr="004546D9">
              <w:t>)</w:t>
            </w:r>
            <w:r w:rsidRPr="004546D9">
              <w:rPr>
                <w:rFonts w:hint="eastAsia"/>
              </w:rPr>
              <w:t>若氣候相關風險評估結果係屬重大，宜揭露董事會對氣候相關行動、目標之監督情形。</w:t>
            </w:r>
          </w:p>
          <w:p w14:paraId="05919F97" w14:textId="1BC71E20" w:rsidR="002E07BA" w:rsidRPr="004546D9" w:rsidRDefault="002E07BA" w:rsidP="002E07BA">
            <w:pPr>
              <w:spacing w:before="0" w:afterLines="50" w:after="180" w:line="0" w:lineRule="atLeast"/>
              <w:ind w:left="317" w:hangingChars="132" w:hanging="317"/>
              <w:jc w:val="both"/>
            </w:pPr>
            <w:r w:rsidRPr="004546D9">
              <w:t>G.</w:t>
            </w:r>
            <w:r w:rsidR="00EA5EE0" w:rsidRPr="004546D9">
              <w:t>2</w:t>
            </w:r>
            <w:r w:rsidR="00A53B47" w:rsidRPr="004546D9">
              <w:rPr>
                <w:rFonts w:hint="eastAsia"/>
              </w:rPr>
              <w:t>投信事業描述管理階層在評估與管理氣候相關風險與機會的角色時：</w:t>
            </w:r>
          </w:p>
          <w:p w14:paraId="3EA428DD" w14:textId="23276B60" w:rsidR="002E07BA" w:rsidRPr="004546D9" w:rsidRDefault="00EA5EE0" w:rsidP="009840F7">
            <w:pPr>
              <w:spacing w:before="0" w:afterLines="50" w:after="180" w:line="0" w:lineRule="atLeast"/>
              <w:ind w:leftChars="131" w:left="530" w:hangingChars="90" w:hanging="216"/>
              <w:jc w:val="both"/>
            </w:pPr>
            <w:r w:rsidRPr="004546D9">
              <w:t>(</w:t>
            </w:r>
            <w:r w:rsidR="002E07BA" w:rsidRPr="004546D9">
              <w:t>1</w:t>
            </w:r>
            <w:r w:rsidRPr="004546D9">
              <w:t>)</w:t>
            </w:r>
            <w:r w:rsidRPr="004546D9">
              <w:rPr>
                <w:rFonts w:hint="eastAsia"/>
              </w:rPr>
              <w:t>宜揭露由董事會所指派、負責氣候相關風險與機會評估、策略與財務影響分析、風險管理及指標與目標設定之管理階層與其工作職掌。</w:t>
            </w:r>
          </w:p>
          <w:p w14:paraId="7AB010C1" w14:textId="56135BD4" w:rsidR="002E07BA" w:rsidRPr="004546D9" w:rsidRDefault="00EA5EE0" w:rsidP="009840F7">
            <w:pPr>
              <w:spacing w:before="0" w:afterLines="50" w:after="180" w:line="0" w:lineRule="atLeast"/>
              <w:ind w:leftChars="131" w:left="530" w:hangingChars="90" w:hanging="216"/>
              <w:jc w:val="both"/>
            </w:pPr>
            <w:r w:rsidRPr="004546D9">
              <w:t>(</w:t>
            </w:r>
            <w:r w:rsidR="002E07BA" w:rsidRPr="004546D9">
              <w:t>2</w:t>
            </w:r>
            <w:r w:rsidRPr="004546D9">
              <w:t>)</w:t>
            </w:r>
            <w:r w:rsidRPr="004546D9">
              <w:rPr>
                <w:rFonts w:hint="eastAsia"/>
              </w:rPr>
              <w:t>若氣候相關風險評估結果係屬重大，管理階層宜訂定氣候風險管理之政策、制度及監控指標，並定期檢視其有效性與執行情形。</w:t>
            </w:r>
          </w:p>
        </w:tc>
      </w:tr>
    </w:tbl>
    <w:p w14:paraId="73767503" w14:textId="77777777" w:rsidR="00F0783F" w:rsidRDefault="00F0783F" w:rsidP="00F0783F">
      <w:pPr>
        <w:widowControl/>
        <w:spacing w:before="0" w:after="0" w:line="240" w:lineRule="auto"/>
      </w:pPr>
    </w:p>
    <w:p w14:paraId="1D8828AC" w14:textId="77777777" w:rsidR="0047447E" w:rsidRPr="00471175" w:rsidRDefault="0047447E" w:rsidP="00F0783F">
      <w:pPr>
        <w:widowControl/>
        <w:spacing w:before="0" w:after="0" w:line="240" w:lineRule="auto"/>
      </w:pPr>
    </w:p>
    <w:p w14:paraId="3A526865" w14:textId="4C7E7F15" w:rsidR="0047447E" w:rsidRPr="00471175" w:rsidRDefault="0047447E" w:rsidP="0047447E">
      <w:pPr>
        <w:widowControl/>
        <w:spacing w:before="0" w:afterLines="50" w:after="180" w:line="360" w:lineRule="exact"/>
        <w:ind w:left="567" w:hangingChars="236" w:hanging="567"/>
        <w:jc w:val="both"/>
        <w:rPr>
          <w:b/>
          <w:bCs/>
        </w:rPr>
      </w:pPr>
      <w:bookmarkStart w:id="4" w:name="_Hlk133324061"/>
      <w:r w:rsidRPr="00471175">
        <w:rPr>
          <w:b/>
          <w:bCs/>
        </w:rPr>
        <w:t>一、</w:t>
      </w:r>
      <w:r w:rsidRPr="0047447E">
        <w:rPr>
          <w:rFonts w:hint="eastAsia"/>
          <w:b/>
          <w:bCs/>
        </w:rPr>
        <w:t>董事會對氣候相關風險與機會的監督</w:t>
      </w:r>
      <w:r w:rsidRPr="00471175">
        <w:rPr>
          <w:rFonts w:eastAsia="微軟正黑體"/>
          <w:color w:val="0070C0"/>
          <w:sz w:val="16"/>
          <w:szCs w:val="16"/>
        </w:rPr>
        <w:t>【</w:t>
      </w:r>
      <w:r w:rsidR="002E07BA" w:rsidRPr="002E07BA">
        <w:rPr>
          <w:rFonts w:eastAsia="微軟正黑體" w:hint="eastAsia"/>
          <w:color w:val="0070C0"/>
          <w:sz w:val="16"/>
          <w:szCs w:val="16"/>
        </w:rPr>
        <w:t>G.</w:t>
      </w:r>
      <w:r w:rsidR="00637A97">
        <w:rPr>
          <w:rFonts w:eastAsia="微軟正黑體"/>
          <w:color w:val="0070C0"/>
          <w:sz w:val="16"/>
          <w:szCs w:val="16"/>
        </w:rPr>
        <w:t>1</w:t>
      </w:r>
      <w:r w:rsidRPr="00471175">
        <w:rPr>
          <w:rFonts w:eastAsia="微軟正黑體"/>
          <w:color w:val="0070C0"/>
          <w:sz w:val="16"/>
          <w:szCs w:val="16"/>
        </w:rPr>
        <w:t>】</w:t>
      </w:r>
    </w:p>
    <w:p w14:paraId="2273F711" w14:textId="2FF9BBC4" w:rsidR="00F0783F" w:rsidRPr="00471175" w:rsidRDefault="00F0783F" w:rsidP="0047447E">
      <w:pPr>
        <w:widowControl/>
        <w:spacing w:before="0" w:afterLines="50" w:after="180" w:line="360" w:lineRule="exact"/>
        <w:ind w:leftChars="177" w:left="425" w:firstLineChars="235" w:firstLine="564"/>
        <w:jc w:val="both"/>
      </w:pPr>
      <w:r w:rsidRPr="00471175">
        <w:t>Ａ投信為實踐永續發展，因應國際能源短缺與氣候變遷議題，並將環境永續納入公司管理與營運，訂有「環境與能源及氣候變遷管理政策」，致力推行環境與能源管理，實踐能源有效利用，減少溫室氣體排放，落實環境保護，並達成相關永續承諾。</w:t>
      </w:r>
    </w:p>
    <w:p w14:paraId="55DA0E22" w14:textId="455B219D" w:rsidR="00F0783F" w:rsidRPr="00471175" w:rsidRDefault="00F0783F" w:rsidP="0047447E">
      <w:pPr>
        <w:widowControl/>
        <w:spacing w:before="0" w:afterLines="50" w:after="180" w:line="360" w:lineRule="exact"/>
        <w:ind w:leftChars="177" w:left="425" w:firstLineChars="235" w:firstLine="564"/>
        <w:jc w:val="both"/>
      </w:pPr>
      <w:r w:rsidRPr="00471175">
        <w:t>Ａ投信董事會為氣候風險管理的最高決策單位，負責監督與管理氣候相關風險與機會，督導公司氣候風險策略及業務計畫之擬定與執行，並檢視氣候風險所衍生之新興監管措施與其對公司聲譽及法律義務之影響。董事會轄下設立永續發展委員會</w:t>
      </w:r>
      <w:r w:rsidRPr="00471175">
        <w:rPr>
          <w:rFonts w:eastAsia="新細明體"/>
        </w:rPr>
        <w:t>、</w:t>
      </w:r>
      <w:r w:rsidRPr="00471175">
        <w:t>風險管理委員會，負責監督氣候風險相關重要策略。</w:t>
      </w:r>
      <w:r w:rsidR="00281444" w:rsidRPr="00471175">
        <w:rPr>
          <w:rFonts w:eastAsia="微軟正黑體"/>
          <w:color w:val="0070C0"/>
          <w:sz w:val="16"/>
          <w:szCs w:val="16"/>
        </w:rPr>
        <w:t>【</w:t>
      </w:r>
      <w:r w:rsidR="002E07BA" w:rsidRPr="002E07BA">
        <w:rPr>
          <w:rFonts w:eastAsia="微軟正黑體" w:hint="eastAsia"/>
          <w:color w:val="0070C0"/>
          <w:sz w:val="16"/>
          <w:szCs w:val="16"/>
        </w:rPr>
        <w:t>G.</w:t>
      </w:r>
      <w:r w:rsidR="00637A97">
        <w:rPr>
          <w:rFonts w:eastAsia="微軟正黑體"/>
          <w:color w:val="0070C0"/>
          <w:sz w:val="16"/>
          <w:szCs w:val="16"/>
        </w:rPr>
        <w:t>1.</w:t>
      </w:r>
      <w:r w:rsidR="002E07BA" w:rsidRPr="002E07BA">
        <w:rPr>
          <w:rFonts w:eastAsia="微軟正黑體" w:hint="eastAsia"/>
          <w:color w:val="0070C0"/>
          <w:sz w:val="16"/>
          <w:szCs w:val="16"/>
        </w:rPr>
        <w:t>(</w:t>
      </w:r>
      <w:r w:rsidR="00637A97">
        <w:rPr>
          <w:rFonts w:eastAsia="微軟正黑體"/>
          <w:color w:val="0070C0"/>
          <w:sz w:val="16"/>
          <w:szCs w:val="16"/>
        </w:rPr>
        <w:t>1</w:t>
      </w:r>
      <w:r w:rsidR="002E07BA" w:rsidRPr="002E07BA">
        <w:rPr>
          <w:rFonts w:eastAsia="微軟正黑體" w:hint="eastAsia"/>
          <w:color w:val="0070C0"/>
          <w:sz w:val="16"/>
          <w:szCs w:val="16"/>
        </w:rPr>
        <w:t>)</w:t>
      </w:r>
      <w:r w:rsidR="00281444" w:rsidRPr="00471175">
        <w:rPr>
          <w:rFonts w:eastAsia="微軟正黑體"/>
          <w:color w:val="0070C0"/>
          <w:sz w:val="16"/>
          <w:szCs w:val="16"/>
        </w:rPr>
        <w:t>】</w:t>
      </w:r>
    </w:p>
    <w:bookmarkEnd w:id="4"/>
    <w:p w14:paraId="5E7E3B69" w14:textId="77777777" w:rsidR="00950EB5" w:rsidRDefault="00F0783F" w:rsidP="0047447E">
      <w:pPr>
        <w:widowControl/>
        <w:spacing w:before="0" w:afterLines="50" w:after="180" w:line="360" w:lineRule="exact"/>
        <w:ind w:leftChars="177" w:left="425" w:firstLineChars="235" w:firstLine="564"/>
        <w:jc w:val="both"/>
        <w:rPr>
          <w:rFonts w:eastAsia="微軟正黑體"/>
          <w:color w:val="0070C0"/>
          <w:sz w:val="16"/>
          <w:szCs w:val="16"/>
        </w:rPr>
      </w:pPr>
      <w:r w:rsidRPr="00471175">
        <w:t>「永續發展委員會」，為隸屬董事會之功能性委員會，由董事長、副董事長、總經理與風控部門主管及其他經召集人指定之適當人選組成，並由總經理擔任召集人。永續發展委員會每月定期開會，針對永續發展與氣候風險管理執行狀況、跨部門間相關議題之討論與協調，重要氣候風險管理事項之宣達與溝通，氣候變遷風險管理發展趨勢之交流與分享，以有效監督氣候變遷的風險與機會。另每季終了後向董事會報告本委員會執行情形與成效，以深化永續發展政策之落實及執行，確保各項年度目標之達成。</w:t>
      </w:r>
      <w:r w:rsidR="00281444" w:rsidRPr="00471175">
        <w:rPr>
          <w:rFonts w:eastAsia="微軟正黑體"/>
          <w:color w:val="0070C0"/>
          <w:sz w:val="16"/>
          <w:szCs w:val="16"/>
        </w:rPr>
        <w:t>【</w:t>
      </w:r>
      <w:r w:rsidR="002E07BA" w:rsidRPr="002E07BA">
        <w:rPr>
          <w:rFonts w:eastAsia="微軟正黑體" w:hint="eastAsia"/>
          <w:color w:val="0070C0"/>
          <w:sz w:val="16"/>
          <w:szCs w:val="16"/>
        </w:rPr>
        <w:t>G.</w:t>
      </w:r>
      <w:r w:rsidR="00637A97">
        <w:rPr>
          <w:rFonts w:eastAsia="微軟正黑體"/>
          <w:color w:val="0070C0"/>
          <w:sz w:val="16"/>
          <w:szCs w:val="16"/>
        </w:rPr>
        <w:t>1.</w:t>
      </w:r>
      <w:r w:rsidR="002E07BA" w:rsidRPr="002E07BA">
        <w:rPr>
          <w:rFonts w:eastAsia="微軟正黑體" w:hint="eastAsia"/>
          <w:color w:val="0070C0"/>
          <w:sz w:val="16"/>
          <w:szCs w:val="16"/>
        </w:rPr>
        <w:t>(</w:t>
      </w:r>
      <w:r w:rsidR="00637A97">
        <w:rPr>
          <w:rFonts w:eastAsia="微軟正黑體"/>
          <w:color w:val="0070C0"/>
          <w:sz w:val="16"/>
          <w:szCs w:val="16"/>
        </w:rPr>
        <w:t>2</w:t>
      </w:r>
      <w:r w:rsidR="002E07BA" w:rsidRPr="002E07BA">
        <w:rPr>
          <w:rFonts w:eastAsia="微軟正黑體" w:hint="eastAsia"/>
          <w:color w:val="0070C0"/>
          <w:sz w:val="16"/>
          <w:szCs w:val="16"/>
        </w:rPr>
        <w:t>)</w:t>
      </w:r>
      <w:r w:rsidR="00281444" w:rsidRPr="00471175">
        <w:rPr>
          <w:rFonts w:eastAsia="微軟正黑體"/>
          <w:color w:val="0070C0"/>
          <w:sz w:val="16"/>
          <w:szCs w:val="16"/>
        </w:rPr>
        <w:t>】</w:t>
      </w:r>
      <w:r w:rsidR="0078015F" w:rsidRPr="00A72B44">
        <w:rPr>
          <w:rFonts w:eastAsia="微軟正黑體"/>
          <w:color w:val="0070C0"/>
          <w:sz w:val="16"/>
          <w:szCs w:val="16"/>
        </w:rPr>
        <w:t>【</w:t>
      </w:r>
      <w:r w:rsidR="0078015F" w:rsidRPr="00A72B44">
        <w:rPr>
          <w:rFonts w:eastAsia="微軟正黑體" w:hint="eastAsia"/>
          <w:color w:val="0070C0"/>
          <w:sz w:val="16"/>
          <w:szCs w:val="16"/>
        </w:rPr>
        <w:t>G.</w:t>
      </w:r>
      <w:r w:rsidR="00637A97">
        <w:rPr>
          <w:rFonts w:eastAsia="微軟正黑體"/>
          <w:color w:val="0070C0"/>
          <w:sz w:val="16"/>
          <w:szCs w:val="16"/>
        </w:rPr>
        <w:t>1.</w:t>
      </w:r>
      <w:r w:rsidR="0078015F" w:rsidRPr="00A72B44">
        <w:rPr>
          <w:rFonts w:eastAsia="微軟正黑體" w:hint="eastAsia"/>
          <w:color w:val="0070C0"/>
          <w:sz w:val="16"/>
          <w:szCs w:val="16"/>
        </w:rPr>
        <w:t>(</w:t>
      </w:r>
      <w:r w:rsidR="00637A97">
        <w:rPr>
          <w:rFonts w:eastAsia="微軟正黑體"/>
          <w:color w:val="0070C0"/>
          <w:sz w:val="16"/>
          <w:szCs w:val="16"/>
        </w:rPr>
        <w:t>3</w:t>
      </w:r>
      <w:r w:rsidR="0078015F" w:rsidRPr="00A72B44">
        <w:rPr>
          <w:rFonts w:eastAsia="微軟正黑體" w:hint="eastAsia"/>
          <w:color w:val="0070C0"/>
          <w:sz w:val="16"/>
          <w:szCs w:val="16"/>
        </w:rPr>
        <w:t>)</w:t>
      </w:r>
      <w:r w:rsidR="0078015F" w:rsidRPr="00A72B44">
        <w:rPr>
          <w:rFonts w:eastAsia="微軟正黑體"/>
          <w:color w:val="0070C0"/>
          <w:sz w:val="16"/>
          <w:szCs w:val="16"/>
        </w:rPr>
        <w:t>】</w:t>
      </w:r>
    </w:p>
    <w:p w14:paraId="71243091" w14:textId="5393E36A" w:rsidR="00F0783F" w:rsidRPr="005105C5" w:rsidRDefault="00F0783F" w:rsidP="0047447E">
      <w:pPr>
        <w:widowControl/>
        <w:spacing w:before="0" w:afterLines="50" w:after="180" w:line="360" w:lineRule="exact"/>
        <w:ind w:leftChars="177" w:left="425" w:firstLineChars="235" w:firstLine="564"/>
        <w:jc w:val="both"/>
        <w:rPr>
          <w:color w:val="5B9BD5" w:themeColor="accent1"/>
        </w:rPr>
      </w:pPr>
      <w:r w:rsidRPr="00471175">
        <w:t>「風險管理委員會」，負責研擬公司風險管理政策與架構，並建立質化與量化之管理標準，由董事長、副董事長、總經理與風險管理部門主管及其他經召集人指定之適當人選組成，並由總經理擔任召集人。風險管理委員會每季召開一次會議，</w:t>
      </w:r>
      <w:r w:rsidRPr="00471175">
        <w:lastRenderedPageBreak/>
        <w:t>陳報及持續監督氣候風險指標、評估結果及相關措施執行情形，並向董事會報告或提出必要之改善建議。</w:t>
      </w:r>
      <w:r w:rsidR="00637A97" w:rsidRPr="00471175">
        <w:rPr>
          <w:rFonts w:eastAsia="微軟正黑體"/>
          <w:color w:val="0070C0"/>
          <w:sz w:val="16"/>
          <w:szCs w:val="16"/>
        </w:rPr>
        <w:t>【</w:t>
      </w:r>
      <w:r w:rsidR="00637A97" w:rsidRPr="002E07BA">
        <w:rPr>
          <w:rFonts w:eastAsia="微軟正黑體" w:hint="eastAsia"/>
          <w:color w:val="0070C0"/>
          <w:sz w:val="16"/>
          <w:szCs w:val="16"/>
        </w:rPr>
        <w:t>G.</w:t>
      </w:r>
      <w:r w:rsidR="00637A97">
        <w:rPr>
          <w:rFonts w:eastAsia="微軟正黑體"/>
          <w:color w:val="0070C0"/>
          <w:sz w:val="16"/>
          <w:szCs w:val="16"/>
        </w:rPr>
        <w:t>1.</w:t>
      </w:r>
      <w:r w:rsidR="00637A97" w:rsidRPr="002E07BA">
        <w:rPr>
          <w:rFonts w:eastAsia="微軟正黑體" w:hint="eastAsia"/>
          <w:color w:val="0070C0"/>
          <w:sz w:val="16"/>
          <w:szCs w:val="16"/>
        </w:rPr>
        <w:t>(</w:t>
      </w:r>
      <w:r w:rsidR="00637A97">
        <w:rPr>
          <w:rFonts w:eastAsia="微軟正黑體"/>
          <w:color w:val="0070C0"/>
          <w:sz w:val="16"/>
          <w:szCs w:val="16"/>
        </w:rPr>
        <w:t>2</w:t>
      </w:r>
      <w:r w:rsidR="00637A97" w:rsidRPr="002E07BA">
        <w:rPr>
          <w:rFonts w:eastAsia="微軟正黑體" w:hint="eastAsia"/>
          <w:color w:val="0070C0"/>
          <w:sz w:val="16"/>
          <w:szCs w:val="16"/>
        </w:rPr>
        <w:t>)</w:t>
      </w:r>
      <w:r w:rsidR="00637A97" w:rsidRPr="00471175">
        <w:rPr>
          <w:rFonts w:eastAsia="微軟正黑體"/>
          <w:color w:val="0070C0"/>
          <w:sz w:val="16"/>
          <w:szCs w:val="16"/>
        </w:rPr>
        <w:t>】</w:t>
      </w:r>
      <w:r w:rsidR="00637A97" w:rsidRPr="00A72B44">
        <w:rPr>
          <w:rFonts w:eastAsia="微軟正黑體"/>
          <w:color w:val="0070C0"/>
          <w:sz w:val="16"/>
          <w:szCs w:val="16"/>
        </w:rPr>
        <w:t>【</w:t>
      </w:r>
      <w:r w:rsidR="00637A97" w:rsidRPr="00A72B44">
        <w:rPr>
          <w:rFonts w:eastAsia="微軟正黑體" w:hint="eastAsia"/>
          <w:color w:val="0070C0"/>
          <w:sz w:val="16"/>
          <w:szCs w:val="16"/>
        </w:rPr>
        <w:t>G.</w:t>
      </w:r>
      <w:r w:rsidR="00637A97">
        <w:rPr>
          <w:rFonts w:eastAsia="微軟正黑體"/>
          <w:color w:val="0070C0"/>
          <w:sz w:val="16"/>
          <w:szCs w:val="16"/>
        </w:rPr>
        <w:t>1.</w:t>
      </w:r>
      <w:r w:rsidR="00637A97" w:rsidRPr="00A72B44">
        <w:rPr>
          <w:rFonts w:eastAsia="微軟正黑體" w:hint="eastAsia"/>
          <w:color w:val="0070C0"/>
          <w:sz w:val="16"/>
          <w:szCs w:val="16"/>
        </w:rPr>
        <w:t>(</w:t>
      </w:r>
      <w:r w:rsidR="00637A97">
        <w:rPr>
          <w:rFonts w:eastAsia="微軟正黑體"/>
          <w:color w:val="0070C0"/>
          <w:sz w:val="16"/>
          <w:szCs w:val="16"/>
        </w:rPr>
        <w:t>3</w:t>
      </w:r>
      <w:r w:rsidR="00637A97" w:rsidRPr="00A72B44">
        <w:rPr>
          <w:rFonts w:eastAsia="微軟正黑體" w:hint="eastAsia"/>
          <w:color w:val="0070C0"/>
          <w:sz w:val="16"/>
          <w:szCs w:val="16"/>
        </w:rPr>
        <w:t>)</w:t>
      </w:r>
      <w:r w:rsidR="00637A97" w:rsidRPr="00A72B44">
        <w:rPr>
          <w:rFonts w:eastAsia="微軟正黑體"/>
          <w:color w:val="0070C0"/>
          <w:sz w:val="16"/>
          <w:szCs w:val="16"/>
        </w:rPr>
        <w:t>】</w:t>
      </w:r>
    </w:p>
    <w:p w14:paraId="3DAD73BA" w14:textId="77777777" w:rsidR="0047447E" w:rsidRPr="00471175" w:rsidRDefault="0047447E" w:rsidP="00706853">
      <w:pPr>
        <w:widowControl/>
        <w:spacing w:before="0" w:afterLines="50" w:after="180" w:line="0" w:lineRule="atLeast"/>
        <w:ind w:leftChars="100" w:left="240" w:firstLineChars="195" w:firstLine="312"/>
        <w:jc w:val="both"/>
        <w:rPr>
          <w:rFonts w:eastAsia="微軟正黑體"/>
          <w:color w:val="0070C0"/>
          <w:sz w:val="16"/>
          <w:szCs w:val="16"/>
        </w:rPr>
      </w:pPr>
    </w:p>
    <w:p w14:paraId="76F2E90C" w14:textId="01B0384F" w:rsidR="0047447E" w:rsidRPr="00471175" w:rsidRDefault="0047447E" w:rsidP="0047447E">
      <w:pPr>
        <w:widowControl/>
        <w:spacing w:before="0" w:afterLines="50" w:after="180" w:line="0" w:lineRule="atLeast"/>
        <w:ind w:left="567" w:hangingChars="236" w:hanging="567"/>
        <w:jc w:val="both"/>
        <w:rPr>
          <w:b/>
          <w:bCs/>
        </w:rPr>
      </w:pPr>
      <w:r>
        <w:rPr>
          <w:rFonts w:hint="eastAsia"/>
          <w:b/>
          <w:bCs/>
        </w:rPr>
        <w:t>二</w:t>
      </w:r>
      <w:r w:rsidRPr="00471175">
        <w:rPr>
          <w:b/>
          <w:bCs/>
        </w:rPr>
        <w:t>、</w:t>
      </w:r>
      <w:r w:rsidRPr="0047447E">
        <w:rPr>
          <w:rFonts w:hint="eastAsia"/>
          <w:b/>
          <w:bCs/>
        </w:rPr>
        <w:t>管理階層在評估與管理氣候相關風險與機會的角色</w:t>
      </w:r>
      <w:r w:rsidRPr="00471175">
        <w:rPr>
          <w:rFonts w:eastAsia="微軟正黑體"/>
          <w:color w:val="0070C0"/>
          <w:sz w:val="16"/>
          <w:szCs w:val="16"/>
        </w:rPr>
        <w:t>【</w:t>
      </w:r>
      <w:r w:rsidR="002E07BA" w:rsidRPr="002E07BA">
        <w:rPr>
          <w:rFonts w:eastAsia="微軟正黑體" w:hint="eastAsia"/>
          <w:color w:val="0070C0"/>
          <w:sz w:val="16"/>
          <w:szCs w:val="16"/>
        </w:rPr>
        <w:t>G.</w:t>
      </w:r>
      <w:r w:rsidR="00637A97">
        <w:rPr>
          <w:rFonts w:eastAsia="微軟正黑體"/>
          <w:color w:val="0070C0"/>
          <w:sz w:val="16"/>
          <w:szCs w:val="16"/>
        </w:rPr>
        <w:t>2</w:t>
      </w:r>
      <w:r w:rsidRPr="00471175">
        <w:rPr>
          <w:rFonts w:eastAsia="微軟正黑體"/>
          <w:color w:val="0070C0"/>
          <w:sz w:val="16"/>
          <w:szCs w:val="16"/>
        </w:rPr>
        <w:t>】</w:t>
      </w:r>
    </w:p>
    <w:p w14:paraId="7D3C9E5D" w14:textId="20D5E67F" w:rsidR="00950EB5" w:rsidRDefault="00F0783F" w:rsidP="0047447E">
      <w:pPr>
        <w:widowControl/>
        <w:spacing w:before="0" w:afterLines="50" w:after="180" w:line="360" w:lineRule="exact"/>
        <w:ind w:leftChars="177" w:left="425" w:firstLineChars="235" w:firstLine="564"/>
        <w:jc w:val="both"/>
        <w:rPr>
          <w:rFonts w:eastAsia="微軟正黑體"/>
          <w:color w:val="0070C0"/>
          <w:sz w:val="16"/>
          <w:szCs w:val="16"/>
        </w:rPr>
      </w:pPr>
      <w:r w:rsidRPr="00471175">
        <w:t>Ａ投信管理階層在氣候相關風險與機會之評估和管理所扮演之角色，由總經理擔任召集人之「永續發展委員會」，下轄五個工作小組，包含氣候風險小組</w:t>
      </w:r>
      <w:r w:rsidRPr="00471175">
        <w:rPr>
          <w:rFonts w:eastAsia="新細明體"/>
        </w:rPr>
        <w:t>、</w:t>
      </w:r>
      <w:r w:rsidRPr="00471175">
        <w:t>責任投資小組</w:t>
      </w:r>
      <w:r w:rsidRPr="00471175">
        <w:rPr>
          <w:rFonts w:eastAsia="新細明體"/>
        </w:rPr>
        <w:t>、</w:t>
      </w:r>
      <w:r w:rsidRPr="00471175">
        <w:t>永續治理小組</w:t>
      </w:r>
      <w:r w:rsidRPr="00471175">
        <w:rPr>
          <w:rFonts w:eastAsia="新細明體"/>
        </w:rPr>
        <w:t>、</w:t>
      </w:r>
      <w:r w:rsidRPr="00471175">
        <w:t>責任商品小組</w:t>
      </w:r>
      <w:r w:rsidRPr="00471175">
        <w:rPr>
          <w:rFonts w:eastAsia="新細明體"/>
        </w:rPr>
        <w:t>、</w:t>
      </w:r>
      <w:r w:rsidRPr="00471175">
        <w:t>綠色營運小組等，相關組織架構及職掌如下圖示。</w:t>
      </w:r>
      <w:r w:rsidR="00637A97" w:rsidRPr="00471175">
        <w:rPr>
          <w:rFonts w:eastAsia="微軟正黑體"/>
          <w:color w:val="0070C0"/>
          <w:sz w:val="16"/>
          <w:szCs w:val="16"/>
        </w:rPr>
        <w:t>【</w:t>
      </w:r>
      <w:r w:rsidR="00637A97" w:rsidRPr="002E07BA">
        <w:rPr>
          <w:rFonts w:eastAsia="微軟正黑體" w:hint="eastAsia"/>
          <w:color w:val="0070C0"/>
          <w:sz w:val="16"/>
          <w:szCs w:val="16"/>
        </w:rPr>
        <w:t>G.</w:t>
      </w:r>
      <w:r w:rsidR="00637A97">
        <w:rPr>
          <w:rFonts w:eastAsia="微軟正黑體"/>
          <w:color w:val="0070C0"/>
          <w:sz w:val="16"/>
          <w:szCs w:val="16"/>
        </w:rPr>
        <w:t>2.</w:t>
      </w:r>
      <w:r w:rsidR="00637A97" w:rsidRPr="002E07BA">
        <w:rPr>
          <w:rFonts w:eastAsia="微軟正黑體" w:hint="eastAsia"/>
          <w:color w:val="0070C0"/>
          <w:sz w:val="16"/>
          <w:szCs w:val="16"/>
        </w:rPr>
        <w:t>(</w:t>
      </w:r>
      <w:r w:rsidR="00637A97">
        <w:rPr>
          <w:rFonts w:eastAsia="微軟正黑體"/>
          <w:color w:val="0070C0"/>
          <w:sz w:val="16"/>
          <w:szCs w:val="16"/>
        </w:rPr>
        <w:t>1</w:t>
      </w:r>
      <w:r w:rsidR="00637A97" w:rsidRPr="002E07BA">
        <w:rPr>
          <w:rFonts w:eastAsia="微軟正黑體" w:hint="eastAsia"/>
          <w:color w:val="0070C0"/>
          <w:sz w:val="16"/>
          <w:szCs w:val="16"/>
        </w:rPr>
        <w:t>)</w:t>
      </w:r>
      <w:r w:rsidR="00637A97" w:rsidRPr="00471175">
        <w:rPr>
          <w:rFonts w:eastAsia="微軟正黑體"/>
          <w:color w:val="0070C0"/>
          <w:sz w:val="16"/>
          <w:szCs w:val="16"/>
        </w:rPr>
        <w:t>】</w:t>
      </w:r>
    </w:p>
    <w:p w14:paraId="779A5ADC" w14:textId="1EFEB090" w:rsidR="00F0783F" w:rsidRPr="00471175" w:rsidRDefault="00F0783F" w:rsidP="00F0783F">
      <w:pPr>
        <w:widowControl/>
        <w:spacing w:before="0" w:after="0" w:line="240" w:lineRule="auto"/>
        <w:rPr>
          <w:noProof/>
        </w:rPr>
      </w:pPr>
      <w:r w:rsidRPr="00471175">
        <w:rPr>
          <w:noProof/>
        </w:rPr>
        <w:drawing>
          <wp:inline distT="0" distB="0" distL="0" distR="0" wp14:anchorId="3D2026D9" wp14:editId="157F3118">
            <wp:extent cx="5608955" cy="2638425"/>
            <wp:effectExtent l="0" t="0" r="0" b="9525"/>
            <wp:docPr id="1164429046" name="圖片 1" descr="一張含有 文字, 螢幕擷取畫面, Rectangle,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29046" name="圖片 1" descr="一張含有 文字, 螢幕擷取畫面, Rectangle, 字型 的圖片&#10;&#10;自動產生的描述"/>
                    <pic:cNvPicPr/>
                  </pic:nvPicPr>
                  <pic:blipFill>
                    <a:blip r:embed="rId12"/>
                    <a:stretch>
                      <a:fillRect/>
                    </a:stretch>
                  </pic:blipFill>
                  <pic:spPr>
                    <a:xfrm>
                      <a:off x="0" y="0"/>
                      <a:ext cx="5608955" cy="2638425"/>
                    </a:xfrm>
                    <a:prstGeom prst="rect">
                      <a:avLst/>
                    </a:prstGeom>
                  </pic:spPr>
                </pic:pic>
              </a:graphicData>
            </a:graphic>
          </wp:inline>
        </w:drawing>
      </w:r>
    </w:p>
    <w:p w14:paraId="41291642" w14:textId="77777777" w:rsidR="009167EB" w:rsidRPr="00471175" w:rsidRDefault="009167EB" w:rsidP="00F0783F">
      <w:pPr>
        <w:widowControl/>
        <w:spacing w:before="0" w:after="0" w:line="240" w:lineRule="auto"/>
      </w:pPr>
    </w:p>
    <w:p w14:paraId="779CA5DA" w14:textId="77777777" w:rsidR="00F0783F" w:rsidRPr="00471175" w:rsidRDefault="00F0783F" w:rsidP="00F0783F">
      <w:pPr>
        <w:widowControl/>
        <w:spacing w:before="0" w:after="0" w:line="240" w:lineRule="auto"/>
      </w:pPr>
    </w:p>
    <w:p w14:paraId="4F9386D1" w14:textId="77777777" w:rsidR="00F0783F" w:rsidRPr="00F37F45" w:rsidRDefault="00F0783F" w:rsidP="00F37F45">
      <w:pPr>
        <w:pStyle w:val="a4"/>
        <w:widowControl/>
        <w:numPr>
          <w:ilvl w:val="0"/>
          <w:numId w:val="38"/>
        </w:numPr>
        <w:spacing w:before="0" w:afterLines="50" w:after="180" w:line="240" w:lineRule="auto"/>
        <w:ind w:leftChars="0" w:hanging="131"/>
        <w:rPr>
          <w:b/>
          <w:bCs/>
        </w:rPr>
      </w:pPr>
      <w:r w:rsidRPr="00F37F45">
        <w:rPr>
          <w:b/>
          <w:bCs/>
        </w:rPr>
        <w:t>氣候風險小組</w:t>
      </w:r>
    </w:p>
    <w:p w14:paraId="69A7EC0C" w14:textId="77777777" w:rsidR="00F0783F" w:rsidRPr="00471175" w:rsidRDefault="00F0783F" w:rsidP="00F0783F">
      <w:pPr>
        <w:widowControl/>
        <w:spacing w:before="0" w:afterLines="50" w:after="180" w:line="240" w:lineRule="auto"/>
        <w:ind w:left="1080"/>
      </w:pPr>
      <w:r w:rsidRPr="00471175">
        <w:t>負責制定氣候風險管理政策，導入風險管理機制，建立氣候風險分析方法學，鑑別氣候相關風險與機會，執行氣候變遷之情境分析，監控與評估氣候變遷相關之法令遵循，氣候相關財務揭露之工作等。</w:t>
      </w:r>
    </w:p>
    <w:p w14:paraId="6A176651" w14:textId="77777777" w:rsidR="00F0783F" w:rsidRPr="00F37F45" w:rsidRDefault="00F0783F" w:rsidP="00F37F45">
      <w:pPr>
        <w:pStyle w:val="a4"/>
        <w:widowControl/>
        <w:numPr>
          <w:ilvl w:val="0"/>
          <w:numId w:val="38"/>
        </w:numPr>
        <w:spacing w:before="0" w:afterLines="50" w:after="180" w:line="240" w:lineRule="auto"/>
        <w:ind w:leftChars="0" w:hanging="131"/>
        <w:rPr>
          <w:b/>
          <w:bCs/>
        </w:rPr>
      </w:pPr>
      <w:r w:rsidRPr="00F37F45">
        <w:rPr>
          <w:b/>
          <w:bCs/>
        </w:rPr>
        <w:t>責任投資小組</w:t>
      </w:r>
    </w:p>
    <w:p w14:paraId="1EBD2917" w14:textId="77777777" w:rsidR="00F0783F" w:rsidRPr="00471175" w:rsidRDefault="00F0783F" w:rsidP="00F0783F">
      <w:pPr>
        <w:widowControl/>
        <w:spacing w:before="0" w:afterLines="50" w:after="180" w:line="240" w:lineRule="auto"/>
        <w:ind w:left="1080"/>
      </w:pPr>
      <w:r w:rsidRPr="00471175">
        <w:t>將環境、社會及治理</w:t>
      </w:r>
      <w:r w:rsidRPr="00471175">
        <w:t xml:space="preserve">(ESG) </w:t>
      </w:r>
      <w:r w:rsidRPr="00471175">
        <w:t>納入投資與風險管理作業流程，並持續監督</w:t>
      </w:r>
      <w:r w:rsidRPr="00471175">
        <w:t>ESG</w:t>
      </w:r>
      <w:r w:rsidRPr="00471175">
        <w:t>相關投資及風險之管理與揭露。</w:t>
      </w:r>
    </w:p>
    <w:p w14:paraId="59DE0DE7" w14:textId="77777777" w:rsidR="00F0783F" w:rsidRPr="00F37F45" w:rsidRDefault="00F0783F" w:rsidP="00F37F45">
      <w:pPr>
        <w:pStyle w:val="a4"/>
        <w:widowControl/>
        <w:numPr>
          <w:ilvl w:val="0"/>
          <w:numId w:val="38"/>
        </w:numPr>
        <w:spacing w:before="0" w:afterLines="50" w:after="180" w:line="240" w:lineRule="auto"/>
        <w:ind w:leftChars="0" w:hanging="131"/>
        <w:rPr>
          <w:b/>
          <w:bCs/>
        </w:rPr>
      </w:pPr>
      <w:r w:rsidRPr="00F37F45">
        <w:rPr>
          <w:b/>
          <w:bCs/>
        </w:rPr>
        <w:t>永續治理小組</w:t>
      </w:r>
    </w:p>
    <w:p w14:paraId="36C839C0" w14:textId="77777777" w:rsidR="00F0783F" w:rsidRPr="00471175" w:rsidRDefault="00F0783F" w:rsidP="00F0783F">
      <w:pPr>
        <w:widowControl/>
        <w:spacing w:before="0" w:afterLines="50" w:after="180" w:line="240" w:lineRule="auto"/>
        <w:ind w:left="1080"/>
      </w:pPr>
      <w:r w:rsidRPr="00471175">
        <w:t>落實「機構投資人盡職治理守則」、增進受益人之長期價值、促進企業之永續經營與發展。</w:t>
      </w:r>
    </w:p>
    <w:p w14:paraId="3A5C44A1" w14:textId="77777777" w:rsidR="00F0783F" w:rsidRPr="00F37F45" w:rsidRDefault="00F0783F" w:rsidP="00F37F45">
      <w:pPr>
        <w:pStyle w:val="a4"/>
        <w:widowControl/>
        <w:numPr>
          <w:ilvl w:val="0"/>
          <w:numId w:val="38"/>
        </w:numPr>
        <w:spacing w:before="0" w:afterLines="50" w:after="180" w:line="240" w:lineRule="auto"/>
        <w:ind w:leftChars="0" w:hanging="131"/>
        <w:rPr>
          <w:b/>
          <w:bCs/>
        </w:rPr>
      </w:pPr>
      <w:r w:rsidRPr="00F37F45">
        <w:rPr>
          <w:b/>
          <w:bCs/>
        </w:rPr>
        <w:t>責任商品小組</w:t>
      </w:r>
    </w:p>
    <w:p w14:paraId="00C1B214" w14:textId="77777777" w:rsidR="00F0783F" w:rsidRPr="00471175" w:rsidRDefault="00F0783F" w:rsidP="00F0783F">
      <w:pPr>
        <w:widowControl/>
        <w:spacing w:before="0" w:afterLines="50" w:after="180" w:line="240" w:lineRule="auto"/>
        <w:ind w:left="1080"/>
      </w:pPr>
      <w:r w:rsidRPr="00471175">
        <w:lastRenderedPageBreak/>
        <w:t>擬訂、開發氣候相關風險商品，監督各業務單位之發展及執行情形。</w:t>
      </w:r>
    </w:p>
    <w:p w14:paraId="21D957B9" w14:textId="77777777" w:rsidR="00F0783F" w:rsidRPr="00F37F45" w:rsidRDefault="00F0783F" w:rsidP="00F37F45">
      <w:pPr>
        <w:pStyle w:val="a4"/>
        <w:widowControl/>
        <w:numPr>
          <w:ilvl w:val="0"/>
          <w:numId w:val="38"/>
        </w:numPr>
        <w:spacing w:before="0" w:afterLines="50" w:after="180" w:line="240" w:lineRule="auto"/>
        <w:ind w:leftChars="0" w:hanging="131"/>
        <w:rPr>
          <w:b/>
          <w:bCs/>
        </w:rPr>
      </w:pPr>
      <w:r w:rsidRPr="00F37F45">
        <w:rPr>
          <w:b/>
          <w:bCs/>
        </w:rPr>
        <w:t>綠色營運小組</w:t>
      </w:r>
    </w:p>
    <w:p w14:paraId="2A071F5D" w14:textId="77777777" w:rsidR="00F0783F" w:rsidRDefault="00F0783F" w:rsidP="00F0783F">
      <w:pPr>
        <w:widowControl/>
        <w:spacing w:before="0" w:afterLines="50" w:after="180" w:line="240" w:lineRule="auto"/>
        <w:ind w:left="1080"/>
      </w:pPr>
      <w:r w:rsidRPr="00471175">
        <w:t>負責各單位節能減碳行動之規劃及執行，包括採用環境管理系統監控水資源與能源使用狀況、溫室氣體排放及綠色建築計畫。</w:t>
      </w:r>
    </w:p>
    <w:p w14:paraId="71DB18CF" w14:textId="77777777" w:rsidR="00950EB5" w:rsidRDefault="00950EB5" w:rsidP="00F0783F">
      <w:pPr>
        <w:widowControl/>
        <w:spacing w:before="0" w:afterLines="50" w:after="180" w:line="240" w:lineRule="auto"/>
        <w:ind w:left="1080"/>
      </w:pPr>
    </w:p>
    <w:p w14:paraId="536259AB" w14:textId="21F71356" w:rsidR="00950EB5" w:rsidRPr="00F37F45" w:rsidRDefault="00901431" w:rsidP="00950EB5">
      <w:pPr>
        <w:widowControl/>
        <w:spacing w:before="0" w:afterLines="50" w:after="180" w:line="360" w:lineRule="exact"/>
        <w:ind w:leftChars="177" w:left="425" w:firstLineChars="235" w:firstLine="564"/>
        <w:jc w:val="both"/>
        <w:rPr>
          <w:color w:val="FF0000"/>
        </w:rPr>
      </w:pPr>
      <w:r w:rsidRPr="004546D9">
        <w:rPr>
          <w:rFonts w:hint="eastAsia"/>
        </w:rPr>
        <w:t>相關委員會或工作小組</w:t>
      </w:r>
      <w:r w:rsidR="00F37F45" w:rsidRPr="004546D9">
        <w:rPr>
          <w:rFonts w:hint="eastAsia"/>
        </w:rPr>
        <w:t>之</w:t>
      </w:r>
      <w:r w:rsidRPr="004546D9">
        <w:rPr>
          <w:rFonts w:hint="eastAsia"/>
        </w:rPr>
        <w:t>氣候風險評結果及</w:t>
      </w:r>
      <w:r w:rsidR="00F37F45" w:rsidRPr="004546D9">
        <w:rPr>
          <w:rFonts w:hint="eastAsia"/>
        </w:rPr>
        <w:t>執行成效</w:t>
      </w:r>
      <w:r w:rsidRPr="004546D9">
        <w:rPr>
          <w:rFonts w:hint="eastAsia"/>
        </w:rPr>
        <w:t>，</w:t>
      </w:r>
      <w:r w:rsidR="00F37F45" w:rsidRPr="004546D9">
        <w:rPr>
          <w:rFonts w:hint="eastAsia"/>
        </w:rPr>
        <w:t>按季向董事會</w:t>
      </w:r>
      <w:r w:rsidRPr="004546D9">
        <w:rPr>
          <w:rFonts w:hint="eastAsia"/>
        </w:rPr>
        <w:t>陳</w:t>
      </w:r>
      <w:r w:rsidR="00F37F45" w:rsidRPr="004546D9">
        <w:rPr>
          <w:rFonts w:hint="eastAsia"/>
        </w:rPr>
        <w:t>報</w:t>
      </w:r>
      <w:r w:rsidR="00727E35" w:rsidRPr="004546D9">
        <w:rPr>
          <w:rFonts w:hint="eastAsia"/>
        </w:rPr>
        <w:t>。</w:t>
      </w:r>
      <w:r w:rsidR="00F37F45" w:rsidRPr="004546D9">
        <w:rPr>
          <w:rFonts w:hint="eastAsia"/>
        </w:rPr>
        <w:t>如發現重大異常或特殊情況</w:t>
      </w:r>
      <w:r w:rsidRPr="004546D9">
        <w:rPr>
          <w:rFonts w:hint="eastAsia"/>
        </w:rPr>
        <w:t>，</w:t>
      </w:r>
      <w:r w:rsidR="00F37F45" w:rsidRPr="004546D9">
        <w:rPr>
          <w:rFonts w:hint="eastAsia"/>
        </w:rPr>
        <w:t>應立即依內部規範採取因應措施，並提報董事會</w:t>
      </w:r>
      <w:r w:rsidR="0072731F" w:rsidRPr="004546D9">
        <w:rPr>
          <w:rFonts w:hint="eastAsia"/>
        </w:rPr>
        <w:t>，俾利董事會</w:t>
      </w:r>
      <w:r w:rsidR="00727E35" w:rsidRPr="004546D9">
        <w:rPr>
          <w:rFonts w:hint="eastAsia"/>
        </w:rPr>
        <w:t>之</w:t>
      </w:r>
      <w:r w:rsidR="0072731F" w:rsidRPr="004546D9">
        <w:rPr>
          <w:rFonts w:hint="eastAsia"/>
        </w:rPr>
        <w:t>有效監督</w:t>
      </w:r>
      <w:r w:rsidR="00F37F45" w:rsidRPr="004546D9">
        <w:rPr>
          <w:rFonts w:hint="eastAsia"/>
        </w:rPr>
        <w:t>。</w:t>
      </w:r>
      <w:r w:rsidRPr="00A72B44">
        <w:rPr>
          <w:rFonts w:eastAsia="微軟正黑體"/>
          <w:color w:val="0070C0"/>
          <w:sz w:val="16"/>
          <w:szCs w:val="16"/>
        </w:rPr>
        <w:t>【</w:t>
      </w:r>
      <w:r w:rsidRPr="00A72B44">
        <w:rPr>
          <w:rFonts w:eastAsia="微軟正黑體" w:hint="eastAsia"/>
          <w:color w:val="0070C0"/>
          <w:sz w:val="16"/>
          <w:szCs w:val="16"/>
        </w:rPr>
        <w:t>G.</w:t>
      </w:r>
      <w:r>
        <w:rPr>
          <w:rFonts w:eastAsia="微軟正黑體"/>
          <w:color w:val="0070C0"/>
          <w:sz w:val="16"/>
          <w:szCs w:val="16"/>
        </w:rPr>
        <w:t>2.</w:t>
      </w:r>
      <w:r w:rsidRPr="00A72B44">
        <w:rPr>
          <w:rFonts w:eastAsia="微軟正黑體" w:hint="eastAsia"/>
          <w:color w:val="0070C0"/>
          <w:sz w:val="16"/>
          <w:szCs w:val="16"/>
        </w:rPr>
        <w:t>(</w:t>
      </w:r>
      <w:r>
        <w:rPr>
          <w:rFonts w:eastAsia="微軟正黑體"/>
          <w:color w:val="0070C0"/>
          <w:sz w:val="16"/>
          <w:szCs w:val="16"/>
        </w:rPr>
        <w:t>2</w:t>
      </w:r>
      <w:r w:rsidRPr="00A72B44">
        <w:rPr>
          <w:rFonts w:eastAsia="微軟正黑體" w:hint="eastAsia"/>
          <w:color w:val="0070C0"/>
          <w:sz w:val="16"/>
          <w:szCs w:val="16"/>
        </w:rPr>
        <w:t>)</w:t>
      </w:r>
      <w:r w:rsidRPr="00A72B44">
        <w:rPr>
          <w:rFonts w:eastAsia="微軟正黑體"/>
          <w:color w:val="0070C0"/>
          <w:sz w:val="16"/>
          <w:szCs w:val="16"/>
        </w:rPr>
        <w:t>】</w:t>
      </w:r>
      <w:r w:rsidR="0010342F" w:rsidRPr="00A72B44">
        <w:rPr>
          <w:rFonts w:eastAsia="微軟正黑體"/>
          <w:color w:val="0070C0"/>
          <w:sz w:val="16"/>
          <w:szCs w:val="16"/>
        </w:rPr>
        <w:t>【</w:t>
      </w:r>
      <w:r w:rsidR="0010342F" w:rsidRPr="00A72B44">
        <w:rPr>
          <w:rFonts w:eastAsia="微軟正黑體" w:hint="eastAsia"/>
          <w:color w:val="0070C0"/>
          <w:sz w:val="16"/>
          <w:szCs w:val="16"/>
        </w:rPr>
        <w:t>G.</w:t>
      </w:r>
      <w:r w:rsidR="0010342F">
        <w:rPr>
          <w:rFonts w:eastAsia="微軟正黑體" w:hint="eastAsia"/>
          <w:color w:val="0070C0"/>
          <w:sz w:val="16"/>
          <w:szCs w:val="16"/>
        </w:rPr>
        <w:t>1</w:t>
      </w:r>
      <w:r w:rsidR="0010342F">
        <w:rPr>
          <w:rFonts w:eastAsia="微軟正黑體"/>
          <w:color w:val="0070C0"/>
          <w:sz w:val="16"/>
          <w:szCs w:val="16"/>
        </w:rPr>
        <w:t>.</w:t>
      </w:r>
      <w:r w:rsidR="0010342F" w:rsidRPr="00A72B44">
        <w:rPr>
          <w:rFonts w:eastAsia="微軟正黑體" w:hint="eastAsia"/>
          <w:color w:val="0070C0"/>
          <w:sz w:val="16"/>
          <w:szCs w:val="16"/>
        </w:rPr>
        <w:t>(</w:t>
      </w:r>
      <w:r w:rsidR="0010342F">
        <w:rPr>
          <w:rFonts w:eastAsia="微軟正黑體"/>
          <w:color w:val="0070C0"/>
          <w:sz w:val="16"/>
          <w:szCs w:val="16"/>
        </w:rPr>
        <w:t>3</w:t>
      </w:r>
      <w:r w:rsidR="0010342F" w:rsidRPr="00A72B44">
        <w:rPr>
          <w:rFonts w:eastAsia="微軟正黑體" w:hint="eastAsia"/>
          <w:color w:val="0070C0"/>
          <w:sz w:val="16"/>
          <w:szCs w:val="16"/>
        </w:rPr>
        <w:t>)</w:t>
      </w:r>
      <w:r w:rsidR="0010342F" w:rsidRPr="00A72B44">
        <w:rPr>
          <w:rFonts w:eastAsia="微軟正黑體"/>
          <w:color w:val="0070C0"/>
          <w:sz w:val="16"/>
          <w:szCs w:val="16"/>
        </w:rPr>
        <w:t>】</w:t>
      </w:r>
    </w:p>
    <w:p w14:paraId="38600F05" w14:textId="77198D6F" w:rsidR="00950EB5" w:rsidRPr="00A72B44" w:rsidRDefault="00950EB5" w:rsidP="00950EB5">
      <w:pPr>
        <w:widowControl/>
        <w:spacing w:before="0" w:afterLines="50" w:after="180" w:line="360" w:lineRule="exact"/>
        <w:ind w:leftChars="177" w:left="425" w:firstLineChars="235" w:firstLine="564"/>
        <w:jc w:val="both"/>
        <w:rPr>
          <w:color w:val="0070C0"/>
        </w:rPr>
      </w:pPr>
      <w:r w:rsidRPr="00471175">
        <w:t>為使董事會成員及管理階層對於氣候變遷對公司經營的影響，國際間標竿企業對氣候相關風險與機會治理之最新趨勢，以及低碳經濟發展之關鍵有所瞭解，</w:t>
      </w:r>
      <w:r w:rsidRPr="00471175">
        <w:t>A</w:t>
      </w:r>
      <w:r w:rsidRPr="00471175">
        <w:t>投信另邀請外部專家進行永續議題相關之教育訓練課程。</w:t>
      </w:r>
    </w:p>
    <w:p w14:paraId="00440EDF" w14:textId="77777777" w:rsidR="00950EB5" w:rsidRDefault="00950EB5" w:rsidP="00F0783F">
      <w:pPr>
        <w:widowControl/>
        <w:spacing w:before="0" w:afterLines="50" w:after="180" w:line="240" w:lineRule="auto"/>
        <w:ind w:left="1080"/>
      </w:pPr>
    </w:p>
    <w:p w14:paraId="3661D062" w14:textId="77777777" w:rsidR="00950EB5" w:rsidRDefault="00950EB5" w:rsidP="00F0783F">
      <w:pPr>
        <w:widowControl/>
        <w:spacing w:before="0" w:afterLines="50" w:after="180" w:line="240" w:lineRule="auto"/>
        <w:ind w:left="1080"/>
      </w:pPr>
    </w:p>
    <w:p w14:paraId="10CF6795" w14:textId="6C3779D8" w:rsidR="00950EB5" w:rsidRPr="00471175" w:rsidRDefault="00950EB5" w:rsidP="00F0783F">
      <w:pPr>
        <w:widowControl/>
        <w:spacing w:before="0" w:afterLines="50" w:after="180" w:line="240" w:lineRule="auto"/>
        <w:ind w:left="1080"/>
      </w:pPr>
    </w:p>
    <w:p w14:paraId="6E4AF8E1" w14:textId="33FD8288" w:rsidR="00F0783F" w:rsidRPr="00471175" w:rsidRDefault="00F0783F" w:rsidP="004546D9">
      <w:pPr>
        <w:widowControl/>
        <w:spacing w:before="0" w:afterLines="50" w:after="180" w:line="360" w:lineRule="exact"/>
        <w:ind w:leftChars="177" w:left="425" w:firstLineChars="235" w:firstLine="564"/>
        <w:jc w:val="both"/>
      </w:pPr>
      <w:r w:rsidRPr="00471175">
        <w:br w:type="page"/>
      </w:r>
    </w:p>
    <w:p w14:paraId="19F1FB4A" w14:textId="77777777" w:rsidR="00455C4C" w:rsidRPr="00EA5EE0" w:rsidRDefault="00455C4C" w:rsidP="00EA5EE0">
      <w:pPr>
        <w:pStyle w:val="afff8"/>
        <w:ind w:leftChars="0" w:hangingChars="150" w:hanging="480"/>
        <w:jc w:val="center"/>
        <w:rPr>
          <w:b/>
          <w:bCs w:val="0"/>
          <w:sz w:val="32"/>
          <w:szCs w:val="32"/>
        </w:rPr>
      </w:pPr>
      <w:bookmarkStart w:id="5" w:name="_Toc140587664"/>
      <w:bookmarkStart w:id="6" w:name="_Toc144912776"/>
      <w:r w:rsidRPr="00EA5EE0">
        <w:rPr>
          <w:b/>
          <w:bCs w:val="0"/>
          <w:sz w:val="32"/>
          <w:szCs w:val="32"/>
        </w:rPr>
        <w:lastRenderedPageBreak/>
        <w:t>第二章</w:t>
      </w:r>
      <w:r w:rsidRPr="00EA5EE0">
        <w:rPr>
          <w:b/>
          <w:bCs w:val="0"/>
          <w:sz w:val="32"/>
          <w:szCs w:val="32"/>
        </w:rPr>
        <w:t xml:space="preserve"> </w:t>
      </w:r>
      <w:r w:rsidRPr="00EA5EE0">
        <w:rPr>
          <w:b/>
          <w:bCs w:val="0"/>
          <w:sz w:val="32"/>
          <w:szCs w:val="32"/>
        </w:rPr>
        <w:t>策略</w:t>
      </w:r>
      <w:bookmarkEnd w:id="5"/>
      <w:r w:rsidRPr="00EA5EE0">
        <w:rPr>
          <w:rFonts w:hint="eastAsia"/>
          <w:b/>
          <w:bCs w:val="0"/>
          <w:sz w:val="32"/>
          <w:szCs w:val="32"/>
        </w:rPr>
        <w:t xml:space="preserve"> </w:t>
      </w:r>
      <w:r w:rsidRPr="00EA5EE0">
        <w:rPr>
          <w:b/>
          <w:bCs w:val="0"/>
          <w:sz w:val="32"/>
          <w:szCs w:val="32"/>
        </w:rPr>
        <w:t>(STRATEGY)</w:t>
      </w:r>
      <w:bookmarkEnd w:id="6"/>
    </w:p>
    <w:tbl>
      <w:tblPr>
        <w:tblStyle w:val="aa"/>
        <w:tblW w:w="10207" w:type="dxa"/>
        <w:tblInd w:w="-435" w:type="dxa"/>
        <w:tblLook w:val="04A0" w:firstRow="1" w:lastRow="0" w:firstColumn="1" w:lastColumn="0" w:noHBand="0" w:noVBand="1"/>
      </w:tblPr>
      <w:tblGrid>
        <w:gridCol w:w="10207"/>
      </w:tblGrid>
      <w:tr w:rsidR="00455C4C" w:rsidRPr="00471175" w14:paraId="20F429A6" w14:textId="77777777" w:rsidTr="00E84163">
        <w:tc>
          <w:tcPr>
            <w:tcW w:w="10207" w:type="dxa"/>
            <w:shd w:val="clear" w:color="auto" w:fill="auto"/>
          </w:tcPr>
          <w:p w14:paraId="7341F7B5" w14:textId="0C5A423D" w:rsidR="00455C4C" w:rsidRPr="004546D9" w:rsidRDefault="00455C4C" w:rsidP="00E84163">
            <w:pPr>
              <w:spacing w:before="0" w:afterLines="50" w:after="180" w:line="0" w:lineRule="atLeast"/>
              <w:ind w:left="461" w:hangingChars="192" w:hanging="461"/>
              <w:jc w:val="both"/>
            </w:pPr>
            <w:r w:rsidRPr="004546D9">
              <w:t>S.</w:t>
            </w:r>
            <w:r w:rsidR="009840F7" w:rsidRPr="004546D9">
              <w:t>1</w:t>
            </w:r>
            <w:r w:rsidR="00684E69" w:rsidRPr="004546D9">
              <w:rPr>
                <w:rFonts w:hint="eastAsia"/>
              </w:rPr>
              <w:t>投信事業描述公司所鑑別的短、中、長期氣候相關風險與機會時：</w:t>
            </w:r>
          </w:p>
          <w:p w14:paraId="003C4EAA" w14:textId="48EBA776" w:rsidR="009840F7" w:rsidRPr="004546D9" w:rsidRDefault="009840F7" w:rsidP="009840F7">
            <w:pPr>
              <w:spacing w:before="0" w:afterLines="50" w:after="180" w:line="0" w:lineRule="atLeast"/>
              <w:ind w:leftChars="134" w:left="600" w:hangingChars="116" w:hanging="278"/>
              <w:jc w:val="both"/>
            </w:pPr>
            <w:r w:rsidRPr="004546D9">
              <w:rPr>
                <w:rFonts w:hint="eastAsia"/>
              </w:rPr>
              <w:t>(1</w:t>
            </w:r>
            <w:r w:rsidRPr="004546D9">
              <w:t>)</w:t>
            </w:r>
            <w:r w:rsidRPr="004546D9">
              <w:rPr>
                <w:rFonts w:hint="eastAsia"/>
              </w:rPr>
              <w:t>宜揭露評估短、中、長期氣候風險與機會之時間區間。</w:t>
            </w:r>
          </w:p>
          <w:p w14:paraId="1882307D" w14:textId="1D77BDAD" w:rsidR="00F821A5" w:rsidRPr="004546D9" w:rsidRDefault="009840F7" w:rsidP="009840F7">
            <w:pPr>
              <w:spacing w:before="0" w:afterLines="50" w:after="180" w:line="0" w:lineRule="atLeast"/>
              <w:ind w:leftChars="134" w:left="600" w:hangingChars="116" w:hanging="278"/>
              <w:jc w:val="both"/>
            </w:pPr>
            <w:r w:rsidRPr="004546D9">
              <w:rPr>
                <w:rFonts w:hint="eastAsia"/>
              </w:rPr>
              <w:t>(2</w:t>
            </w:r>
            <w:r w:rsidRPr="004546D9">
              <w:t>)</w:t>
            </w:r>
            <w:r w:rsidRPr="004546D9">
              <w:rPr>
                <w:rFonts w:hint="eastAsia"/>
              </w:rPr>
              <w:t>宜揭露鑑別氣候相關風險與機會的方法，包含氣候相關風險的類別、轉型風險和</w:t>
            </w:r>
            <w:r w:rsidRPr="004546D9">
              <w:rPr>
                <w:rFonts w:hint="eastAsia"/>
              </w:rPr>
              <w:t>/</w:t>
            </w:r>
            <w:r w:rsidRPr="004546D9">
              <w:rPr>
                <w:rFonts w:hint="eastAsia"/>
              </w:rPr>
              <w:t>或實體風險的樣態，描述所導入之氣候情境等。</w:t>
            </w:r>
          </w:p>
          <w:p w14:paraId="67512883" w14:textId="587E1FCC" w:rsidR="00455C4C" w:rsidRPr="004546D9" w:rsidRDefault="00455C4C" w:rsidP="00E84163">
            <w:pPr>
              <w:spacing w:before="0" w:afterLines="50" w:after="180" w:line="0" w:lineRule="atLeast"/>
              <w:ind w:left="461" w:hangingChars="192" w:hanging="461"/>
              <w:jc w:val="both"/>
            </w:pPr>
            <w:r w:rsidRPr="004546D9">
              <w:t>S.</w:t>
            </w:r>
            <w:r w:rsidR="009840F7" w:rsidRPr="004546D9">
              <w:t>2</w:t>
            </w:r>
            <w:r w:rsidR="00684E69" w:rsidRPr="004546D9">
              <w:rPr>
                <w:rFonts w:hint="eastAsia"/>
              </w:rPr>
              <w:t>投信事業描述在業務、策略和財務規劃上與氣候相關風險的衝擊與機會時：</w:t>
            </w:r>
          </w:p>
          <w:p w14:paraId="27416276" w14:textId="78418606" w:rsidR="009840F7" w:rsidRPr="004546D9" w:rsidRDefault="009840F7" w:rsidP="009840F7">
            <w:pPr>
              <w:spacing w:before="0" w:afterLines="50" w:after="180" w:line="0" w:lineRule="atLeast"/>
              <w:ind w:leftChars="134" w:left="600" w:hangingChars="116" w:hanging="278"/>
              <w:jc w:val="both"/>
            </w:pPr>
            <w:r w:rsidRPr="004546D9">
              <w:rPr>
                <w:rFonts w:hint="eastAsia"/>
              </w:rPr>
              <w:t>(1</w:t>
            </w:r>
            <w:r w:rsidRPr="004546D9">
              <w:t>)</w:t>
            </w:r>
            <w:r w:rsidRPr="004546D9">
              <w:rPr>
                <w:rFonts w:hint="eastAsia"/>
              </w:rPr>
              <w:t>揭露氣候相關營運衝擊評估時，宜揭露氣候風險之影響程度及發生頻率，並視其重大性擬定因應措施。</w:t>
            </w:r>
          </w:p>
          <w:p w14:paraId="126B1080" w14:textId="4BB955FE" w:rsidR="009840F7" w:rsidRPr="004546D9" w:rsidRDefault="009840F7" w:rsidP="009840F7">
            <w:pPr>
              <w:spacing w:before="0" w:afterLines="50" w:after="180" w:line="0" w:lineRule="atLeast"/>
              <w:ind w:leftChars="134" w:left="600" w:hangingChars="116" w:hanging="278"/>
              <w:jc w:val="both"/>
            </w:pPr>
            <w:r w:rsidRPr="004546D9">
              <w:rPr>
                <w:rFonts w:hint="eastAsia"/>
              </w:rPr>
              <w:t>(2</w:t>
            </w:r>
            <w:r w:rsidRPr="004546D9">
              <w:t>)</w:t>
            </w:r>
            <w:r w:rsidRPr="004546D9">
              <w:rPr>
                <w:rFonts w:hint="eastAsia"/>
              </w:rPr>
              <w:t>宜視其重大性揭露氣候風險與機會在不同期間（短、中、長期）下，對公司營運、策略、產品與財務規劃等之影響。</w:t>
            </w:r>
          </w:p>
          <w:p w14:paraId="3064CADA" w14:textId="5CA0D0AD" w:rsidR="009840F7" w:rsidRPr="004546D9" w:rsidRDefault="009840F7" w:rsidP="009840F7">
            <w:pPr>
              <w:spacing w:before="0" w:afterLines="50" w:after="180" w:line="0" w:lineRule="atLeast"/>
              <w:ind w:leftChars="134" w:left="600" w:hangingChars="116" w:hanging="278"/>
              <w:jc w:val="both"/>
            </w:pPr>
            <w:r w:rsidRPr="004546D9">
              <w:rPr>
                <w:rFonts w:hint="eastAsia"/>
              </w:rPr>
              <w:t>(3</w:t>
            </w:r>
            <w:r w:rsidRPr="004546D9">
              <w:t>)</w:t>
            </w:r>
            <w:r w:rsidRPr="004546D9">
              <w:rPr>
                <w:rFonts w:hint="eastAsia"/>
              </w:rPr>
              <w:t>有關財務風險及影響評估，公司宜揭露收入、成本</w:t>
            </w:r>
            <w:r w:rsidRPr="004546D9">
              <w:rPr>
                <w:rFonts w:hint="eastAsia"/>
              </w:rPr>
              <w:t>/</w:t>
            </w:r>
            <w:r w:rsidRPr="004546D9">
              <w:rPr>
                <w:rFonts w:hint="eastAsia"/>
              </w:rPr>
              <w:t>費用、資產</w:t>
            </w:r>
            <w:r w:rsidRPr="004546D9">
              <w:rPr>
                <w:rFonts w:hint="eastAsia"/>
              </w:rPr>
              <w:t>/</w:t>
            </w:r>
            <w:r w:rsidRPr="004546D9">
              <w:rPr>
                <w:rFonts w:hint="eastAsia"/>
              </w:rPr>
              <w:t>負債以及資本</w:t>
            </w:r>
            <w:r w:rsidRPr="004546D9">
              <w:rPr>
                <w:rFonts w:hint="eastAsia"/>
              </w:rPr>
              <w:t>/</w:t>
            </w:r>
            <w:r w:rsidRPr="004546D9">
              <w:rPr>
                <w:rFonts w:hint="eastAsia"/>
              </w:rPr>
              <w:t>融資等四個方面至少其中之一的財務影響。</w:t>
            </w:r>
          </w:p>
          <w:p w14:paraId="25C6EA8F" w14:textId="4976C08F" w:rsidR="009840F7" w:rsidRPr="004546D9" w:rsidRDefault="009840F7" w:rsidP="009840F7">
            <w:pPr>
              <w:spacing w:before="0" w:afterLines="50" w:after="180" w:line="0" w:lineRule="atLeast"/>
              <w:ind w:leftChars="134" w:left="600" w:hangingChars="116" w:hanging="278"/>
              <w:jc w:val="both"/>
            </w:pPr>
            <w:r w:rsidRPr="004546D9">
              <w:rPr>
                <w:rFonts w:hint="eastAsia"/>
              </w:rPr>
              <w:t>(4</w:t>
            </w:r>
            <w:r w:rsidRPr="004546D9">
              <w:t>)</w:t>
            </w:r>
            <w:r w:rsidRPr="004546D9">
              <w:rPr>
                <w:rFonts w:hint="eastAsia"/>
              </w:rPr>
              <w:t>大型投信事業宜辨識氣候風險與信用風險、市場風險、流動性風險及作業風險之關聯性。</w:t>
            </w:r>
          </w:p>
          <w:p w14:paraId="03F6F684" w14:textId="7778691B" w:rsidR="00F821A5" w:rsidRPr="004546D9" w:rsidRDefault="009840F7" w:rsidP="00637A97">
            <w:pPr>
              <w:spacing w:before="0" w:after="0" w:line="0" w:lineRule="atLeast"/>
              <w:ind w:leftChars="134" w:left="600" w:hangingChars="116" w:hanging="278"/>
              <w:jc w:val="both"/>
            </w:pPr>
            <w:r w:rsidRPr="004546D9">
              <w:rPr>
                <w:rFonts w:hint="eastAsia"/>
              </w:rPr>
              <w:t>(5</w:t>
            </w:r>
            <w:r w:rsidRPr="004546D9">
              <w:t>)</w:t>
            </w:r>
            <w:r w:rsidRPr="004546D9">
              <w:rPr>
                <w:rFonts w:hint="eastAsia"/>
              </w:rPr>
              <w:t>大型投信事業宜描述高碳排放相關資產和</w:t>
            </w:r>
            <w:r w:rsidRPr="004546D9">
              <w:rPr>
                <w:rFonts w:hint="eastAsia"/>
              </w:rPr>
              <w:t>/</w:t>
            </w:r>
            <w:r w:rsidRPr="004546D9">
              <w:rPr>
                <w:rFonts w:hint="eastAsia"/>
              </w:rPr>
              <w:t>或高碳排放資產相關的產品與服務之現況與展望，以及其所屬產業受氣候轉型風險之影響。</w:t>
            </w:r>
          </w:p>
          <w:p w14:paraId="4AE80E74" w14:textId="4CA787F8" w:rsidR="00637A97" w:rsidRPr="004546D9" w:rsidRDefault="00637A97" w:rsidP="00637A97">
            <w:pPr>
              <w:spacing w:before="0" w:afterLines="50" w:after="180" w:line="0" w:lineRule="atLeast"/>
              <w:ind w:leftChars="249" w:left="598" w:firstLine="2"/>
              <w:jc w:val="both"/>
            </w:pPr>
            <w:r w:rsidRPr="004546D9">
              <w:rPr>
                <w:rFonts w:hint="eastAsia"/>
              </w:rPr>
              <w:t>宜描述氣候相關之機會或風險因子如何被納入相關產品與服務和</w:t>
            </w:r>
            <w:r w:rsidRPr="004546D9">
              <w:rPr>
                <w:rFonts w:hint="eastAsia"/>
              </w:rPr>
              <w:t>/</w:t>
            </w:r>
            <w:r w:rsidRPr="004546D9">
              <w:rPr>
                <w:rFonts w:hint="eastAsia"/>
              </w:rPr>
              <w:t>或投資策略中；亦得描述這些產品與服務和</w:t>
            </w:r>
            <w:r w:rsidRPr="004546D9">
              <w:rPr>
                <w:rFonts w:hint="eastAsia"/>
              </w:rPr>
              <w:t>/</w:t>
            </w:r>
            <w:r w:rsidRPr="004546D9">
              <w:rPr>
                <w:rFonts w:hint="eastAsia"/>
              </w:rPr>
              <w:t>或投資策略，在低碳經濟轉型可能遭受之影響。</w:t>
            </w:r>
          </w:p>
          <w:p w14:paraId="2C3264B1" w14:textId="57D32A6E" w:rsidR="00455C4C" w:rsidRPr="004546D9" w:rsidRDefault="00455C4C" w:rsidP="00E84163">
            <w:pPr>
              <w:spacing w:before="0" w:afterLines="50" w:after="180" w:line="0" w:lineRule="atLeast"/>
              <w:ind w:left="314" w:hangingChars="131" w:hanging="314"/>
              <w:jc w:val="both"/>
            </w:pPr>
            <w:r w:rsidRPr="004546D9">
              <w:t>S.</w:t>
            </w:r>
            <w:bookmarkStart w:id="7" w:name="_Hlk147944175"/>
            <w:r w:rsidR="00436A24" w:rsidRPr="004546D9">
              <w:t>3</w:t>
            </w:r>
            <w:r w:rsidR="00684E69" w:rsidRPr="004546D9">
              <w:rPr>
                <w:rFonts w:hint="eastAsia"/>
              </w:rPr>
              <w:t>投信事業描述在策略上的韌性，並考慮不同氣候相關情境</w:t>
            </w:r>
            <w:r w:rsidR="00684E69" w:rsidRPr="004546D9">
              <w:rPr>
                <w:rFonts w:hint="eastAsia"/>
              </w:rPr>
              <w:t>(</w:t>
            </w:r>
            <w:r w:rsidR="00684E69" w:rsidRPr="004546D9">
              <w:rPr>
                <w:rFonts w:hint="eastAsia"/>
              </w:rPr>
              <w:t>包括</w:t>
            </w:r>
            <w:r w:rsidR="00684E69" w:rsidRPr="004546D9">
              <w:t>2˚C</w:t>
            </w:r>
            <w:r w:rsidR="00684E69" w:rsidRPr="004546D9">
              <w:rPr>
                <w:rFonts w:hint="eastAsia"/>
              </w:rPr>
              <w:t>或更嚴苛的情境</w:t>
            </w:r>
            <w:r w:rsidR="00684E69" w:rsidRPr="004546D9">
              <w:rPr>
                <w:rFonts w:hint="eastAsia"/>
              </w:rPr>
              <w:t>)</w:t>
            </w:r>
            <w:r w:rsidR="00684E69" w:rsidRPr="004546D9">
              <w:rPr>
                <w:rFonts w:hint="eastAsia"/>
              </w:rPr>
              <w:t>時</w:t>
            </w:r>
            <w:r w:rsidR="00684E69" w:rsidRPr="004546D9">
              <w:t>:</w:t>
            </w:r>
            <w:bookmarkEnd w:id="7"/>
          </w:p>
          <w:p w14:paraId="730F8D6E" w14:textId="741BB982" w:rsidR="00436A24" w:rsidRPr="004546D9" w:rsidRDefault="00436A24" w:rsidP="00436A24">
            <w:pPr>
              <w:spacing w:before="0" w:afterLines="50" w:after="180" w:line="0" w:lineRule="atLeast"/>
              <w:ind w:leftChars="134" w:left="600" w:hangingChars="116" w:hanging="278"/>
              <w:jc w:val="both"/>
            </w:pPr>
            <w:r w:rsidRPr="004546D9">
              <w:t>(</w:t>
            </w:r>
            <w:r w:rsidRPr="004546D9">
              <w:rPr>
                <w:rFonts w:hint="eastAsia"/>
              </w:rPr>
              <w:t>1</w:t>
            </w:r>
            <w:r w:rsidRPr="004546D9">
              <w:t>)</w:t>
            </w:r>
            <w:r w:rsidRPr="004546D9">
              <w:rPr>
                <w:rFonts w:hint="eastAsia"/>
              </w:rPr>
              <w:t>宜揭露低碳轉型計畫，以描述組織策略對氣候相關風險與機會之韌性。</w:t>
            </w:r>
          </w:p>
          <w:p w14:paraId="36B1A714" w14:textId="6EE5AD05" w:rsidR="00436A24" w:rsidRPr="004546D9" w:rsidRDefault="00436A24" w:rsidP="00436A24">
            <w:pPr>
              <w:spacing w:before="0" w:afterLines="50" w:after="180" w:line="0" w:lineRule="atLeast"/>
              <w:ind w:leftChars="134" w:left="600" w:hangingChars="116" w:hanging="278"/>
              <w:jc w:val="both"/>
            </w:pPr>
            <w:r w:rsidRPr="004546D9">
              <w:rPr>
                <w:rFonts w:hint="eastAsia"/>
              </w:rPr>
              <w:t>(2</w:t>
            </w:r>
            <w:r w:rsidRPr="004546D9">
              <w:t>)</w:t>
            </w:r>
            <w:r w:rsidRPr="004546D9">
              <w:rPr>
                <w:rFonts w:hint="eastAsia"/>
              </w:rPr>
              <w:t>宜揭露如何透過不同氣候變遷情境之路徑分析，了解自身氣候風險相關策略之韌性與調適策略適當性後，所做出之策略調整。</w:t>
            </w:r>
          </w:p>
          <w:p w14:paraId="58637651" w14:textId="5A09911F" w:rsidR="00436A24" w:rsidRPr="004546D9" w:rsidRDefault="00436A24" w:rsidP="00436A24">
            <w:pPr>
              <w:spacing w:before="0" w:afterLines="50" w:after="180" w:line="0" w:lineRule="atLeast"/>
              <w:ind w:leftChars="134" w:left="600" w:hangingChars="116" w:hanging="278"/>
              <w:jc w:val="both"/>
            </w:pPr>
            <w:r w:rsidRPr="004546D9">
              <w:rPr>
                <w:rFonts w:hint="eastAsia"/>
              </w:rPr>
              <w:t>(3</w:t>
            </w:r>
            <w:r w:rsidRPr="004546D9">
              <w:t>)</w:t>
            </w:r>
            <w:r w:rsidRPr="004546D9">
              <w:rPr>
                <w:rFonts w:hint="eastAsia"/>
              </w:rPr>
              <w:t>得揭露重大自然災害因應計畫，相關計畫通常包含總部與主要辦公室據點應對實體風險持續增加之情境。</w:t>
            </w:r>
          </w:p>
          <w:p w14:paraId="386064D1" w14:textId="0B4037AC" w:rsidR="009840F7" w:rsidRPr="004546D9" w:rsidRDefault="00436A24" w:rsidP="00436A24">
            <w:pPr>
              <w:spacing w:before="0" w:afterLines="50" w:after="180" w:line="0" w:lineRule="atLeast"/>
              <w:ind w:leftChars="134" w:left="600" w:hangingChars="116" w:hanging="278"/>
              <w:jc w:val="both"/>
            </w:pPr>
            <w:r w:rsidRPr="004546D9">
              <w:rPr>
                <w:rFonts w:hint="eastAsia"/>
              </w:rPr>
              <w:t>(4</w:t>
            </w:r>
            <w:r w:rsidRPr="004546D9">
              <w:t>)</w:t>
            </w:r>
            <w:r w:rsidRPr="004546D9">
              <w:rPr>
                <w:rFonts w:hint="eastAsia"/>
              </w:rPr>
              <w:t>如適用，得評估將氣候相關機會因子納入考量之金融商品，並考量揭露為公司本身之氣候相關機會。</w:t>
            </w:r>
          </w:p>
          <w:p w14:paraId="50E29ED5" w14:textId="617B4155" w:rsidR="00455C4C" w:rsidRPr="004546D9" w:rsidRDefault="00436A24" w:rsidP="00436A24">
            <w:pPr>
              <w:spacing w:before="0" w:afterLines="50" w:after="180" w:line="0" w:lineRule="atLeast"/>
              <w:ind w:left="314" w:hangingChars="131" w:hanging="314"/>
              <w:jc w:val="both"/>
            </w:pPr>
            <w:r w:rsidRPr="004546D9">
              <w:rPr>
                <w:rFonts w:hint="eastAsia"/>
              </w:rPr>
              <w:t>S</w:t>
            </w:r>
            <w:r w:rsidRPr="004546D9">
              <w:t>.4</w:t>
            </w:r>
            <w:r w:rsidRPr="004546D9">
              <w:rPr>
                <w:rFonts w:hint="eastAsia"/>
              </w:rPr>
              <w:t>若氣候相關風險係屬重大，大型投信事業應發展情境分析之能力以評估氣候風險對投資組合之衝擊，包括投資組合在不同情境下面臨財務損失之韌性。</w:t>
            </w:r>
          </w:p>
        </w:tc>
      </w:tr>
    </w:tbl>
    <w:p w14:paraId="2D1C227F" w14:textId="6F6FC225" w:rsidR="00250C10" w:rsidRDefault="00250C10" w:rsidP="00455C4C">
      <w:pPr>
        <w:widowControl/>
        <w:spacing w:before="0" w:after="0" w:line="240" w:lineRule="auto"/>
        <w:rPr>
          <w:b/>
          <w:bCs/>
        </w:rPr>
      </w:pPr>
    </w:p>
    <w:p w14:paraId="2D77F862" w14:textId="77777777" w:rsidR="00250C10" w:rsidRDefault="00250C10">
      <w:pPr>
        <w:widowControl/>
        <w:spacing w:before="0" w:after="0" w:line="240" w:lineRule="auto"/>
        <w:rPr>
          <w:b/>
          <w:bCs/>
        </w:rPr>
      </w:pPr>
      <w:r>
        <w:rPr>
          <w:b/>
          <w:bCs/>
        </w:rPr>
        <w:br w:type="page"/>
      </w:r>
    </w:p>
    <w:p w14:paraId="44742424" w14:textId="000D37FC" w:rsidR="00455C4C" w:rsidRPr="00471175" w:rsidRDefault="00455C4C" w:rsidP="00455C4C">
      <w:pPr>
        <w:widowControl/>
        <w:spacing w:before="0" w:afterLines="50" w:after="180" w:line="360" w:lineRule="exact"/>
        <w:ind w:left="567" w:hangingChars="236" w:hanging="567"/>
        <w:jc w:val="both"/>
        <w:rPr>
          <w:b/>
          <w:bCs/>
        </w:rPr>
      </w:pPr>
      <w:r w:rsidRPr="00471175">
        <w:rPr>
          <w:b/>
          <w:bCs/>
        </w:rPr>
        <w:lastRenderedPageBreak/>
        <w:t>一、鑑別短、中、長期氣候相關風險與機會</w:t>
      </w:r>
      <w:r w:rsidRPr="00471175">
        <w:rPr>
          <w:rFonts w:eastAsia="新細明體"/>
          <w:color w:val="0070C0"/>
          <w:sz w:val="16"/>
          <w:szCs w:val="16"/>
        </w:rPr>
        <w:t>【</w:t>
      </w:r>
      <w:r w:rsidRPr="00471175">
        <w:rPr>
          <w:rFonts w:eastAsia="新細明體"/>
          <w:color w:val="0070C0"/>
          <w:sz w:val="16"/>
          <w:szCs w:val="16"/>
        </w:rPr>
        <w:t>S.</w:t>
      </w:r>
      <w:r w:rsidR="00637A97">
        <w:rPr>
          <w:rFonts w:eastAsia="新細明體"/>
          <w:color w:val="0070C0"/>
          <w:sz w:val="16"/>
          <w:szCs w:val="16"/>
        </w:rPr>
        <w:t>1</w:t>
      </w:r>
      <w:r w:rsidRPr="00471175">
        <w:rPr>
          <w:rFonts w:eastAsia="新細明體"/>
          <w:color w:val="0070C0"/>
          <w:sz w:val="16"/>
          <w:szCs w:val="16"/>
        </w:rPr>
        <w:t>】</w:t>
      </w:r>
    </w:p>
    <w:p w14:paraId="369B3F70" w14:textId="1C26EE4D" w:rsidR="00455C4C" w:rsidRPr="008178A1" w:rsidRDefault="00455C4C" w:rsidP="00455C4C">
      <w:pPr>
        <w:widowControl/>
        <w:spacing w:before="0" w:afterLines="50" w:after="180" w:line="360" w:lineRule="exact"/>
        <w:ind w:leftChars="236" w:left="566" w:firstLineChars="176" w:firstLine="422"/>
        <w:jc w:val="both"/>
        <w:rPr>
          <w:rFonts w:eastAsia="微軟正黑體"/>
          <w:color w:val="2E74B5" w:themeColor="accent1" w:themeShade="BF"/>
          <w:sz w:val="16"/>
          <w:szCs w:val="16"/>
        </w:rPr>
      </w:pPr>
      <w:r w:rsidRPr="00471175">
        <w:t>A</w:t>
      </w:r>
      <w:r w:rsidRPr="00471175">
        <w:t>投信在高階主管支持下，依循</w:t>
      </w:r>
      <w:r w:rsidRPr="00471175">
        <w:t>TCFD</w:t>
      </w:r>
      <w:r w:rsidRPr="00471175">
        <w:t>等國際機構對氣候風險衡量的指引，執行氣候相關風險與機會之鑑別，並積極研擬解決方案，以減緩碳排、提出低碳服務以及氣候變遷調適等三大主要管理策略因應，希望降低因氣候變遷帶來的營運與財務衝擊，並提升組織氣候韌性。</w:t>
      </w:r>
      <w:r w:rsidRPr="00471175">
        <w:t>A</w:t>
      </w:r>
      <w:r w:rsidRPr="00471175">
        <w:t>投信針對所鑑別之氣候相關風險與機會，依據其氣候變遷風險與機會評估方法學，定義短期為未來</w:t>
      </w:r>
      <w:r w:rsidRPr="00471175">
        <w:t>3</w:t>
      </w:r>
      <w:r w:rsidRPr="00471175">
        <w:t>年之內、中期為</w:t>
      </w:r>
      <w:r w:rsidRPr="00471175">
        <w:t>3</w:t>
      </w:r>
      <w:r w:rsidRPr="00471175">
        <w:t>至</w:t>
      </w:r>
      <w:r w:rsidRPr="00471175">
        <w:t>5</w:t>
      </w:r>
      <w:r w:rsidRPr="00471175">
        <w:t>年，長期為</w:t>
      </w:r>
      <w:r w:rsidRPr="00471175">
        <w:t>5</w:t>
      </w:r>
      <w:r w:rsidRPr="00471175">
        <w:t>年至</w:t>
      </w:r>
      <w:r w:rsidRPr="00471175">
        <w:t>10</w:t>
      </w:r>
      <w:r w:rsidRPr="00471175">
        <w:t>年之時間區間，作為可能影響之評估期間。</w:t>
      </w:r>
      <w:r w:rsidR="00A651D4" w:rsidRPr="008178A1">
        <w:rPr>
          <w:rFonts w:eastAsia="新細明體"/>
          <w:color w:val="0070C0"/>
          <w:sz w:val="16"/>
          <w:szCs w:val="16"/>
        </w:rPr>
        <w:t>【</w:t>
      </w:r>
      <w:r w:rsidR="00A651D4" w:rsidRPr="008178A1">
        <w:rPr>
          <w:rFonts w:eastAsia="新細明體"/>
          <w:color w:val="0070C0"/>
          <w:sz w:val="16"/>
          <w:szCs w:val="16"/>
        </w:rPr>
        <w:t>S.</w:t>
      </w:r>
      <w:r w:rsidR="00637A97">
        <w:rPr>
          <w:rFonts w:eastAsia="新細明體"/>
          <w:color w:val="0070C0"/>
          <w:sz w:val="16"/>
          <w:szCs w:val="16"/>
        </w:rPr>
        <w:t>1.</w:t>
      </w:r>
      <w:r w:rsidR="00A651D4" w:rsidRPr="008178A1">
        <w:rPr>
          <w:rFonts w:eastAsia="新細明體"/>
          <w:color w:val="0070C0"/>
          <w:sz w:val="16"/>
          <w:szCs w:val="16"/>
        </w:rPr>
        <w:t>(</w:t>
      </w:r>
      <w:r w:rsidR="00637A97">
        <w:rPr>
          <w:rFonts w:eastAsia="新細明體"/>
          <w:color w:val="0070C0"/>
          <w:sz w:val="16"/>
          <w:szCs w:val="16"/>
        </w:rPr>
        <w:t>1</w:t>
      </w:r>
      <w:r w:rsidR="00A651D4" w:rsidRPr="008178A1">
        <w:rPr>
          <w:rFonts w:eastAsia="新細明體"/>
          <w:color w:val="0070C0"/>
          <w:sz w:val="16"/>
          <w:szCs w:val="16"/>
        </w:rPr>
        <w:t>)</w:t>
      </w:r>
      <w:r w:rsidR="00A651D4" w:rsidRPr="008178A1">
        <w:rPr>
          <w:rFonts w:eastAsia="新細明體"/>
          <w:color w:val="0070C0"/>
          <w:sz w:val="16"/>
          <w:szCs w:val="16"/>
        </w:rPr>
        <w:t>】</w:t>
      </w:r>
    </w:p>
    <w:p w14:paraId="56D19AD0" w14:textId="566F4426" w:rsidR="00455C4C" w:rsidRPr="005105C5" w:rsidRDefault="00455C4C" w:rsidP="00455C4C">
      <w:pPr>
        <w:pStyle w:val="Default"/>
        <w:spacing w:afterLines="50" w:after="180" w:line="0" w:lineRule="atLeast"/>
        <w:ind w:left="709" w:hanging="567"/>
        <w:rPr>
          <w:rFonts w:ascii="Times New Roman" w:hAnsi="Times New Roman" w:cs="Times New Roman"/>
        </w:rPr>
      </w:pPr>
      <w:r w:rsidRPr="008178A1">
        <w:rPr>
          <w:rFonts w:ascii="Times New Roman" w:hAnsi="Times New Roman" w:cs="Times New Roman"/>
        </w:rPr>
        <w:t>(</w:t>
      </w:r>
      <w:r w:rsidRPr="008178A1">
        <w:rPr>
          <w:rFonts w:ascii="Times New Roman" w:hAnsi="Times New Roman" w:cs="Times New Roman"/>
        </w:rPr>
        <w:t>一</w:t>
      </w:r>
      <w:r w:rsidRPr="008178A1">
        <w:rPr>
          <w:rFonts w:ascii="Times New Roman" w:hAnsi="Times New Roman" w:cs="Times New Roman"/>
        </w:rPr>
        <w:t>)</w:t>
      </w:r>
      <w:r w:rsidRPr="008178A1">
        <w:rPr>
          <w:rFonts w:ascii="Times New Roman" w:hAnsi="Times New Roman" w:cs="Times New Roman"/>
        </w:rPr>
        <w:t>氣候變遷之風險</w:t>
      </w:r>
      <w:r w:rsidR="00637A97" w:rsidRPr="008178A1">
        <w:rPr>
          <w:rFonts w:eastAsia="新細明體"/>
          <w:color w:val="0070C0"/>
          <w:sz w:val="16"/>
          <w:szCs w:val="16"/>
        </w:rPr>
        <w:t>【</w:t>
      </w:r>
      <w:r w:rsidR="00637A97" w:rsidRPr="008178A1">
        <w:rPr>
          <w:rFonts w:eastAsia="新細明體"/>
          <w:color w:val="0070C0"/>
          <w:sz w:val="16"/>
          <w:szCs w:val="16"/>
        </w:rPr>
        <w:t>S.</w:t>
      </w:r>
      <w:r w:rsidR="00637A97">
        <w:rPr>
          <w:rFonts w:eastAsia="新細明體"/>
          <w:color w:val="0070C0"/>
          <w:sz w:val="16"/>
          <w:szCs w:val="16"/>
        </w:rPr>
        <w:t>1.</w:t>
      </w:r>
      <w:r w:rsidR="00637A97" w:rsidRPr="008178A1">
        <w:rPr>
          <w:rFonts w:eastAsia="新細明體"/>
          <w:color w:val="0070C0"/>
          <w:sz w:val="16"/>
          <w:szCs w:val="16"/>
        </w:rPr>
        <w:t>(</w:t>
      </w:r>
      <w:r w:rsidR="00637A97">
        <w:rPr>
          <w:rFonts w:eastAsia="新細明體"/>
          <w:color w:val="0070C0"/>
          <w:sz w:val="16"/>
          <w:szCs w:val="16"/>
        </w:rPr>
        <w:t>2</w:t>
      </w:r>
      <w:r w:rsidR="00637A97" w:rsidRPr="008178A1">
        <w:rPr>
          <w:rFonts w:eastAsia="新細明體"/>
          <w:color w:val="0070C0"/>
          <w:sz w:val="16"/>
          <w:szCs w:val="16"/>
        </w:rPr>
        <w:t>)</w:t>
      </w:r>
      <w:r w:rsidR="00637A97" w:rsidRPr="008178A1">
        <w:rPr>
          <w:rFonts w:eastAsia="新細明體"/>
          <w:color w:val="0070C0"/>
          <w:sz w:val="16"/>
          <w:szCs w:val="16"/>
        </w:rPr>
        <w:t>】</w:t>
      </w:r>
    </w:p>
    <w:p w14:paraId="422CFD8C" w14:textId="77777777" w:rsidR="00455C4C" w:rsidRPr="00471175" w:rsidRDefault="00455C4C" w:rsidP="00455C4C">
      <w:pPr>
        <w:pStyle w:val="Default"/>
        <w:spacing w:afterLines="50" w:after="180"/>
        <w:ind w:left="709" w:firstLine="425"/>
        <w:rPr>
          <w:rFonts w:ascii="Times New Roman" w:hAnsi="Times New Roman" w:cs="Times New Roman"/>
        </w:rPr>
      </w:pPr>
      <w:r w:rsidRPr="00471175">
        <w:rPr>
          <w:rFonts w:ascii="Times New Roman" w:hAnsi="Times New Roman" w:cs="Times New Roman"/>
        </w:rPr>
        <w:t>在轉型風險方面，在辨識低碳轉型過程中，</w:t>
      </w:r>
      <w:r w:rsidRPr="00471175">
        <w:rPr>
          <w:rFonts w:ascii="Times New Roman" w:hAnsi="Times New Roman" w:cs="Times New Roman"/>
        </w:rPr>
        <w:t>A</w:t>
      </w:r>
      <w:r w:rsidRPr="00471175">
        <w:rPr>
          <w:rFonts w:ascii="Times New Roman" w:hAnsi="Times New Roman" w:cs="Times New Roman"/>
        </w:rPr>
        <w:t>投信</w:t>
      </w:r>
      <w:r>
        <w:rPr>
          <w:rFonts w:ascii="Times New Roman" w:hAnsi="Times New Roman" w:cs="Times New Roman" w:hint="eastAsia"/>
        </w:rPr>
        <w:t>若</w:t>
      </w:r>
      <w:r w:rsidRPr="00471175">
        <w:rPr>
          <w:rFonts w:ascii="Times New Roman" w:hAnsi="Times New Roman" w:cs="Times New Roman"/>
        </w:rPr>
        <w:t>因未能建立重視低碳轉型之形象，而面臨聲譽受損所造成的轉型風險，將於短期內造成影響；及因課徵碳稅或碳費之費率提高，導致投資標的之營運成本增加，致使獲利能力下降之轉型風險，將在短期內造成影響。而投資標的因低碳轉型技術開發失敗，致使獲利能力降低之轉型風險，將於中期產生影響。市場對於投資高碳排產業之興趣降低的轉型風險，將產生長期影響。</w:t>
      </w:r>
      <w:r w:rsidRPr="00471175">
        <w:rPr>
          <w:rFonts w:ascii="Times New Roman" w:hAnsi="Times New Roman" w:cs="Times New Roman"/>
        </w:rPr>
        <w:t xml:space="preserve"> </w:t>
      </w:r>
    </w:p>
    <w:p w14:paraId="5307B17C" w14:textId="77777777" w:rsidR="00455C4C" w:rsidRPr="00471175" w:rsidRDefault="00455C4C" w:rsidP="00455C4C">
      <w:pPr>
        <w:pStyle w:val="Default"/>
        <w:spacing w:afterLines="50" w:after="180"/>
        <w:ind w:left="709" w:firstLine="425"/>
        <w:rPr>
          <w:rFonts w:ascii="Times New Roman" w:hAnsi="Times New Roman" w:cs="Times New Roman"/>
        </w:rPr>
      </w:pPr>
      <w:r w:rsidRPr="00471175">
        <w:rPr>
          <w:rFonts w:ascii="Times New Roman" w:hAnsi="Times New Roman" w:cs="Times New Roman"/>
        </w:rPr>
        <w:t>在實體風險方面，極端氣候造成投資標的之資產損失或營運成本增加，而導致其獲利能力降低之實體風險，將於短、中期內產生影響。另外，該等事件也將造成</w:t>
      </w:r>
      <w:r w:rsidRPr="00471175">
        <w:rPr>
          <w:rFonts w:ascii="Times New Roman" w:hAnsi="Times New Roman" w:cs="Times New Roman"/>
        </w:rPr>
        <w:t>A</w:t>
      </w:r>
      <w:r w:rsidRPr="00471175">
        <w:rPr>
          <w:rFonts w:ascii="Times New Roman" w:hAnsi="Times New Roman" w:cs="Times New Roman"/>
        </w:rPr>
        <w:t>投信自身營運設施受損之實體風險。平均氣溫上升對</w:t>
      </w:r>
      <w:r w:rsidRPr="00471175">
        <w:rPr>
          <w:rFonts w:ascii="Times New Roman" w:hAnsi="Times New Roman" w:cs="Times New Roman"/>
        </w:rPr>
        <w:t>A</w:t>
      </w:r>
      <w:r w:rsidRPr="00471175">
        <w:rPr>
          <w:rFonts w:ascii="Times New Roman" w:hAnsi="Times New Roman" w:cs="Times New Roman"/>
        </w:rPr>
        <w:t>投信的營運設施及對投資資產所導致的實體風險，預期將產生較大的長期影響。</w:t>
      </w:r>
    </w:p>
    <w:p w14:paraId="0EAD393E" w14:textId="110EF98D" w:rsidR="00455C4C" w:rsidRPr="00471175" w:rsidRDefault="00455C4C" w:rsidP="00455C4C">
      <w:pPr>
        <w:pStyle w:val="Default"/>
        <w:spacing w:afterLines="50" w:after="180" w:line="0" w:lineRule="atLeast"/>
        <w:ind w:left="709" w:hanging="567"/>
        <w:rPr>
          <w:rFonts w:ascii="Times New Roman" w:eastAsia="微軟正黑體" w:hAnsi="Times New Roman" w:cs="Times New Roman"/>
          <w:color w:val="2E74B5" w:themeColor="accent1" w:themeShade="BF"/>
          <w:sz w:val="16"/>
          <w:szCs w:val="16"/>
        </w:rPr>
      </w:pPr>
      <w:r w:rsidRPr="00471175">
        <w:rPr>
          <w:rFonts w:ascii="Times New Roman" w:hAnsi="Times New Roman" w:cs="Times New Roman"/>
        </w:rPr>
        <w:t>(</w:t>
      </w:r>
      <w:r w:rsidRPr="00471175">
        <w:rPr>
          <w:rFonts w:ascii="Times New Roman" w:hAnsi="Times New Roman" w:cs="Times New Roman"/>
        </w:rPr>
        <w:t>二</w:t>
      </w:r>
      <w:r w:rsidRPr="00471175">
        <w:rPr>
          <w:rFonts w:ascii="Times New Roman" w:hAnsi="Times New Roman" w:cs="Times New Roman"/>
        </w:rPr>
        <w:t>)</w:t>
      </w:r>
      <w:r w:rsidRPr="00471175">
        <w:rPr>
          <w:rFonts w:ascii="Times New Roman" w:hAnsi="Times New Roman" w:cs="Times New Roman"/>
        </w:rPr>
        <w:t>氣候變遷之機會</w:t>
      </w:r>
      <w:r w:rsidR="00637A97" w:rsidRPr="008178A1">
        <w:rPr>
          <w:rFonts w:eastAsia="新細明體"/>
          <w:color w:val="0070C0"/>
          <w:sz w:val="16"/>
          <w:szCs w:val="16"/>
        </w:rPr>
        <w:t>【</w:t>
      </w:r>
      <w:r w:rsidR="00637A97" w:rsidRPr="008178A1">
        <w:rPr>
          <w:rFonts w:eastAsia="新細明體"/>
          <w:color w:val="0070C0"/>
          <w:sz w:val="16"/>
          <w:szCs w:val="16"/>
        </w:rPr>
        <w:t>S.</w:t>
      </w:r>
      <w:r w:rsidR="00637A97">
        <w:rPr>
          <w:rFonts w:eastAsia="新細明體"/>
          <w:color w:val="0070C0"/>
          <w:sz w:val="16"/>
          <w:szCs w:val="16"/>
        </w:rPr>
        <w:t>1.</w:t>
      </w:r>
      <w:r w:rsidR="00637A97" w:rsidRPr="008178A1">
        <w:rPr>
          <w:rFonts w:eastAsia="新細明體"/>
          <w:color w:val="0070C0"/>
          <w:sz w:val="16"/>
          <w:szCs w:val="16"/>
        </w:rPr>
        <w:t>(</w:t>
      </w:r>
      <w:r w:rsidR="00637A97">
        <w:rPr>
          <w:rFonts w:eastAsia="新細明體"/>
          <w:color w:val="0070C0"/>
          <w:sz w:val="16"/>
          <w:szCs w:val="16"/>
        </w:rPr>
        <w:t>2</w:t>
      </w:r>
      <w:r w:rsidR="00637A97" w:rsidRPr="008178A1">
        <w:rPr>
          <w:rFonts w:eastAsia="新細明體"/>
          <w:color w:val="0070C0"/>
          <w:sz w:val="16"/>
          <w:szCs w:val="16"/>
        </w:rPr>
        <w:t>)</w:t>
      </w:r>
      <w:r w:rsidR="00637A97" w:rsidRPr="008178A1">
        <w:rPr>
          <w:rFonts w:eastAsia="新細明體"/>
          <w:color w:val="0070C0"/>
          <w:sz w:val="16"/>
          <w:szCs w:val="16"/>
        </w:rPr>
        <w:t>】</w:t>
      </w:r>
    </w:p>
    <w:p w14:paraId="2679B70C" w14:textId="77777777" w:rsidR="00455C4C" w:rsidRPr="00471175" w:rsidRDefault="00455C4C" w:rsidP="00455C4C">
      <w:pPr>
        <w:pStyle w:val="Default"/>
        <w:spacing w:afterLines="50" w:after="180"/>
        <w:ind w:left="709" w:firstLine="425"/>
        <w:rPr>
          <w:rFonts w:ascii="Times New Roman" w:hAnsi="Times New Roman" w:cs="Times New Roman"/>
        </w:rPr>
      </w:pPr>
      <w:r w:rsidRPr="00471175">
        <w:rPr>
          <w:rFonts w:ascii="Times New Roman" w:hAnsi="Times New Roman" w:cs="Times New Roman"/>
        </w:rPr>
        <w:t>就機會而言，隨著客戶交易型態改變，</w:t>
      </w:r>
      <w:r w:rsidRPr="00471175">
        <w:rPr>
          <w:rFonts w:ascii="Times New Roman" w:hAnsi="Times New Roman" w:cs="Times New Roman"/>
        </w:rPr>
        <w:t>A</w:t>
      </w:r>
      <w:r w:rsidRPr="00471175">
        <w:rPr>
          <w:rFonts w:ascii="Times New Roman" w:hAnsi="Times New Roman" w:cs="Times New Roman"/>
        </w:rPr>
        <w:t>投信投入低碳數位金融服務之研發，提升客戶線上體驗，促進數位通路交易數量，將於短期內影響業務；進行節能減碳之行動，提升資源使用效率，將於中期產生影響。</w:t>
      </w:r>
      <w:r w:rsidRPr="00471175">
        <w:rPr>
          <w:rFonts w:ascii="Times New Roman" w:hAnsi="Times New Roman" w:cs="Times New Roman"/>
          <w:color w:val="000000" w:themeColor="text1"/>
        </w:rPr>
        <w:t>綠色金融商品或服務的發展，冀望能透過金融商品與議合動作，發揮改變環境的作用</w:t>
      </w:r>
      <w:r w:rsidRPr="00471175">
        <w:rPr>
          <w:rFonts w:ascii="Times New Roman" w:hAnsi="Times New Roman" w:cs="Times New Roman"/>
        </w:rPr>
        <w:t>。</w:t>
      </w:r>
    </w:p>
    <w:p w14:paraId="34636DF8" w14:textId="5D411809" w:rsidR="00455C4C" w:rsidRPr="00471175" w:rsidRDefault="00455C4C" w:rsidP="00455C4C">
      <w:pPr>
        <w:pStyle w:val="Default"/>
        <w:spacing w:afterLines="50" w:after="180"/>
        <w:ind w:left="709" w:firstLine="425"/>
        <w:rPr>
          <w:rFonts w:ascii="Times New Roman" w:hAnsi="Times New Roman" w:cs="Times New Roman"/>
        </w:rPr>
      </w:pPr>
      <w:r w:rsidRPr="00471175">
        <w:rPr>
          <w:rFonts w:ascii="Times New Roman" w:hAnsi="Times New Roman" w:cs="Times New Roman"/>
        </w:rPr>
        <w:t>下表說明</w:t>
      </w:r>
      <w:r w:rsidRPr="00471175">
        <w:rPr>
          <w:rFonts w:ascii="Times New Roman" w:hAnsi="Times New Roman" w:cs="Times New Roman"/>
        </w:rPr>
        <w:t>A</w:t>
      </w:r>
      <w:r w:rsidRPr="00471175">
        <w:rPr>
          <w:rFonts w:ascii="Times New Roman" w:hAnsi="Times New Roman" w:cs="Times New Roman"/>
        </w:rPr>
        <w:t>投信在思考氣候變遷對產品的影響時，所考量的短、中、長期風險及機會，並將因應風險與機會方法的演進，持續精進並提供更詳盡的規劃。</w:t>
      </w:r>
    </w:p>
    <w:tbl>
      <w:tblPr>
        <w:tblStyle w:val="5-6"/>
        <w:tblW w:w="9493" w:type="dxa"/>
        <w:tblLook w:val="04A0" w:firstRow="1" w:lastRow="0" w:firstColumn="1" w:lastColumn="0" w:noHBand="0" w:noVBand="1"/>
      </w:tblPr>
      <w:tblGrid>
        <w:gridCol w:w="562"/>
        <w:gridCol w:w="2694"/>
        <w:gridCol w:w="1937"/>
        <w:gridCol w:w="2599"/>
        <w:gridCol w:w="1701"/>
      </w:tblGrid>
      <w:tr w:rsidR="00455C4C" w:rsidRPr="00471175" w14:paraId="65775640" w14:textId="77777777" w:rsidTr="000863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gridSpan w:val="2"/>
            <w:hideMark/>
          </w:tcPr>
          <w:p w14:paraId="657EA58C" w14:textId="77777777" w:rsidR="00455C4C" w:rsidRPr="00471175" w:rsidRDefault="00455C4C" w:rsidP="00E84163">
            <w:pPr>
              <w:widowControl/>
              <w:spacing w:before="0" w:after="0" w:line="240" w:lineRule="auto"/>
              <w:jc w:val="center"/>
            </w:pPr>
            <w:r w:rsidRPr="00471175">
              <w:t>風險類別與機會</w:t>
            </w:r>
          </w:p>
        </w:tc>
        <w:tc>
          <w:tcPr>
            <w:tcW w:w="1937" w:type="dxa"/>
            <w:hideMark/>
          </w:tcPr>
          <w:p w14:paraId="46A1DFA0" w14:textId="77777777" w:rsidR="00455C4C" w:rsidRPr="00471175" w:rsidRDefault="00455C4C" w:rsidP="00E84163">
            <w:pPr>
              <w:widowControl/>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471175">
              <w:t>短期</w:t>
            </w:r>
            <w:r w:rsidRPr="00471175">
              <w:t>(1-3</w:t>
            </w:r>
            <w:r w:rsidRPr="00471175">
              <w:t>年</w:t>
            </w:r>
            <w:r w:rsidRPr="00471175">
              <w:t>)</w:t>
            </w:r>
          </w:p>
        </w:tc>
        <w:tc>
          <w:tcPr>
            <w:tcW w:w="2599" w:type="dxa"/>
            <w:hideMark/>
          </w:tcPr>
          <w:p w14:paraId="4B0CC8F4" w14:textId="77777777" w:rsidR="00455C4C" w:rsidRPr="00471175" w:rsidRDefault="00455C4C" w:rsidP="00E84163">
            <w:pPr>
              <w:widowControl/>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471175">
              <w:t>中期</w:t>
            </w:r>
            <w:r w:rsidRPr="00471175">
              <w:t>(3-5</w:t>
            </w:r>
            <w:r w:rsidRPr="00471175">
              <w:t>年</w:t>
            </w:r>
            <w:r w:rsidRPr="00471175">
              <w:t>)</w:t>
            </w:r>
          </w:p>
        </w:tc>
        <w:tc>
          <w:tcPr>
            <w:tcW w:w="1701" w:type="dxa"/>
            <w:hideMark/>
          </w:tcPr>
          <w:p w14:paraId="44860B96" w14:textId="77777777" w:rsidR="00455C4C" w:rsidRPr="00471175" w:rsidRDefault="00455C4C" w:rsidP="00E84163">
            <w:pPr>
              <w:widowControl/>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471175">
              <w:t>長期</w:t>
            </w:r>
            <w:r w:rsidRPr="00471175">
              <w:t>(5-10</w:t>
            </w:r>
            <w:r w:rsidRPr="00471175">
              <w:t>年</w:t>
            </w:r>
            <w:r w:rsidRPr="00471175">
              <w:t>)</w:t>
            </w:r>
          </w:p>
        </w:tc>
      </w:tr>
      <w:tr w:rsidR="00455C4C" w:rsidRPr="00471175" w14:paraId="74F8B6F0" w14:textId="77777777" w:rsidTr="004F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Merge w:val="restart"/>
            <w:vAlign w:val="center"/>
            <w:hideMark/>
          </w:tcPr>
          <w:p w14:paraId="2E34D082" w14:textId="77777777" w:rsidR="00455C4C" w:rsidRPr="00471175" w:rsidRDefault="00455C4C" w:rsidP="00E84163">
            <w:pPr>
              <w:widowControl/>
              <w:spacing w:before="0" w:afterLines="50" w:after="180" w:line="240" w:lineRule="auto"/>
              <w:jc w:val="center"/>
            </w:pPr>
            <w:r w:rsidRPr="00471175">
              <w:t>風險</w:t>
            </w:r>
          </w:p>
        </w:tc>
        <w:tc>
          <w:tcPr>
            <w:tcW w:w="2694" w:type="dxa"/>
            <w:hideMark/>
          </w:tcPr>
          <w:p w14:paraId="3B2FDD59" w14:textId="77777777" w:rsidR="00455C4C" w:rsidRPr="00471175" w:rsidRDefault="00455C4C" w:rsidP="00E84163">
            <w:pPr>
              <w:pStyle w:val="Default"/>
              <w:spacing w:afterLines="50" w:after="180"/>
              <w:ind w:left="144" w:hanging="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w:t>
            </w:r>
            <w:r w:rsidRPr="00471175">
              <w:rPr>
                <w:rFonts w:ascii="Times New Roman" w:hAnsi="Times New Roman" w:cs="Times New Roman"/>
                <w:color w:val="auto"/>
              </w:rPr>
              <w:t>轉型風險</w:t>
            </w:r>
            <w:r w:rsidRPr="00471175">
              <w:rPr>
                <w:rFonts w:ascii="Times New Roman" w:hAnsi="Times New Roman" w:cs="Times New Roman"/>
                <w:color w:val="auto"/>
              </w:rPr>
              <w:t xml:space="preserve"> </w:t>
            </w:r>
          </w:p>
          <w:p w14:paraId="364B7C2B" w14:textId="77777777" w:rsidR="00455C4C" w:rsidRPr="00471175" w:rsidRDefault="00455C4C" w:rsidP="00E84163">
            <w:pPr>
              <w:widowControl/>
              <w:spacing w:before="0" w:afterLines="50" w:after="180" w:line="240" w:lineRule="auto"/>
              <w:cnfStyle w:val="000000100000" w:firstRow="0" w:lastRow="0" w:firstColumn="0" w:lastColumn="0" w:oddVBand="0" w:evenVBand="0" w:oddHBand="1" w:evenHBand="0" w:firstRowFirstColumn="0" w:firstRowLastColumn="0" w:lastRowFirstColumn="0" w:lastRowLastColumn="0"/>
            </w:pPr>
            <w:r w:rsidRPr="00471175">
              <w:t>低碳轉型過程中可能發生與政策和法規、技術、市場、社會和經濟狀況改變相關之風險。</w:t>
            </w:r>
          </w:p>
        </w:tc>
        <w:tc>
          <w:tcPr>
            <w:tcW w:w="1937" w:type="dxa"/>
            <w:hideMark/>
          </w:tcPr>
          <w:p w14:paraId="08E7597D" w14:textId="77777777" w:rsidR="00455C4C" w:rsidRPr="00471175" w:rsidRDefault="00455C4C" w:rsidP="00E84163">
            <w:pPr>
              <w:pStyle w:val="Default"/>
              <w:spacing w:afterLines="50" w:after="180"/>
              <w:ind w:left="144" w:rightChars="-66" w:right="-158" w:hanging="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w:t>
            </w:r>
            <w:r w:rsidRPr="00471175">
              <w:rPr>
                <w:rFonts w:ascii="Times New Roman" w:hAnsi="Times New Roman" w:cs="Times New Roman"/>
                <w:color w:val="auto"/>
              </w:rPr>
              <w:t>減碳政策與法規因應之</w:t>
            </w:r>
            <w:r>
              <w:rPr>
                <w:rFonts w:ascii="Times New Roman" w:hAnsi="Times New Roman" w:cs="Times New Roman" w:hint="eastAsia"/>
                <w:color w:val="auto"/>
              </w:rPr>
              <w:t>營運</w:t>
            </w:r>
            <w:r w:rsidRPr="00471175">
              <w:rPr>
                <w:rFonts w:ascii="Times New Roman" w:hAnsi="Times New Roman" w:cs="Times New Roman"/>
                <w:color w:val="auto"/>
              </w:rPr>
              <w:t>成本增加</w:t>
            </w:r>
          </w:p>
          <w:p w14:paraId="2E60B80C" w14:textId="77777777" w:rsidR="00455C4C" w:rsidRPr="00471175" w:rsidRDefault="00455C4C" w:rsidP="00E84163">
            <w:pPr>
              <w:pStyle w:val="Default"/>
              <w:spacing w:afterLines="50" w:after="180"/>
              <w:ind w:left="144" w:rightChars="-7" w:right="-17" w:hanging="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w:t>
            </w:r>
            <w:r w:rsidRPr="00471175">
              <w:rPr>
                <w:rFonts w:ascii="Times New Roman" w:hAnsi="Times New Roman" w:cs="Times New Roman"/>
                <w:color w:val="auto"/>
              </w:rPr>
              <w:t>未能建立低碳轉型之形象</w:t>
            </w:r>
            <w:r w:rsidRPr="00471175">
              <w:rPr>
                <w:rFonts w:ascii="Times New Roman" w:hAnsi="Times New Roman" w:cs="Times New Roman"/>
                <w:color w:val="auto"/>
              </w:rPr>
              <w:t>(</w:t>
            </w:r>
            <w:r w:rsidRPr="00471175">
              <w:rPr>
                <w:rFonts w:ascii="Times New Roman" w:hAnsi="Times New Roman" w:cs="Times New Roman"/>
                <w:color w:val="auto"/>
              </w:rPr>
              <w:t>公司聲譽</w:t>
            </w:r>
            <w:r w:rsidRPr="00471175">
              <w:rPr>
                <w:rFonts w:ascii="Times New Roman" w:hAnsi="Times New Roman" w:cs="Times New Roman"/>
                <w:color w:val="auto"/>
              </w:rPr>
              <w:t>)</w:t>
            </w:r>
          </w:p>
        </w:tc>
        <w:tc>
          <w:tcPr>
            <w:tcW w:w="2599" w:type="dxa"/>
            <w:hideMark/>
          </w:tcPr>
          <w:p w14:paraId="4F818192" w14:textId="77777777" w:rsidR="00455C4C" w:rsidRDefault="00455C4C" w:rsidP="00E84163">
            <w:pPr>
              <w:pStyle w:val="Default"/>
              <w:spacing w:afterLines="50" w:after="180"/>
              <w:ind w:left="144" w:rightChars="-25" w:right="-60" w:hanging="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w:t>
            </w:r>
            <w:r w:rsidRPr="00471175">
              <w:rPr>
                <w:rFonts w:ascii="Times New Roman" w:hAnsi="Times New Roman" w:cs="Times New Roman"/>
                <w:color w:val="auto"/>
              </w:rPr>
              <w:t>產品或服務低碳轉型</w:t>
            </w:r>
            <w:r>
              <w:rPr>
                <w:rFonts w:ascii="Times New Roman" w:hAnsi="Times New Roman" w:cs="Times New Roman" w:hint="eastAsia"/>
                <w:color w:val="auto"/>
              </w:rPr>
              <w:t>，增購永續資訊系統</w:t>
            </w:r>
            <w:r w:rsidRPr="00471175">
              <w:rPr>
                <w:rFonts w:ascii="Times New Roman" w:hAnsi="Times New Roman" w:cs="Times New Roman"/>
                <w:color w:val="auto"/>
              </w:rPr>
              <w:t>之成本增加</w:t>
            </w:r>
            <w:r>
              <w:rPr>
                <w:rFonts w:ascii="Times New Roman" w:hAnsi="Times New Roman" w:cs="Times New Roman" w:hint="eastAsia"/>
                <w:color w:val="auto"/>
              </w:rPr>
              <w:t>。</w:t>
            </w:r>
          </w:p>
          <w:p w14:paraId="36549661" w14:textId="77777777" w:rsidR="00455C4C" w:rsidRPr="00471175" w:rsidRDefault="00455C4C" w:rsidP="00E84163">
            <w:pPr>
              <w:pStyle w:val="Default"/>
              <w:numPr>
                <w:ilvl w:val="0"/>
                <w:numId w:val="31"/>
              </w:numPr>
              <w:spacing w:afterLines="50" w:after="180"/>
              <w:ind w:left="222" w:rightChars="-28" w:right="-67" w:hanging="22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hint="eastAsia"/>
                <w:color w:val="auto"/>
              </w:rPr>
              <w:t>未能滿足投資人永續商品需求，對基金銷售或績效之影響。</w:t>
            </w:r>
          </w:p>
        </w:tc>
        <w:tc>
          <w:tcPr>
            <w:tcW w:w="1701" w:type="dxa"/>
          </w:tcPr>
          <w:p w14:paraId="6619E6FF" w14:textId="77777777" w:rsidR="00455C4C" w:rsidRPr="00471175" w:rsidRDefault="00455C4C" w:rsidP="00E84163">
            <w:pPr>
              <w:pStyle w:val="Default"/>
              <w:spacing w:afterLines="50" w:after="180"/>
              <w:ind w:left="144" w:rightChars="-46" w:right="-110" w:hanging="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w:t>
            </w:r>
            <w:r w:rsidRPr="00471175">
              <w:rPr>
                <w:rFonts w:ascii="Times New Roman" w:hAnsi="Times New Roman" w:cs="Times New Roman"/>
                <w:color w:val="auto"/>
              </w:rPr>
              <w:t>市場偏好改變</w:t>
            </w:r>
            <w:r>
              <w:rPr>
                <w:rFonts w:ascii="Times New Roman" w:hAnsi="Times New Roman" w:cs="Times New Roman" w:hint="eastAsia"/>
                <w:color w:val="auto"/>
              </w:rPr>
              <w:t>，影響管理資產規模，營收減少。</w:t>
            </w:r>
          </w:p>
          <w:p w14:paraId="0ABFA3B9" w14:textId="77777777" w:rsidR="00455C4C" w:rsidRPr="00471175" w:rsidRDefault="00455C4C" w:rsidP="00E84163">
            <w:pPr>
              <w:widowControl/>
              <w:spacing w:before="0" w:afterLines="50" w:after="180" w:line="240" w:lineRule="auto"/>
              <w:cnfStyle w:val="000000100000" w:firstRow="0" w:lastRow="0" w:firstColumn="0" w:lastColumn="0" w:oddVBand="0" w:evenVBand="0" w:oddHBand="1" w:evenHBand="0" w:firstRowFirstColumn="0" w:firstRowLastColumn="0" w:lastRowFirstColumn="0" w:lastRowLastColumn="0"/>
            </w:pPr>
          </w:p>
        </w:tc>
      </w:tr>
      <w:tr w:rsidR="00455C4C" w:rsidRPr="00471175" w14:paraId="3519D80E" w14:textId="77777777" w:rsidTr="004F53C3">
        <w:tc>
          <w:tcPr>
            <w:cnfStyle w:val="001000000000" w:firstRow="0" w:lastRow="0" w:firstColumn="1" w:lastColumn="0" w:oddVBand="0" w:evenVBand="0" w:oddHBand="0" w:evenHBand="0" w:firstRowFirstColumn="0" w:firstRowLastColumn="0" w:lastRowFirstColumn="0" w:lastRowLastColumn="0"/>
            <w:tcW w:w="562" w:type="dxa"/>
            <w:vMerge/>
            <w:vAlign w:val="center"/>
          </w:tcPr>
          <w:p w14:paraId="048F0103" w14:textId="77777777" w:rsidR="00455C4C" w:rsidRPr="00471175" w:rsidRDefault="00455C4C" w:rsidP="00E84163">
            <w:pPr>
              <w:widowControl/>
              <w:spacing w:before="0" w:afterLines="50" w:after="180" w:line="240" w:lineRule="auto"/>
              <w:jc w:val="center"/>
            </w:pPr>
          </w:p>
        </w:tc>
        <w:tc>
          <w:tcPr>
            <w:tcW w:w="2694" w:type="dxa"/>
            <w:hideMark/>
          </w:tcPr>
          <w:p w14:paraId="7D269240" w14:textId="77777777" w:rsidR="00455C4C" w:rsidRPr="00471175" w:rsidRDefault="00455C4C" w:rsidP="00E84163">
            <w:pPr>
              <w:pStyle w:val="Default"/>
              <w:spacing w:afterLines="50" w:after="180"/>
              <w:ind w:left="144" w:hanging="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w:t>
            </w:r>
            <w:r w:rsidRPr="00471175">
              <w:rPr>
                <w:rFonts w:ascii="Times New Roman" w:hAnsi="Times New Roman" w:cs="Times New Roman"/>
                <w:color w:val="auto"/>
              </w:rPr>
              <w:t>實體風險</w:t>
            </w:r>
            <w:r w:rsidRPr="00471175">
              <w:rPr>
                <w:rFonts w:ascii="Times New Roman" w:hAnsi="Times New Roman" w:cs="Times New Roman"/>
                <w:color w:val="auto"/>
              </w:rPr>
              <w:t xml:space="preserve"> </w:t>
            </w:r>
          </w:p>
          <w:p w14:paraId="4BC58A00" w14:textId="77777777" w:rsidR="00455C4C" w:rsidRPr="00471175" w:rsidRDefault="00455C4C" w:rsidP="00E84163">
            <w:pPr>
              <w:widowControl/>
              <w:spacing w:before="0" w:afterLines="50" w:after="180" w:line="240" w:lineRule="auto"/>
              <w:ind w:rightChars="-44" w:right="-106"/>
              <w:cnfStyle w:val="000000000000" w:firstRow="0" w:lastRow="0" w:firstColumn="0" w:lastColumn="0" w:oddVBand="0" w:evenVBand="0" w:oddHBand="0" w:evenHBand="0" w:firstRowFirstColumn="0" w:firstRowLastColumn="0" w:lastRowFirstColumn="0" w:lastRowLastColumn="0"/>
            </w:pPr>
            <w:r w:rsidRPr="00471175">
              <w:t>氣候變遷帶來的實體風險，其氣候模式可為立即性或長期性。實體風險可能對組織產生財務衝擊，例如直接損害資產和中斷供應鏈所導致的間接影響。</w:t>
            </w:r>
          </w:p>
        </w:tc>
        <w:tc>
          <w:tcPr>
            <w:tcW w:w="1937" w:type="dxa"/>
            <w:hideMark/>
          </w:tcPr>
          <w:p w14:paraId="744BF970" w14:textId="77777777" w:rsidR="00455C4C" w:rsidRPr="00471175" w:rsidRDefault="00455C4C" w:rsidP="00E84163">
            <w:pPr>
              <w:pStyle w:val="Default"/>
              <w:spacing w:afterLines="50" w:after="180"/>
              <w:ind w:left="144" w:rightChars="-7" w:right="-17" w:hanging="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w:t>
            </w:r>
            <w:r w:rsidRPr="00471175">
              <w:rPr>
                <w:rFonts w:ascii="Times New Roman" w:hAnsi="Times New Roman" w:cs="Times New Roman"/>
                <w:color w:val="auto"/>
              </w:rPr>
              <w:t>極端氣候造成公司或投資對象營運中斷</w:t>
            </w:r>
          </w:p>
        </w:tc>
        <w:tc>
          <w:tcPr>
            <w:tcW w:w="2599" w:type="dxa"/>
            <w:hideMark/>
          </w:tcPr>
          <w:p w14:paraId="21AD3CEB" w14:textId="77777777" w:rsidR="00455C4C" w:rsidRPr="00471175" w:rsidRDefault="00455C4C" w:rsidP="00E84163">
            <w:pPr>
              <w:pStyle w:val="Default"/>
              <w:spacing w:afterLines="50" w:after="180"/>
              <w:ind w:left="144" w:rightChars="-25" w:right="-60" w:hanging="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w:t>
            </w:r>
            <w:r w:rsidRPr="00471175">
              <w:rPr>
                <w:rFonts w:ascii="Times New Roman" w:hAnsi="Times New Roman" w:cs="Times New Roman"/>
                <w:color w:val="auto"/>
              </w:rPr>
              <w:t>極端氣候造成公司或投資對象營運中斷</w:t>
            </w:r>
          </w:p>
        </w:tc>
        <w:tc>
          <w:tcPr>
            <w:tcW w:w="1701" w:type="dxa"/>
          </w:tcPr>
          <w:p w14:paraId="0E06C756" w14:textId="77777777" w:rsidR="00455C4C" w:rsidRPr="00471175" w:rsidRDefault="00455C4C" w:rsidP="00E84163">
            <w:pPr>
              <w:pStyle w:val="Default"/>
              <w:spacing w:afterLines="50" w:after="180"/>
              <w:ind w:left="144" w:rightChars="-46" w:right="-110" w:hanging="14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w:t>
            </w:r>
            <w:r w:rsidRPr="00471175">
              <w:rPr>
                <w:rFonts w:ascii="Times New Roman" w:hAnsi="Times New Roman" w:cs="Times New Roman"/>
                <w:color w:val="auto"/>
              </w:rPr>
              <w:t>平均氣溫上升</w:t>
            </w:r>
          </w:p>
        </w:tc>
      </w:tr>
      <w:tr w:rsidR="00455C4C" w:rsidRPr="00471175" w14:paraId="5CECC231" w14:textId="77777777" w:rsidTr="004F5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hideMark/>
          </w:tcPr>
          <w:p w14:paraId="3B825233" w14:textId="77777777" w:rsidR="00455C4C" w:rsidRPr="00471175" w:rsidRDefault="00455C4C" w:rsidP="00E84163">
            <w:pPr>
              <w:widowControl/>
              <w:spacing w:before="0" w:afterLines="50" w:after="180" w:line="240" w:lineRule="auto"/>
              <w:jc w:val="center"/>
            </w:pPr>
            <w:r w:rsidRPr="00471175">
              <w:t>機會</w:t>
            </w:r>
          </w:p>
        </w:tc>
        <w:tc>
          <w:tcPr>
            <w:tcW w:w="2694" w:type="dxa"/>
            <w:hideMark/>
          </w:tcPr>
          <w:p w14:paraId="11984273" w14:textId="77777777" w:rsidR="00455C4C" w:rsidRPr="00471175" w:rsidRDefault="00455C4C" w:rsidP="00E84163">
            <w:pPr>
              <w:pStyle w:val="Default"/>
              <w:spacing w:afterLines="50" w:after="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為減緩與適應氣候變遷而所做出的努力將會為組織創造機會</w:t>
            </w:r>
            <w:r w:rsidRPr="00471175">
              <w:rPr>
                <w:rFonts w:ascii="Times New Roman" w:hAnsi="Times New Roman" w:cs="Times New Roman"/>
                <w:color w:val="auto"/>
              </w:rPr>
              <w:t xml:space="preserve"> </w:t>
            </w:r>
          </w:p>
        </w:tc>
        <w:tc>
          <w:tcPr>
            <w:tcW w:w="1937" w:type="dxa"/>
            <w:hideMark/>
          </w:tcPr>
          <w:p w14:paraId="1939FA0A" w14:textId="77777777" w:rsidR="00455C4C" w:rsidRDefault="00455C4C" w:rsidP="00E84163">
            <w:pPr>
              <w:pStyle w:val="Default"/>
              <w:spacing w:afterLines="50" w:after="180"/>
              <w:ind w:left="144" w:rightChars="-66" w:right="-158" w:hanging="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w:t>
            </w:r>
            <w:r w:rsidRPr="00471175">
              <w:rPr>
                <w:rFonts w:ascii="Times New Roman" w:hAnsi="Times New Roman" w:cs="Times New Roman"/>
                <w:color w:val="auto"/>
              </w:rPr>
              <w:t>開發或增加低碳產品和服務</w:t>
            </w:r>
          </w:p>
          <w:p w14:paraId="603A1751" w14:textId="77777777" w:rsidR="00455C4C" w:rsidRPr="00471175" w:rsidRDefault="00455C4C" w:rsidP="00E84163">
            <w:pPr>
              <w:pStyle w:val="Default"/>
              <w:spacing w:afterLines="50" w:after="180"/>
              <w:ind w:left="144" w:rightChars="-25" w:right="-60" w:hanging="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2599" w:type="dxa"/>
            <w:hideMark/>
          </w:tcPr>
          <w:p w14:paraId="2F9D556B" w14:textId="77777777" w:rsidR="00455C4C" w:rsidRPr="00471175" w:rsidRDefault="00455C4C" w:rsidP="00E84163">
            <w:pPr>
              <w:pStyle w:val="Default"/>
              <w:spacing w:afterLines="50" w:after="180"/>
              <w:ind w:left="144" w:rightChars="-25" w:right="-60" w:hanging="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w:t>
            </w:r>
            <w:r w:rsidRPr="00471175">
              <w:rPr>
                <w:rFonts w:ascii="Times New Roman" w:hAnsi="Times New Roman" w:cs="Times New Roman"/>
                <w:color w:val="auto"/>
              </w:rPr>
              <w:t>營運據點提升資源使用效率</w:t>
            </w:r>
          </w:p>
          <w:p w14:paraId="41E2BF4A" w14:textId="77777777" w:rsidR="00455C4C" w:rsidRDefault="00455C4C" w:rsidP="00E84163">
            <w:pPr>
              <w:pStyle w:val="Default"/>
              <w:spacing w:afterLines="50" w:after="180"/>
              <w:ind w:left="144" w:rightChars="-45" w:right="-108" w:hanging="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w:t>
            </w:r>
            <w:r w:rsidRPr="00471175">
              <w:rPr>
                <w:rFonts w:ascii="Times New Roman" w:hAnsi="Times New Roman" w:cs="Times New Roman"/>
                <w:color w:val="auto"/>
              </w:rPr>
              <w:t>使用低碳能源並提升能源效率</w:t>
            </w:r>
          </w:p>
          <w:p w14:paraId="32D1566C" w14:textId="77777777" w:rsidR="00455C4C" w:rsidRPr="00471175" w:rsidRDefault="00455C4C" w:rsidP="00E84163">
            <w:pPr>
              <w:pStyle w:val="Default"/>
              <w:spacing w:afterLines="50" w:after="180"/>
              <w:ind w:left="144" w:rightChars="-25" w:right="-60" w:hanging="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w:t>
            </w:r>
            <w:r>
              <w:rPr>
                <w:rFonts w:ascii="Times New Roman" w:hAnsi="Times New Roman" w:cs="Times New Roman" w:hint="eastAsia"/>
                <w:color w:val="auto"/>
              </w:rPr>
              <w:t>透過產業分析及市場調查，評估客戶投資需求，精準掌握未來趨勢。</w:t>
            </w:r>
          </w:p>
        </w:tc>
        <w:tc>
          <w:tcPr>
            <w:tcW w:w="1701" w:type="dxa"/>
            <w:hideMark/>
          </w:tcPr>
          <w:p w14:paraId="23ED2D3A" w14:textId="77777777" w:rsidR="00455C4C" w:rsidRPr="00471175" w:rsidRDefault="00455C4C" w:rsidP="00E84163">
            <w:pPr>
              <w:pStyle w:val="Default"/>
              <w:spacing w:afterLines="50" w:after="180"/>
              <w:ind w:left="144" w:rightChars="-46" w:right="-110" w:hanging="14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w:t>
            </w:r>
            <w:r w:rsidRPr="00471175">
              <w:rPr>
                <w:rFonts w:ascii="Times New Roman" w:hAnsi="Times New Roman" w:cs="Times New Roman"/>
                <w:color w:val="auto"/>
              </w:rPr>
              <w:t>培養增進氣候變遷適應能力及風險管理</w:t>
            </w:r>
          </w:p>
        </w:tc>
      </w:tr>
    </w:tbl>
    <w:p w14:paraId="4232303E" w14:textId="77777777" w:rsidR="0071503A" w:rsidRDefault="0071503A" w:rsidP="00455C4C">
      <w:pPr>
        <w:widowControl/>
        <w:spacing w:beforeLines="50" w:before="180" w:afterLines="50" w:after="180" w:line="0" w:lineRule="atLeast"/>
        <w:ind w:leftChars="60" w:left="709" w:hangingChars="235" w:hanging="565"/>
        <w:jc w:val="both"/>
        <w:rPr>
          <w:b/>
          <w:bCs/>
        </w:rPr>
      </w:pPr>
    </w:p>
    <w:p w14:paraId="31C1BBE9" w14:textId="377C9A24" w:rsidR="00455C4C" w:rsidRPr="00471175" w:rsidRDefault="00455C4C" w:rsidP="00455C4C">
      <w:pPr>
        <w:widowControl/>
        <w:spacing w:beforeLines="50" w:before="180" w:afterLines="50" w:after="180" w:line="0" w:lineRule="atLeast"/>
        <w:ind w:leftChars="60" w:left="709" w:hangingChars="235" w:hanging="565"/>
        <w:jc w:val="both"/>
        <w:rPr>
          <w:b/>
          <w:bCs/>
        </w:rPr>
      </w:pPr>
      <w:r w:rsidRPr="00471175">
        <w:rPr>
          <w:b/>
          <w:bCs/>
        </w:rPr>
        <w:t>二、在業務、策略和財務規劃上與氣候相關風險的衝擊與機會</w:t>
      </w:r>
      <w:r w:rsidR="00637A97" w:rsidRPr="008178A1">
        <w:rPr>
          <w:rFonts w:eastAsia="新細明體"/>
          <w:color w:val="0070C0"/>
          <w:sz w:val="16"/>
          <w:szCs w:val="16"/>
        </w:rPr>
        <w:t>【</w:t>
      </w:r>
      <w:r w:rsidR="00637A97" w:rsidRPr="008178A1">
        <w:rPr>
          <w:rFonts w:eastAsia="新細明體"/>
          <w:color w:val="0070C0"/>
          <w:sz w:val="16"/>
          <w:szCs w:val="16"/>
        </w:rPr>
        <w:t>S.</w:t>
      </w:r>
      <w:r w:rsidR="00637A97">
        <w:rPr>
          <w:rFonts w:eastAsia="新細明體"/>
          <w:color w:val="0070C0"/>
          <w:sz w:val="16"/>
          <w:szCs w:val="16"/>
        </w:rPr>
        <w:t>2</w:t>
      </w:r>
      <w:r w:rsidR="00637A97" w:rsidRPr="008178A1">
        <w:rPr>
          <w:rFonts w:eastAsia="新細明體"/>
          <w:color w:val="0070C0"/>
          <w:sz w:val="16"/>
          <w:szCs w:val="16"/>
        </w:rPr>
        <w:t>】</w:t>
      </w:r>
    </w:p>
    <w:p w14:paraId="7052A1F3" w14:textId="55FC10B2" w:rsidR="00455C4C" w:rsidRPr="00471175" w:rsidRDefault="00455C4C" w:rsidP="00455C4C">
      <w:pPr>
        <w:widowControl/>
        <w:spacing w:before="0" w:afterLines="50" w:after="180" w:line="0" w:lineRule="atLeast"/>
        <w:ind w:leftChars="236" w:left="566" w:firstLineChars="235" w:firstLine="564"/>
        <w:rPr>
          <w:sz w:val="23"/>
          <w:szCs w:val="23"/>
        </w:rPr>
      </w:pPr>
      <w:r w:rsidRPr="00471175">
        <w:t>A</w:t>
      </w:r>
      <w:r w:rsidRPr="00471175">
        <w:t>投信就前揭氣候變遷對公司短、中、長期影響評估之風險及機會，再進一步以該等風險的「風險衝擊程度」與「發生衝擊機率」，排列該等氣候相關風險的重大性為高度風險、中度風險或低度風險，茲將風險矩陣及所鑑別之結果列示如下圖。</w:t>
      </w:r>
      <w:r w:rsidR="00637A97" w:rsidRPr="008178A1">
        <w:rPr>
          <w:rFonts w:eastAsia="新細明體"/>
          <w:color w:val="0070C0"/>
          <w:sz w:val="16"/>
          <w:szCs w:val="16"/>
        </w:rPr>
        <w:t>【</w:t>
      </w:r>
      <w:r w:rsidR="00637A97" w:rsidRPr="008178A1">
        <w:rPr>
          <w:rFonts w:eastAsia="新細明體"/>
          <w:color w:val="0070C0"/>
          <w:sz w:val="16"/>
          <w:szCs w:val="16"/>
        </w:rPr>
        <w:t>S.</w:t>
      </w:r>
      <w:r w:rsidR="00637A97">
        <w:rPr>
          <w:rFonts w:eastAsia="新細明體"/>
          <w:color w:val="0070C0"/>
          <w:sz w:val="16"/>
          <w:szCs w:val="16"/>
        </w:rPr>
        <w:t>2.</w:t>
      </w:r>
      <w:r w:rsidR="00637A97" w:rsidRPr="008178A1">
        <w:rPr>
          <w:rFonts w:eastAsia="新細明體"/>
          <w:color w:val="0070C0"/>
          <w:sz w:val="16"/>
          <w:szCs w:val="16"/>
        </w:rPr>
        <w:t>(</w:t>
      </w:r>
      <w:r w:rsidR="00637A97">
        <w:rPr>
          <w:rFonts w:eastAsia="新細明體"/>
          <w:color w:val="0070C0"/>
          <w:sz w:val="16"/>
          <w:szCs w:val="16"/>
        </w:rPr>
        <w:t>1</w:t>
      </w:r>
      <w:r w:rsidR="00637A97" w:rsidRPr="008178A1">
        <w:rPr>
          <w:rFonts w:eastAsia="新細明體"/>
          <w:color w:val="0070C0"/>
          <w:sz w:val="16"/>
          <w:szCs w:val="16"/>
        </w:rPr>
        <w:t>)</w:t>
      </w:r>
      <w:r w:rsidR="00637A97" w:rsidRPr="008178A1">
        <w:rPr>
          <w:rFonts w:eastAsia="新細明體"/>
          <w:color w:val="0070C0"/>
          <w:sz w:val="16"/>
          <w:szCs w:val="16"/>
        </w:rPr>
        <w:t>】</w:t>
      </w:r>
    </w:p>
    <w:tbl>
      <w:tblPr>
        <w:tblStyle w:val="aa"/>
        <w:tblW w:w="0" w:type="auto"/>
        <w:jc w:val="center"/>
        <w:tblLook w:val="04A0" w:firstRow="1" w:lastRow="0" w:firstColumn="1" w:lastColumn="0" w:noHBand="0" w:noVBand="1"/>
      </w:tblPr>
      <w:tblGrid>
        <w:gridCol w:w="447"/>
        <w:gridCol w:w="546"/>
        <w:gridCol w:w="1417"/>
        <w:gridCol w:w="1985"/>
        <w:gridCol w:w="4454"/>
      </w:tblGrid>
      <w:tr w:rsidR="00455C4C" w:rsidRPr="00471175" w14:paraId="2C1C65B1" w14:textId="77777777" w:rsidTr="00E84163">
        <w:trPr>
          <w:trHeight w:val="478"/>
          <w:jc w:val="center"/>
        </w:trPr>
        <w:tc>
          <w:tcPr>
            <w:tcW w:w="447" w:type="dxa"/>
            <w:vMerge w:val="restart"/>
            <w:tcBorders>
              <w:top w:val="nil"/>
              <w:left w:val="nil"/>
              <w:bottom w:val="nil"/>
              <w:right w:val="single" w:sz="4" w:space="0" w:color="auto"/>
            </w:tcBorders>
            <w:vAlign w:val="center"/>
            <w:hideMark/>
          </w:tcPr>
          <w:p w14:paraId="2D1BCBFC" w14:textId="77777777" w:rsidR="00455C4C" w:rsidRPr="00471175" w:rsidRDefault="00455C4C" w:rsidP="00E84163">
            <w:pPr>
              <w:widowControl/>
              <w:spacing w:before="0" w:after="0" w:line="276" w:lineRule="auto"/>
              <w:jc w:val="center"/>
              <w:rPr>
                <w:b/>
                <w:bCs/>
                <w:i/>
                <w:iCs/>
                <w:sz w:val="23"/>
                <w:szCs w:val="23"/>
              </w:rPr>
            </w:pPr>
            <w:r w:rsidRPr="00471175">
              <w:rPr>
                <w:b/>
                <w:bCs/>
                <w:i/>
                <w:iCs/>
                <w:sz w:val="23"/>
                <w:szCs w:val="23"/>
              </w:rPr>
              <w:t>發</w:t>
            </w:r>
          </w:p>
          <w:p w14:paraId="1E6D3AD2" w14:textId="77777777" w:rsidR="00455C4C" w:rsidRPr="00471175" w:rsidRDefault="00455C4C" w:rsidP="00E84163">
            <w:pPr>
              <w:widowControl/>
              <w:spacing w:before="0" w:after="0" w:line="276" w:lineRule="auto"/>
              <w:jc w:val="center"/>
              <w:rPr>
                <w:b/>
                <w:bCs/>
                <w:i/>
                <w:iCs/>
                <w:sz w:val="23"/>
                <w:szCs w:val="23"/>
              </w:rPr>
            </w:pPr>
            <w:r w:rsidRPr="00471175">
              <w:rPr>
                <w:b/>
                <w:bCs/>
                <w:i/>
                <w:iCs/>
                <w:sz w:val="23"/>
                <w:szCs w:val="23"/>
              </w:rPr>
              <w:t>生</w:t>
            </w:r>
          </w:p>
          <w:p w14:paraId="5F764D93" w14:textId="77777777" w:rsidR="00455C4C" w:rsidRPr="00471175" w:rsidRDefault="00455C4C" w:rsidP="00E84163">
            <w:pPr>
              <w:widowControl/>
              <w:spacing w:before="0" w:after="0" w:line="276" w:lineRule="auto"/>
              <w:jc w:val="center"/>
              <w:rPr>
                <w:b/>
                <w:bCs/>
                <w:i/>
                <w:iCs/>
                <w:sz w:val="23"/>
                <w:szCs w:val="23"/>
              </w:rPr>
            </w:pPr>
            <w:r w:rsidRPr="00471175">
              <w:rPr>
                <w:b/>
                <w:bCs/>
                <w:i/>
                <w:iCs/>
                <w:sz w:val="23"/>
                <w:szCs w:val="23"/>
              </w:rPr>
              <w:t>可</w:t>
            </w:r>
          </w:p>
          <w:p w14:paraId="588ADE96" w14:textId="77777777" w:rsidR="00455C4C" w:rsidRPr="00471175" w:rsidRDefault="00455C4C" w:rsidP="00E84163">
            <w:pPr>
              <w:widowControl/>
              <w:spacing w:before="0" w:after="0" w:line="276" w:lineRule="auto"/>
              <w:jc w:val="center"/>
              <w:rPr>
                <w:b/>
                <w:bCs/>
                <w:i/>
                <w:iCs/>
                <w:sz w:val="23"/>
                <w:szCs w:val="23"/>
              </w:rPr>
            </w:pPr>
            <w:r w:rsidRPr="00471175">
              <w:rPr>
                <w:b/>
                <w:bCs/>
                <w:i/>
                <w:iCs/>
                <w:sz w:val="23"/>
                <w:szCs w:val="23"/>
              </w:rPr>
              <w:t>能</w:t>
            </w:r>
          </w:p>
          <w:p w14:paraId="628A06B1" w14:textId="77777777" w:rsidR="00455C4C" w:rsidRPr="00471175" w:rsidRDefault="00455C4C" w:rsidP="00E84163">
            <w:pPr>
              <w:widowControl/>
              <w:spacing w:before="0" w:after="0" w:line="276" w:lineRule="auto"/>
              <w:jc w:val="center"/>
              <w:rPr>
                <w:b/>
                <w:bCs/>
                <w:i/>
                <w:iCs/>
                <w:sz w:val="23"/>
                <w:szCs w:val="23"/>
              </w:rPr>
            </w:pPr>
            <w:r w:rsidRPr="00471175">
              <w:rPr>
                <w:b/>
                <w:bCs/>
                <w:i/>
                <w:iCs/>
                <w:sz w:val="23"/>
                <w:szCs w:val="23"/>
              </w:rPr>
              <w:t>性</w:t>
            </w:r>
          </w:p>
        </w:tc>
        <w:tc>
          <w:tcPr>
            <w:tcW w:w="546"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642FAB36" w14:textId="77777777" w:rsidR="00455C4C" w:rsidRPr="00471175" w:rsidRDefault="00455C4C" w:rsidP="00E84163">
            <w:pPr>
              <w:widowControl/>
              <w:spacing w:before="0" w:after="0" w:line="276" w:lineRule="auto"/>
              <w:jc w:val="center"/>
              <w:rPr>
                <w:b/>
                <w:bCs/>
                <w:sz w:val="23"/>
                <w:szCs w:val="23"/>
              </w:rPr>
            </w:pPr>
            <w:r w:rsidRPr="00471175">
              <w:rPr>
                <w:b/>
                <w:bCs/>
                <w:sz w:val="23"/>
                <w:szCs w:val="23"/>
              </w:rPr>
              <w:t>高</w:t>
            </w:r>
          </w:p>
        </w:tc>
        <w:tc>
          <w:tcPr>
            <w:tcW w:w="141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3C81A93" w14:textId="77777777" w:rsidR="00455C4C" w:rsidRPr="00471175" w:rsidRDefault="00455C4C" w:rsidP="00E84163">
            <w:pPr>
              <w:pStyle w:val="a4"/>
              <w:widowControl/>
              <w:numPr>
                <w:ilvl w:val="0"/>
                <w:numId w:val="23"/>
              </w:numPr>
              <w:spacing w:before="0" w:after="0" w:line="276" w:lineRule="auto"/>
              <w:ind w:leftChars="0" w:left="305" w:hanging="305"/>
              <w:rPr>
                <w:sz w:val="23"/>
                <w:szCs w:val="23"/>
              </w:rPr>
            </w:pPr>
            <w:r w:rsidRPr="00471175">
              <w:rPr>
                <w:sz w:val="23"/>
                <w:szCs w:val="23"/>
              </w:rPr>
              <w:t>平均氣溫上升</w:t>
            </w:r>
          </w:p>
        </w:tc>
        <w:tc>
          <w:tcPr>
            <w:tcW w:w="1985" w:type="dxa"/>
            <w:tcBorders>
              <w:top w:val="single" w:sz="4" w:space="0" w:color="auto"/>
              <w:left w:val="single" w:sz="4" w:space="0" w:color="auto"/>
              <w:bottom w:val="single" w:sz="4" w:space="0" w:color="auto"/>
              <w:right w:val="single" w:sz="4" w:space="0" w:color="auto"/>
            </w:tcBorders>
            <w:shd w:val="clear" w:color="auto" w:fill="FFC000" w:themeFill="accent4"/>
          </w:tcPr>
          <w:p w14:paraId="7EB038B7" w14:textId="77777777" w:rsidR="00455C4C" w:rsidRPr="00471175" w:rsidRDefault="00455C4C" w:rsidP="00E84163">
            <w:pPr>
              <w:widowControl/>
              <w:spacing w:before="0" w:after="0" w:line="276" w:lineRule="auto"/>
              <w:rPr>
                <w:sz w:val="23"/>
                <w:szCs w:val="23"/>
              </w:rPr>
            </w:pPr>
          </w:p>
        </w:tc>
        <w:tc>
          <w:tcPr>
            <w:tcW w:w="4454" w:type="dxa"/>
            <w:tcBorders>
              <w:top w:val="single" w:sz="4" w:space="0" w:color="auto"/>
              <w:left w:val="single" w:sz="4" w:space="0" w:color="auto"/>
              <w:bottom w:val="single" w:sz="4" w:space="0" w:color="auto"/>
              <w:right w:val="single" w:sz="4" w:space="0" w:color="auto"/>
            </w:tcBorders>
            <w:shd w:val="clear" w:color="auto" w:fill="FF99FF"/>
            <w:hideMark/>
          </w:tcPr>
          <w:p w14:paraId="497CB0FA" w14:textId="77777777" w:rsidR="00455C4C" w:rsidRPr="00471175" w:rsidRDefault="00455C4C" w:rsidP="00E84163">
            <w:pPr>
              <w:pStyle w:val="a4"/>
              <w:widowControl/>
              <w:numPr>
                <w:ilvl w:val="0"/>
                <w:numId w:val="23"/>
              </w:numPr>
              <w:spacing w:before="0" w:after="0" w:line="276" w:lineRule="auto"/>
              <w:ind w:leftChars="0" w:left="293" w:hanging="293"/>
              <w:rPr>
                <w:sz w:val="23"/>
                <w:szCs w:val="23"/>
              </w:rPr>
            </w:pPr>
            <w:r w:rsidRPr="00471175">
              <w:rPr>
                <w:sz w:val="23"/>
                <w:szCs w:val="23"/>
              </w:rPr>
              <w:t>減碳政策與法規因應之</w:t>
            </w:r>
            <w:r>
              <w:rPr>
                <w:rFonts w:hint="eastAsia"/>
                <w:sz w:val="23"/>
                <w:szCs w:val="23"/>
              </w:rPr>
              <w:t>營運</w:t>
            </w:r>
            <w:r w:rsidRPr="00471175">
              <w:rPr>
                <w:sz w:val="23"/>
                <w:szCs w:val="23"/>
              </w:rPr>
              <w:t>成本增加</w:t>
            </w:r>
          </w:p>
          <w:p w14:paraId="4F9E4142" w14:textId="77777777" w:rsidR="00455C4C" w:rsidRPr="00471175" w:rsidRDefault="00455C4C" w:rsidP="00E84163">
            <w:pPr>
              <w:pStyle w:val="a4"/>
              <w:widowControl/>
              <w:numPr>
                <w:ilvl w:val="0"/>
                <w:numId w:val="23"/>
              </w:numPr>
              <w:spacing w:before="0" w:after="0" w:line="0" w:lineRule="atLeast"/>
              <w:ind w:leftChars="0" w:left="295" w:hanging="295"/>
              <w:rPr>
                <w:sz w:val="23"/>
                <w:szCs w:val="23"/>
              </w:rPr>
            </w:pPr>
            <w:r w:rsidRPr="00816686">
              <w:rPr>
                <w:rFonts w:hint="eastAsia"/>
                <w:sz w:val="23"/>
                <w:szCs w:val="23"/>
              </w:rPr>
              <w:t>產品或服務低碳轉型，增購永續資訊系統之成本增加。</w:t>
            </w:r>
          </w:p>
          <w:p w14:paraId="053A6409" w14:textId="77777777" w:rsidR="00455C4C" w:rsidRPr="00471175" w:rsidRDefault="00455C4C" w:rsidP="00E84163">
            <w:pPr>
              <w:pStyle w:val="a4"/>
              <w:widowControl/>
              <w:numPr>
                <w:ilvl w:val="0"/>
                <w:numId w:val="23"/>
              </w:numPr>
              <w:spacing w:before="0" w:after="0" w:line="276" w:lineRule="auto"/>
              <w:ind w:leftChars="0" w:left="293" w:hanging="293"/>
              <w:rPr>
                <w:sz w:val="23"/>
                <w:szCs w:val="23"/>
              </w:rPr>
            </w:pPr>
            <w:r w:rsidRPr="00471175">
              <w:rPr>
                <w:sz w:val="23"/>
                <w:szCs w:val="23"/>
              </w:rPr>
              <w:t>極端氣候造成公司或投資對象營運中斷</w:t>
            </w:r>
          </w:p>
        </w:tc>
      </w:tr>
      <w:tr w:rsidR="00455C4C" w:rsidRPr="00471175" w14:paraId="0AA9A314" w14:textId="77777777" w:rsidTr="00E84163">
        <w:trPr>
          <w:trHeight w:val="400"/>
          <w:jc w:val="center"/>
        </w:trPr>
        <w:tc>
          <w:tcPr>
            <w:tcW w:w="447" w:type="dxa"/>
            <w:vMerge/>
            <w:tcBorders>
              <w:top w:val="nil"/>
              <w:left w:val="nil"/>
              <w:bottom w:val="nil"/>
              <w:right w:val="single" w:sz="4" w:space="0" w:color="auto"/>
            </w:tcBorders>
            <w:vAlign w:val="center"/>
            <w:hideMark/>
          </w:tcPr>
          <w:p w14:paraId="58760886" w14:textId="77777777" w:rsidR="00455C4C" w:rsidRPr="00471175" w:rsidRDefault="00455C4C" w:rsidP="00E84163">
            <w:pPr>
              <w:widowControl/>
              <w:spacing w:before="0" w:beforeAutospacing="1" w:after="0" w:afterAutospacing="1" w:line="276" w:lineRule="auto"/>
              <w:rPr>
                <w:b/>
                <w:bCs/>
                <w:i/>
                <w:iCs/>
                <w:kern w:val="2"/>
                <w:sz w:val="23"/>
                <w:szCs w:val="23"/>
              </w:rPr>
            </w:pPr>
          </w:p>
        </w:tc>
        <w:tc>
          <w:tcPr>
            <w:tcW w:w="546"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4331D29F" w14:textId="77777777" w:rsidR="00455C4C" w:rsidRPr="00471175" w:rsidRDefault="00455C4C" w:rsidP="00E84163">
            <w:pPr>
              <w:widowControl/>
              <w:spacing w:before="0" w:after="0" w:line="276" w:lineRule="auto"/>
              <w:jc w:val="center"/>
              <w:rPr>
                <w:b/>
                <w:bCs/>
                <w:sz w:val="23"/>
                <w:szCs w:val="23"/>
              </w:rPr>
            </w:pPr>
            <w:r w:rsidRPr="00471175">
              <w:rPr>
                <w:b/>
                <w:bCs/>
                <w:sz w:val="23"/>
                <w:szCs w:val="23"/>
              </w:rPr>
              <w:t>中</w:t>
            </w:r>
          </w:p>
        </w:tc>
        <w:tc>
          <w:tcPr>
            <w:tcW w:w="141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96A04B6" w14:textId="77777777" w:rsidR="00455C4C" w:rsidRPr="00471175" w:rsidRDefault="00455C4C" w:rsidP="00E84163">
            <w:pPr>
              <w:widowControl/>
              <w:spacing w:before="0" w:after="0" w:line="276" w:lineRule="auto"/>
              <w:rPr>
                <w:sz w:val="23"/>
                <w:szCs w:val="23"/>
              </w:rPr>
            </w:pPr>
          </w:p>
        </w:tc>
        <w:tc>
          <w:tcPr>
            <w:tcW w:w="1985" w:type="dxa"/>
            <w:tcBorders>
              <w:top w:val="single" w:sz="4" w:space="0" w:color="auto"/>
              <w:left w:val="single" w:sz="4" w:space="0" w:color="auto"/>
              <w:bottom w:val="single" w:sz="4" w:space="0" w:color="auto"/>
              <w:right w:val="single" w:sz="4" w:space="0" w:color="auto"/>
            </w:tcBorders>
            <w:shd w:val="clear" w:color="auto" w:fill="FFC000" w:themeFill="accent4"/>
          </w:tcPr>
          <w:p w14:paraId="2343A9FD" w14:textId="77777777" w:rsidR="00455C4C" w:rsidRPr="00471175" w:rsidRDefault="00455C4C" w:rsidP="00E84163">
            <w:pPr>
              <w:widowControl/>
              <w:spacing w:before="0" w:after="0" w:line="276" w:lineRule="auto"/>
              <w:rPr>
                <w:sz w:val="23"/>
                <w:szCs w:val="23"/>
              </w:rPr>
            </w:pPr>
          </w:p>
        </w:tc>
        <w:tc>
          <w:tcPr>
            <w:tcW w:w="445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5DD09A7" w14:textId="77777777" w:rsidR="00455C4C" w:rsidRPr="00471175" w:rsidRDefault="00455C4C" w:rsidP="00E84163">
            <w:pPr>
              <w:pStyle w:val="a4"/>
              <w:widowControl/>
              <w:numPr>
                <w:ilvl w:val="0"/>
                <w:numId w:val="24"/>
              </w:numPr>
              <w:spacing w:before="0" w:after="0" w:line="0" w:lineRule="atLeast"/>
              <w:ind w:leftChars="0" w:left="295" w:hanging="295"/>
              <w:rPr>
                <w:sz w:val="23"/>
                <w:szCs w:val="23"/>
              </w:rPr>
            </w:pPr>
            <w:r w:rsidRPr="00AD62EF">
              <w:rPr>
                <w:rFonts w:hint="eastAsia"/>
                <w:sz w:val="23"/>
                <w:szCs w:val="23"/>
              </w:rPr>
              <w:t>市場偏好改變，影響管理資產規模，營收減少。</w:t>
            </w:r>
          </w:p>
          <w:p w14:paraId="3BC83518" w14:textId="77777777" w:rsidR="00455C4C" w:rsidRPr="00471175" w:rsidRDefault="00455C4C" w:rsidP="00E84163">
            <w:pPr>
              <w:pStyle w:val="a4"/>
              <w:widowControl/>
              <w:numPr>
                <w:ilvl w:val="0"/>
                <w:numId w:val="24"/>
              </w:numPr>
              <w:spacing w:before="0" w:after="0" w:line="276" w:lineRule="auto"/>
              <w:ind w:leftChars="0" w:left="293" w:hanging="293"/>
              <w:rPr>
                <w:sz w:val="23"/>
                <w:szCs w:val="23"/>
              </w:rPr>
            </w:pPr>
            <w:r w:rsidRPr="00471175">
              <w:rPr>
                <w:sz w:val="23"/>
                <w:szCs w:val="23"/>
              </w:rPr>
              <w:t>未能建立低碳轉型之形象</w:t>
            </w:r>
            <w:r w:rsidRPr="00471175">
              <w:rPr>
                <w:sz w:val="23"/>
                <w:szCs w:val="23"/>
              </w:rPr>
              <w:t>(</w:t>
            </w:r>
            <w:r w:rsidRPr="00471175">
              <w:rPr>
                <w:sz w:val="23"/>
                <w:szCs w:val="23"/>
              </w:rPr>
              <w:t>公司聲譽</w:t>
            </w:r>
            <w:r w:rsidRPr="00471175">
              <w:rPr>
                <w:sz w:val="23"/>
                <w:szCs w:val="23"/>
              </w:rPr>
              <w:t>)</w:t>
            </w:r>
          </w:p>
        </w:tc>
      </w:tr>
      <w:tr w:rsidR="00455C4C" w:rsidRPr="00471175" w14:paraId="0FC27F1B" w14:textId="77777777" w:rsidTr="00E84163">
        <w:trPr>
          <w:trHeight w:val="421"/>
          <w:jc w:val="center"/>
        </w:trPr>
        <w:tc>
          <w:tcPr>
            <w:tcW w:w="447" w:type="dxa"/>
            <w:vMerge/>
            <w:tcBorders>
              <w:top w:val="nil"/>
              <w:left w:val="nil"/>
              <w:bottom w:val="nil"/>
              <w:right w:val="single" w:sz="4" w:space="0" w:color="auto"/>
            </w:tcBorders>
            <w:vAlign w:val="center"/>
            <w:hideMark/>
          </w:tcPr>
          <w:p w14:paraId="28E1E313" w14:textId="77777777" w:rsidR="00455C4C" w:rsidRPr="00471175" w:rsidRDefault="00455C4C" w:rsidP="00E84163">
            <w:pPr>
              <w:widowControl/>
              <w:spacing w:before="0" w:beforeAutospacing="1" w:after="0" w:afterAutospacing="1" w:line="276" w:lineRule="auto"/>
              <w:rPr>
                <w:b/>
                <w:bCs/>
                <w:i/>
                <w:iCs/>
                <w:kern w:val="2"/>
                <w:sz w:val="23"/>
                <w:szCs w:val="23"/>
              </w:rPr>
            </w:pPr>
          </w:p>
        </w:tc>
        <w:tc>
          <w:tcPr>
            <w:tcW w:w="54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CD11B34" w14:textId="77777777" w:rsidR="00455C4C" w:rsidRPr="00471175" w:rsidRDefault="00455C4C" w:rsidP="00E84163">
            <w:pPr>
              <w:widowControl/>
              <w:spacing w:before="0" w:after="0" w:line="276" w:lineRule="auto"/>
              <w:jc w:val="center"/>
              <w:rPr>
                <w:b/>
                <w:bCs/>
                <w:sz w:val="23"/>
                <w:szCs w:val="23"/>
              </w:rPr>
            </w:pPr>
            <w:r w:rsidRPr="00471175">
              <w:rPr>
                <w:b/>
                <w:bCs/>
                <w:sz w:val="23"/>
                <w:szCs w:val="23"/>
              </w:rPr>
              <w:t>低</w:t>
            </w:r>
          </w:p>
        </w:tc>
        <w:tc>
          <w:tcPr>
            <w:tcW w:w="141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D0D88C8" w14:textId="77777777" w:rsidR="00455C4C" w:rsidRPr="00471175" w:rsidRDefault="00455C4C" w:rsidP="00E84163">
            <w:pPr>
              <w:widowControl/>
              <w:spacing w:before="0" w:after="0" w:line="276" w:lineRule="auto"/>
              <w:rPr>
                <w:sz w:val="23"/>
                <w:szCs w:val="23"/>
              </w:rPr>
            </w:pPr>
          </w:p>
        </w:tc>
        <w:tc>
          <w:tcPr>
            <w:tcW w:w="198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B455A45" w14:textId="77777777" w:rsidR="00455C4C" w:rsidRPr="00471175" w:rsidRDefault="00455C4C" w:rsidP="00E84163">
            <w:pPr>
              <w:widowControl/>
              <w:spacing w:before="0" w:after="0" w:line="276" w:lineRule="auto"/>
              <w:rPr>
                <w:sz w:val="23"/>
                <w:szCs w:val="23"/>
              </w:rPr>
            </w:pPr>
          </w:p>
        </w:tc>
        <w:tc>
          <w:tcPr>
            <w:tcW w:w="4454"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EA4B50C" w14:textId="77777777" w:rsidR="00455C4C" w:rsidRPr="00471175" w:rsidRDefault="00455C4C" w:rsidP="00E84163">
            <w:pPr>
              <w:widowControl/>
              <w:spacing w:before="0" w:after="0" w:line="276" w:lineRule="auto"/>
              <w:rPr>
                <w:sz w:val="23"/>
                <w:szCs w:val="23"/>
              </w:rPr>
            </w:pPr>
          </w:p>
        </w:tc>
      </w:tr>
      <w:tr w:rsidR="00455C4C" w:rsidRPr="00471175" w14:paraId="5ACF834F" w14:textId="77777777" w:rsidTr="00E84163">
        <w:trPr>
          <w:jc w:val="center"/>
        </w:trPr>
        <w:tc>
          <w:tcPr>
            <w:tcW w:w="447" w:type="dxa"/>
            <w:tcBorders>
              <w:top w:val="nil"/>
              <w:left w:val="nil"/>
              <w:bottom w:val="nil"/>
              <w:right w:val="nil"/>
            </w:tcBorders>
          </w:tcPr>
          <w:p w14:paraId="3392D818" w14:textId="77777777" w:rsidR="00455C4C" w:rsidRPr="00471175" w:rsidRDefault="00455C4C" w:rsidP="00E84163">
            <w:pPr>
              <w:widowControl/>
              <w:spacing w:before="0" w:after="0" w:line="276" w:lineRule="auto"/>
              <w:rPr>
                <w:b/>
                <w:bCs/>
                <w:i/>
                <w:iCs/>
                <w:sz w:val="23"/>
                <w:szCs w:val="23"/>
              </w:rPr>
            </w:pPr>
          </w:p>
        </w:tc>
        <w:tc>
          <w:tcPr>
            <w:tcW w:w="546" w:type="dxa"/>
            <w:tcBorders>
              <w:top w:val="single" w:sz="4" w:space="0" w:color="auto"/>
              <w:left w:val="nil"/>
              <w:bottom w:val="nil"/>
              <w:right w:val="single" w:sz="4" w:space="0" w:color="auto"/>
            </w:tcBorders>
          </w:tcPr>
          <w:p w14:paraId="2378EDC8" w14:textId="77777777" w:rsidR="00455C4C" w:rsidRPr="00471175" w:rsidRDefault="00455C4C" w:rsidP="00E84163">
            <w:pPr>
              <w:widowControl/>
              <w:spacing w:before="0" w:after="0" w:line="276" w:lineRule="auto"/>
              <w:rPr>
                <w:sz w:val="23"/>
                <w:szCs w:val="23"/>
              </w:rPr>
            </w:pPr>
          </w:p>
        </w:tc>
        <w:tc>
          <w:tcPr>
            <w:tcW w:w="141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146DC0F" w14:textId="77777777" w:rsidR="00455C4C" w:rsidRPr="00471175" w:rsidRDefault="00455C4C" w:rsidP="00E84163">
            <w:pPr>
              <w:widowControl/>
              <w:spacing w:before="0" w:after="0" w:line="276" w:lineRule="auto"/>
              <w:jc w:val="center"/>
              <w:rPr>
                <w:b/>
                <w:bCs/>
                <w:sz w:val="23"/>
                <w:szCs w:val="23"/>
              </w:rPr>
            </w:pPr>
            <w:r w:rsidRPr="00471175">
              <w:rPr>
                <w:b/>
                <w:bCs/>
                <w:sz w:val="23"/>
                <w:szCs w:val="23"/>
              </w:rPr>
              <w:t>低</w:t>
            </w:r>
          </w:p>
        </w:tc>
        <w:tc>
          <w:tcPr>
            <w:tcW w:w="198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6751373" w14:textId="77777777" w:rsidR="00455C4C" w:rsidRPr="00471175" w:rsidRDefault="00455C4C" w:rsidP="00E84163">
            <w:pPr>
              <w:widowControl/>
              <w:spacing w:before="0" w:after="0" w:line="276" w:lineRule="auto"/>
              <w:jc w:val="center"/>
              <w:rPr>
                <w:b/>
                <w:bCs/>
                <w:sz w:val="23"/>
                <w:szCs w:val="23"/>
              </w:rPr>
            </w:pPr>
            <w:r w:rsidRPr="00471175">
              <w:rPr>
                <w:b/>
                <w:bCs/>
                <w:sz w:val="23"/>
                <w:szCs w:val="23"/>
              </w:rPr>
              <w:t>中</w:t>
            </w:r>
          </w:p>
        </w:tc>
        <w:tc>
          <w:tcPr>
            <w:tcW w:w="4454" w:type="dxa"/>
            <w:tcBorders>
              <w:top w:val="single" w:sz="4" w:space="0" w:color="auto"/>
              <w:left w:val="single" w:sz="4" w:space="0" w:color="auto"/>
              <w:bottom w:val="single" w:sz="4" w:space="0" w:color="auto"/>
              <w:right w:val="single" w:sz="4" w:space="0" w:color="auto"/>
            </w:tcBorders>
            <w:shd w:val="clear" w:color="auto" w:fill="FF99FF"/>
            <w:hideMark/>
          </w:tcPr>
          <w:p w14:paraId="1478011D" w14:textId="77777777" w:rsidR="00455C4C" w:rsidRPr="00471175" w:rsidRDefault="00455C4C" w:rsidP="00E84163">
            <w:pPr>
              <w:widowControl/>
              <w:spacing w:before="0" w:after="0" w:line="276" w:lineRule="auto"/>
              <w:jc w:val="center"/>
              <w:rPr>
                <w:b/>
                <w:bCs/>
                <w:sz w:val="23"/>
                <w:szCs w:val="23"/>
              </w:rPr>
            </w:pPr>
            <w:r w:rsidRPr="00471175">
              <w:rPr>
                <w:b/>
                <w:bCs/>
                <w:sz w:val="23"/>
                <w:szCs w:val="23"/>
              </w:rPr>
              <w:t>高</w:t>
            </w:r>
          </w:p>
        </w:tc>
      </w:tr>
      <w:tr w:rsidR="00455C4C" w:rsidRPr="00471175" w14:paraId="375089AA" w14:textId="77777777" w:rsidTr="00E84163">
        <w:trPr>
          <w:jc w:val="center"/>
        </w:trPr>
        <w:tc>
          <w:tcPr>
            <w:tcW w:w="447" w:type="dxa"/>
            <w:tcBorders>
              <w:top w:val="nil"/>
              <w:left w:val="nil"/>
              <w:bottom w:val="nil"/>
              <w:right w:val="nil"/>
            </w:tcBorders>
            <w:vAlign w:val="center"/>
            <w:hideMark/>
          </w:tcPr>
          <w:p w14:paraId="65ED5C5E" w14:textId="77777777" w:rsidR="00455C4C" w:rsidRPr="00471175" w:rsidRDefault="00455C4C" w:rsidP="00E84163">
            <w:pPr>
              <w:widowControl/>
              <w:spacing w:before="0" w:beforeAutospacing="1" w:after="0" w:afterAutospacing="1" w:line="240" w:lineRule="auto"/>
              <w:rPr>
                <w:b/>
                <w:bCs/>
                <w:i/>
                <w:iCs/>
                <w:kern w:val="2"/>
                <w:sz w:val="23"/>
                <w:szCs w:val="23"/>
              </w:rPr>
            </w:pPr>
          </w:p>
        </w:tc>
        <w:tc>
          <w:tcPr>
            <w:tcW w:w="546" w:type="dxa"/>
            <w:tcBorders>
              <w:top w:val="nil"/>
              <w:left w:val="nil"/>
              <w:bottom w:val="nil"/>
              <w:right w:val="nil"/>
            </w:tcBorders>
            <w:vAlign w:val="center"/>
          </w:tcPr>
          <w:p w14:paraId="5DFD66DA" w14:textId="77777777" w:rsidR="00455C4C" w:rsidRPr="00471175" w:rsidRDefault="00455C4C" w:rsidP="00E84163">
            <w:pPr>
              <w:widowControl/>
              <w:spacing w:before="0" w:beforeAutospacing="1" w:after="0" w:afterAutospacing="1" w:line="240" w:lineRule="auto"/>
              <w:rPr>
                <w:kern w:val="2"/>
                <w:sz w:val="23"/>
                <w:szCs w:val="23"/>
              </w:rPr>
            </w:pPr>
          </w:p>
        </w:tc>
        <w:tc>
          <w:tcPr>
            <w:tcW w:w="7856" w:type="dxa"/>
            <w:gridSpan w:val="3"/>
            <w:tcBorders>
              <w:top w:val="single" w:sz="4" w:space="0" w:color="auto"/>
              <w:left w:val="nil"/>
              <w:bottom w:val="nil"/>
              <w:right w:val="nil"/>
            </w:tcBorders>
            <w:hideMark/>
          </w:tcPr>
          <w:p w14:paraId="5D5F97D4" w14:textId="77777777" w:rsidR="00455C4C" w:rsidRPr="00471175" w:rsidRDefault="00455C4C" w:rsidP="00E84163">
            <w:pPr>
              <w:widowControl/>
              <w:spacing w:before="0" w:after="0" w:line="240" w:lineRule="auto"/>
              <w:jc w:val="center"/>
              <w:rPr>
                <w:b/>
                <w:bCs/>
                <w:i/>
                <w:iCs/>
                <w:sz w:val="23"/>
                <w:szCs w:val="23"/>
              </w:rPr>
            </w:pPr>
            <w:r w:rsidRPr="00471175">
              <w:rPr>
                <w:b/>
                <w:bCs/>
                <w:i/>
                <w:iCs/>
                <w:sz w:val="23"/>
                <w:szCs w:val="23"/>
              </w:rPr>
              <w:t>影</w:t>
            </w:r>
            <w:r w:rsidRPr="00471175">
              <w:rPr>
                <w:b/>
                <w:bCs/>
                <w:i/>
                <w:iCs/>
                <w:sz w:val="23"/>
                <w:szCs w:val="23"/>
              </w:rPr>
              <w:t xml:space="preserve"> </w:t>
            </w:r>
            <w:r w:rsidRPr="00471175">
              <w:rPr>
                <w:b/>
                <w:bCs/>
                <w:i/>
                <w:iCs/>
                <w:sz w:val="23"/>
                <w:szCs w:val="23"/>
              </w:rPr>
              <w:t>響</w:t>
            </w:r>
            <w:r w:rsidRPr="00471175">
              <w:rPr>
                <w:b/>
                <w:bCs/>
                <w:i/>
                <w:iCs/>
                <w:sz w:val="23"/>
                <w:szCs w:val="23"/>
              </w:rPr>
              <w:t xml:space="preserve"> </w:t>
            </w:r>
            <w:r w:rsidRPr="00471175">
              <w:rPr>
                <w:b/>
                <w:bCs/>
                <w:i/>
                <w:iCs/>
                <w:sz w:val="23"/>
                <w:szCs w:val="23"/>
              </w:rPr>
              <w:t>程</w:t>
            </w:r>
            <w:r w:rsidRPr="00471175">
              <w:rPr>
                <w:b/>
                <w:bCs/>
                <w:i/>
                <w:iCs/>
                <w:sz w:val="23"/>
                <w:szCs w:val="23"/>
              </w:rPr>
              <w:t xml:space="preserve"> </w:t>
            </w:r>
            <w:r w:rsidRPr="00471175">
              <w:rPr>
                <w:b/>
                <w:bCs/>
                <w:i/>
                <w:iCs/>
                <w:sz w:val="23"/>
                <w:szCs w:val="23"/>
              </w:rPr>
              <w:t>度</w:t>
            </w:r>
          </w:p>
        </w:tc>
      </w:tr>
    </w:tbl>
    <w:p w14:paraId="43692FC1" w14:textId="1A719A36" w:rsidR="00455C4C" w:rsidRPr="00953E6B" w:rsidRDefault="00455C4C" w:rsidP="003408AC">
      <w:pPr>
        <w:pStyle w:val="Default"/>
        <w:spacing w:beforeLines="50" w:before="180" w:afterLines="50" w:after="180" w:line="0" w:lineRule="atLeast"/>
        <w:ind w:left="709" w:firstLine="567"/>
        <w:rPr>
          <w:rFonts w:ascii="Times New Roman" w:hAnsi="Times New Roman" w:cs="Times New Roman"/>
        </w:rPr>
      </w:pPr>
      <w:r w:rsidRPr="00471175">
        <w:rPr>
          <w:rFonts w:ascii="Times New Roman" w:hAnsi="Times New Roman" w:cs="Times New Roman"/>
        </w:rPr>
        <w:t>A</w:t>
      </w:r>
      <w:r w:rsidRPr="00471175">
        <w:rPr>
          <w:rFonts w:ascii="Times New Roman" w:hAnsi="Times New Roman" w:cs="Times New Roman"/>
        </w:rPr>
        <w:t>投信針對相關風險進行重大營運衝擊、財務影響評估，並就相關風險與機會進一步提出因應策略，說明如下：</w:t>
      </w:r>
      <w:r w:rsidR="00365204" w:rsidRPr="00471175">
        <w:rPr>
          <w:rFonts w:ascii="Times New Roman" w:hAnsi="Times New Roman" w:cs="Times New Roman"/>
        </w:rPr>
        <w:t xml:space="preserve"> </w:t>
      </w:r>
      <w:r w:rsidR="00365204" w:rsidRPr="00953E6B">
        <w:rPr>
          <w:rFonts w:ascii="Times New Roman" w:eastAsia="新細明體" w:hAnsi="Times New Roman" w:cs="Times New Roman"/>
          <w:color w:val="0070C0"/>
          <w:sz w:val="16"/>
          <w:szCs w:val="16"/>
        </w:rPr>
        <w:t>【</w:t>
      </w:r>
      <w:r w:rsidR="00365204" w:rsidRPr="00953E6B">
        <w:rPr>
          <w:rFonts w:ascii="Times New Roman" w:eastAsia="新細明體" w:hAnsi="Times New Roman" w:cs="Times New Roman"/>
          <w:color w:val="0070C0"/>
          <w:sz w:val="16"/>
          <w:szCs w:val="16"/>
        </w:rPr>
        <w:t>S.2.(2)</w:t>
      </w:r>
      <w:r w:rsidR="00365204" w:rsidRPr="00953E6B">
        <w:rPr>
          <w:rFonts w:ascii="Times New Roman" w:eastAsia="新細明體" w:hAnsi="Times New Roman" w:cs="Times New Roman"/>
          <w:color w:val="0070C0"/>
          <w:sz w:val="16"/>
          <w:szCs w:val="16"/>
        </w:rPr>
        <w:t>】【</w:t>
      </w:r>
      <w:r w:rsidR="00365204" w:rsidRPr="00953E6B">
        <w:rPr>
          <w:rFonts w:ascii="Times New Roman" w:eastAsia="新細明體" w:hAnsi="Times New Roman" w:cs="Times New Roman"/>
          <w:color w:val="0070C0"/>
          <w:sz w:val="16"/>
          <w:szCs w:val="16"/>
        </w:rPr>
        <w:t>S.2.(3)</w:t>
      </w:r>
      <w:r w:rsidR="00365204" w:rsidRPr="00953E6B">
        <w:rPr>
          <w:rFonts w:ascii="Times New Roman" w:eastAsia="新細明體" w:hAnsi="Times New Roman" w:cs="Times New Roman"/>
          <w:color w:val="0070C0"/>
          <w:sz w:val="16"/>
          <w:szCs w:val="16"/>
        </w:rPr>
        <w:t>】</w:t>
      </w:r>
    </w:p>
    <w:tbl>
      <w:tblPr>
        <w:tblStyle w:val="5-5"/>
        <w:tblW w:w="9067" w:type="dxa"/>
        <w:tblLook w:val="04A0" w:firstRow="1" w:lastRow="0" w:firstColumn="1" w:lastColumn="0" w:noHBand="0" w:noVBand="1"/>
      </w:tblPr>
      <w:tblGrid>
        <w:gridCol w:w="458"/>
        <w:gridCol w:w="1678"/>
        <w:gridCol w:w="2972"/>
        <w:gridCol w:w="3959"/>
      </w:tblGrid>
      <w:tr w:rsidR="00455C4C" w:rsidRPr="00532CAF" w14:paraId="3A923F39" w14:textId="77777777" w:rsidTr="00E841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7" w:type="dxa"/>
            <w:gridSpan w:val="2"/>
          </w:tcPr>
          <w:p w14:paraId="3559CFAA" w14:textId="77777777" w:rsidR="00455C4C" w:rsidRPr="00532CAF" w:rsidRDefault="00455C4C" w:rsidP="00E84163">
            <w:pPr>
              <w:widowControl/>
              <w:spacing w:before="0" w:after="0" w:line="276" w:lineRule="auto"/>
              <w:jc w:val="center"/>
            </w:pPr>
            <w:r w:rsidRPr="00532CAF">
              <w:t>風險</w:t>
            </w:r>
          </w:p>
        </w:tc>
        <w:tc>
          <w:tcPr>
            <w:tcW w:w="2976" w:type="dxa"/>
            <w:hideMark/>
          </w:tcPr>
          <w:p w14:paraId="51806A59" w14:textId="77777777" w:rsidR="00455C4C" w:rsidRPr="00532CAF" w:rsidRDefault="00455C4C" w:rsidP="00E84163">
            <w:pPr>
              <w:widowControl/>
              <w:spacing w:before="0" w:after="0" w:line="276" w:lineRule="auto"/>
              <w:jc w:val="center"/>
              <w:cnfStyle w:val="100000000000" w:firstRow="1" w:lastRow="0" w:firstColumn="0" w:lastColumn="0" w:oddVBand="0" w:evenVBand="0" w:oddHBand="0" w:evenHBand="0" w:firstRowFirstColumn="0" w:firstRowLastColumn="0" w:lastRowFirstColumn="0" w:lastRowLastColumn="0"/>
            </w:pPr>
            <w:r w:rsidRPr="00532CAF">
              <w:t>營運衝擊</w:t>
            </w:r>
            <w:r w:rsidRPr="00532CAF">
              <w:rPr>
                <w:rFonts w:eastAsia="新細明體"/>
              </w:rPr>
              <w:t>、</w:t>
            </w:r>
            <w:r w:rsidRPr="00532CAF">
              <w:t>財務影響</w:t>
            </w:r>
          </w:p>
        </w:tc>
        <w:tc>
          <w:tcPr>
            <w:tcW w:w="3964" w:type="dxa"/>
            <w:hideMark/>
          </w:tcPr>
          <w:p w14:paraId="467CBE02" w14:textId="77777777" w:rsidR="00455C4C" w:rsidRPr="00532CAF" w:rsidRDefault="00455C4C" w:rsidP="00E84163">
            <w:pPr>
              <w:widowControl/>
              <w:spacing w:before="0" w:after="0" w:line="276" w:lineRule="auto"/>
              <w:jc w:val="center"/>
              <w:cnfStyle w:val="100000000000" w:firstRow="1" w:lastRow="0" w:firstColumn="0" w:lastColumn="0" w:oddVBand="0" w:evenVBand="0" w:oddHBand="0" w:evenHBand="0" w:firstRowFirstColumn="0" w:firstRowLastColumn="0" w:lastRowFirstColumn="0" w:lastRowLastColumn="0"/>
            </w:pPr>
            <w:r w:rsidRPr="00532CAF">
              <w:t>因應策略</w:t>
            </w:r>
          </w:p>
        </w:tc>
      </w:tr>
      <w:tr w:rsidR="00455C4C" w:rsidRPr="00532CAF" w14:paraId="12D318DE" w14:textId="77777777" w:rsidTr="00E8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vMerge w:val="restart"/>
            <w:vAlign w:val="center"/>
          </w:tcPr>
          <w:p w14:paraId="17904826" w14:textId="77777777" w:rsidR="00455C4C" w:rsidRPr="00532CAF" w:rsidRDefault="00455C4C" w:rsidP="00E84163">
            <w:pPr>
              <w:widowControl/>
              <w:spacing w:before="0" w:after="0" w:line="276" w:lineRule="auto"/>
            </w:pPr>
            <w:r w:rsidRPr="00532CAF">
              <w:t>轉型風險</w:t>
            </w:r>
          </w:p>
        </w:tc>
        <w:tc>
          <w:tcPr>
            <w:tcW w:w="1680" w:type="dxa"/>
            <w:shd w:val="clear" w:color="auto" w:fill="FF99FF"/>
            <w:vAlign w:val="center"/>
          </w:tcPr>
          <w:p w14:paraId="152C9680" w14:textId="77777777" w:rsidR="00455C4C" w:rsidRPr="00532CAF" w:rsidRDefault="00455C4C" w:rsidP="00E84163">
            <w:pPr>
              <w:widowControl/>
              <w:spacing w:before="0" w:after="0" w:line="276" w:lineRule="auto"/>
              <w:cnfStyle w:val="000000100000" w:firstRow="0" w:lastRow="0" w:firstColumn="0" w:lastColumn="0" w:oddVBand="0" w:evenVBand="0" w:oddHBand="1" w:evenHBand="0" w:firstRowFirstColumn="0" w:firstRowLastColumn="0" w:lastRowFirstColumn="0" w:lastRowLastColumn="0"/>
              <w:rPr>
                <w:b/>
                <w:bCs/>
              </w:rPr>
            </w:pPr>
            <w:r w:rsidRPr="00532CAF">
              <w:rPr>
                <w:b/>
                <w:bCs/>
              </w:rPr>
              <w:t>減碳政策與法規因應之</w:t>
            </w:r>
            <w:r>
              <w:rPr>
                <w:rFonts w:hint="eastAsia"/>
                <w:b/>
                <w:bCs/>
              </w:rPr>
              <w:t>營運</w:t>
            </w:r>
            <w:r w:rsidRPr="00532CAF">
              <w:rPr>
                <w:b/>
                <w:bCs/>
              </w:rPr>
              <w:t>成本增加</w:t>
            </w:r>
          </w:p>
        </w:tc>
        <w:tc>
          <w:tcPr>
            <w:tcW w:w="2976" w:type="dxa"/>
            <w:shd w:val="clear" w:color="auto" w:fill="FF99FF"/>
            <w:hideMark/>
          </w:tcPr>
          <w:p w14:paraId="6A9664EB" w14:textId="77777777" w:rsidR="00455C4C" w:rsidRDefault="00455C4C" w:rsidP="00E84163">
            <w:pPr>
              <w:pStyle w:val="a4"/>
              <w:widowControl/>
              <w:numPr>
                <w:ilvl w:val="0"/>
                <w:numId w:val="32"/>
              </w:numPr>
              <w:spacing w:before="0" w:after="0" w:line="276" w:lineRule="auto"/>
              <w:ind w:leftChars="0" w:left="310" w:hangingChars="129" w:hanging="310"/>
              <w:cnfStyle w:val="000000100000" w:firstRow="0" w:lastRow="0" w:firstColumn="0" w:lastColumn="0" w:oddVBand="0" w:evenVBand="0" w:oddHBand="1" w:evenHBand="0" w:firstRowFirstColumn="0" w:firstRowLastColumn="0" w:lastRowFirstColumn="0" w:lastRowLastColumn="0"/>
            </w:pPr>
            <w:r w:rsidRPr="00532CAF">
              <w:t>政府針對金融部門，制訂與氣候相關風險的監管法規，造成公司合規成本增加；</w:t>
            </w:r>
          </w:p>
          <w:p w14:paraId="26AA82F5" w14:textId="77777777" w:rsidR="00455C4C" w:rsidRPr="00532CAF" w:rsidRDefault="00455C4C" w:rsidP="00E84163">
            <w:pPr>
              <w:pStyle w:val="a4"/>
              <w:widowControl/>
              <w:numPr>
                <w:ilvl w:val="0"/>
                <w:numId w:val="32"/>
              </w:numPr>
              <w:spacing w:before="0" w:after="0" w:line="276" w:lineRule="auto"/>
              <w:ind w:leftChars="0" w:left="310" w:hangingChars="129" w:hanging="310"/>
              <w:cnfStyle w:val="000000100000" w:firstRow="0" w:lastRow="0" w:firstColumn="0" w:lastColumn="0" w:oddVBand="0" w:evenVBand="0" w:oddHBand="1" w:evenHBand="0" w:firstRowFirstColumn="0" w:firstRowLastColumn="0" w:lastRowFirstColumn="0" w:lastRowLastColumn="0"/>
            </w:pPr>
            <w:r w:rsidRPr="00532CAF">
              <w:t>投資收益減少</w:t>
            </w:r>
          </w:p>
        </w:tc>
        <w:tc>
          <w:tcPr>
            <w:tcW w:w="3964" w:type="dxa"/>
            <w:shd w:val="clear" w:color="auto" w:fill="FF99FF"/>
            <w:hideMark/>
          </w:tcPr>
          <w:p w14:paraId="766EC6F2" w14:textId="77777777" w:rsidR="00455C4C" w:rsidRPr="00532CAF" w:rsidRDefault="00455C4C" w:rsidP="00E84163">
            <w:pPr>
              <w:pStyle w:val="a4"/>
              <w:widowControl/>
              <w:numPr>
                <w:ilvl w:val="0"/>
                <w:numId w:val="28"/>
              </w:numPr>
              <w:shd w:val="clear" w:color="auto" w:fill="FF99FF"/>
              <w:spacing w:before="0" w:after="0" w:line="276" w:lineRule="auto"/>
              <w:ind w:leftChars="0"/>
              <w:cnfStyle w:val="000000100000" w:firstRow="0" w:lastRow="0" w:firstColumn="0" w:lastColumn="0" w:oddVBand="0" w:evenVBand="0" w:oddHBand="1" w:evenHBand="0" w:firstRowFirstColumn="0" w:firstRowLastColumn="0" w:lastRowFirstColumn="0" w:lastRowLastColumn="0"/>
            </w:pPr>
            <w:r w:rsidRPr="00532CAF">
              <w:t>持續關注國內外環保及節能減碳等新趨勢及環境法規變動，強化公司氣候風險管理政策及策略。</w:t>
            </w:r>
          </w:p>
        </w:tc>
      </w:tr>
      <w:tr w:rsidR="00455C4C" w:rsidRPr="00532CAF" w14:paraId="173CDEF0" w14:textId="77777777" w:rsidTr="00E84163">
        <w:tc>
          <w:tcPr>
            <w:cnfStyle w:val="001000000000" w:firstRow="0" w:lastRow="0" w:firstColumn="1" w:lastColumn="0" w:oddVBand="0" w:evenVBand="0" w:oddHBand="0" w:evenHBand="0" w:firstRowFirstColumn="0" w:firstRowLastColumn="0" w:lastRowFirstColumn="0" w:lastRowLastColumn="0"/>
            <w:tcW w:w="447" w:type="dxa"/>
            <w:vMerge/>
            <w:vAlign w:val="center"/>
          </w:tcPr>
          <w:p w14:paraId="476DC64E" w14:textId="77777777" w:rsidR="00455C4C" w:rsidRPr="00532CAF" w:rsidRDefault="00455C4C" w:rsidP="00E84163">
            <w:pPr>
              <w:widowControl/>
              <w:spacing w:before="0" w:after="0" w:line="276" w:lineRule="auto"/>
              <w:rPr>
                <w:color w:val="auto"/>
              </w:rPr>
            </w:pPr>
          </w:p>
        </w:tc>
        <w:tc>
          <w:tcPr>
            <w:tcW w:w="1680" w:type="dxa"/>
            <w:shd w:val="clear" w:color="auto" w:fill="FF99FF"/>
            <w:vAlign w:val="center"/>
          </w:tcPr>
          <w:p w14:paraId="595D6704" w14:textId="77777777" w:rsidR="00455C4C" w:rsidRPr="00532CAF" w:rsidRDefault="00455C4C" w:rsidP="00E84163">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AD62EF">
              <w:rPr>
                <w:rFonts w:ascii="Times New Roman" w:hAnsi="Times New Roman" w:cs="Times New Roman" w:hint="eastAsia"/>
                <w:b/>
                <w:bCs/>
                <w:color w:val="auto"/>
              </w:rPr>
              <w:t>產品或服務低碳轉型增購永續資訊系統之成本增加</w:t>
            </w:r>
          </w:p>
        </w:tc>
        <w:tc>
          <w:tcPr>
            <w:tcW w:w="2976" w:type="dxa"/>
            <w:shd w:val="clear" w:color="auto" w:fill="FF99FF"/>
            <w:hideMark/>
          </w:tcPr>
          <w:p w14:paraId="6F45E5A2" w14:textId="77777777" w:rsidR="00455C4C" w:rsidRPr="00532CAF" w:rsidRDefault="00455C4C" w:rsidP="00E84163">
            <w:pPr>
              <w:pStyle w:val="a4"/>
              <w:widowControl/>
              <w:numPr>
                <w:ilvl w:val="0"/>
                <w:numId w:val="33"/>
              </w:numPr>
              <w:spacing w:before="0" w:after="0" w:line="276" w:lineRule="auto"/>
              <w:ind w:leftChars="0" w:left="310" w:hanging="310"/>
              <w:cnfStyle w:val="000000000000" w:firstRow="0" w:lastRow="0" w:firstColumn="0" w:lastColumn="0" w:oddVBand="0" w:evenVBand="0" w:oddHBand="0" w:evenHBand="0" w:firstRowFirstColumn="0" w:firstRowLastColumn="0" w:lastRowFirstColumn="0" w:lastRowLastColumn="0"/>
            </w:pPr>
            <w:r w:rsidRPr="00532CAF">
              <w:t>調整為低碳營運方針、改變服務提供方式，造成財務支出增加，致公司收益減少。</w:t>
            </w:r>
          </w:p>
        </w:tc>
        <w:tc>
          <w:tcPr>
            <w:tcW w:w="3964" w:type="dxa"/>
            <w:shd w:val="clear" w:color="auto" w:fill="FF99FF"/>
            <w:hideMark/>
          </w:tcPr>
          <w:p w14:paraId="6787683E" w14:textId="77AA4245" w:rsidR="00455C4C" w:rsidRPr="00AD62EF" w:rsidRDefault="00455C4C" w:rsidP="00F92140">
            <w:pPr>
              <w:pStyle w:val="a4"/>
              <w:widowControl/>
              <w:numPr>
                <w:ilvl w:val="0"/>
                <w:numId w:val="28"/>
              </w:numPr>
              <w:spacing w:before="0" w:after="0" w:line="276" w:lineRule="auto"/>
              <w:ind w:leftChars="0" w:rightChars="-42" w:right="-101"/>
              <w:cnfStyle w:val="000000000000" w:firstRow="0" w:lastRow="0" w:firstColumn="0" w:lastColumn="0" w:oddVBand="0" w:evenVBand="0" w:oddHBand="0" w:evenHBand="0" w:firstRowFirstColumn="0" w:firstRowLastColumn="0" w:lastRowFirstColumn="0" w:lastRowLastColumn="0"/>
              <w:rPr>
                <w:kern w:val="2"/>
              </w:rPr>
            </w:pPr>
            <w:r w:rsidRPr="00532CAF">
              <w:t>訂定氣候風險之投資管理程序，涉及較高氣候相關風險之投資標的訂有審查機制。</w:t>
            </w:r>
            <w:r w:rsidR="00F92140" w:rsidRPr="008178A1">
              <w:rPr>
                <w:rFonts w:eastAsia="新細明體"/>
                <w:color w:val="0070C0"/>
                <w:sz w:val="16"/>
                <w:szCs w:val="16"/>
              </w:rPr>
              <w:t>【</w:t>
            </w:r>
            <w:r w:rsidR="00F92140" w:rsidRPr="008178A1">
              <w:rPr>
                <w:rFonts w:eastAsia="新細明體"/>
                <w:color w:val="0070C0"/>
                <w:sz w:val="16"/>
                <w:szCs w:val="16"/>
              </w:rPr>
              <w:t>S.</w:t>
            </w:r>
            <w:r w:rsidR="00F92140">
              <w:rPr>
                <w:rFonts w:eastAsia="新細明體"/>
                <w:color w:val="0070C0"/>
                <w:sz w:val="16"/>
                <w:szCs w:val="16"/>
              </w:rPr>
              <w:t>2.</w:t>
            </w:r>
            <w:r w:rsidR="00F92140" w:rsidRPr="008178A1">
              <w:rPr>
                <w:rFonts w:eastAsia="新細明體"/>
                <w:color w:val="0070C0"/>
                <w:sz w:val="16"/>
                <w:szCs w:val="16"/>
              </w:rPr>
              <w:t>(</w:t>
            </w:r>
            <w:r w:rsidR="00F92140">
              <w:rPr>
                <w:rFonts w:eastAsia="新細明體"/>
                <w:color w:val="0070C0"/>
                <w:sz w:val="16"/>
                <w:szCs w:val="16"/>
              </w:rPr>
              <w:t>5</w:t>
            </w:r>
            <w:r w:rsidR="00F92140" w:rsidRPr="008178A1">
              <w:rPr>
                <w:rFonts w:eastAsia="新細明體"/>
                <w:color w:val="0070C0"/>
                <w:sz w:val="16"/>
                <w:szCs w:val="16"/>
              </w:rPr>
              <w:t>)</w:t>
            </w:r>
            <w:r w:rsidR="00F92140" w:rsidRPr="008178A1">
              <w:rPr>
                <w:rFonts w:eastAsia="新細明體"/>
                <w:color w:val="0070C0"/>
                <w:sz w:val="16"/>
                <w:szCs w:val="16"/>
              </w:rPr>
              <w:t>】</w:t>
            </w:r>
          </w:p>
          <w:p w14:paraId="50B6FE0B" w14:textId="77777777" w:rsidR="00455C4C" w:rsidRPr="00532CAF" w:rsidRDefault="00455C4C" w:rsidP="00E84163">
            <w:pPr>
              <w:pStyle w:val="a4"/>
              <w:widowControl/>
              <w:numPr>
                <w:ilvl w:val="0"/>
                <w:numId w:val="28"/>
              </w:numPr>
              <w:spacing w:before="0" w:after="0" w:line="276" w:lineRule="auto"/>
              <w:ind w:leftChars="0"/>
              <w:cnfStyle w:val="000000000000" w:firstRow="0" w:lastRow="0" w:firstColumn="0" w:lastColumn="0" w:oddVBand="0" w:evenVBand="0" w:oddHBand="0" w:evenHBand="0" w:firstRowFirstColumn="0" w:firstRowLastColumn="0" w:lastRowFirstColumn="0" w:lastRowLastColumn="0"/>
              <w:rPr>
                <w:kern w:val="2"/>
              </w:rPr>
            </w:pPr>
            <w:r w:rsidRPr="00532CAF">
              <w:t>規劃投資低碳轉型計畫，計算溫室氣體排放量，並設定減碳路徑，逐年降低投資碳足跡。</w:t>
            </w:r>
          </w:p>
        </w:tc>
      </w:tr>
      <w:tr w:rsidR="00455C4C" w:rsidRPr="00532CAF" w14:paraId="0D2DD1C8" w14:textId="77777777" w:rsidTr="00E8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vMerge/>
            <w:vAlign w:val="center"/>
          </w:tcPr>
          <w:p w14:paraId="15416918" w14:textId="77777777" w:rsidR="00455C4C" w:rsidRPr="00532CAF" w:rsidRDefault="00455C4C" w:rsidP="00E84163">
            <w:pPr>
              <w:widowControl/>
              <w:spacing w:before="0" w:after="0" w:line="276" w:lineRule="auto"/>
              <w:rPr>
                <w:color w:val="auto"/>
              </w:rPr>
            </w:pPr>
          </w:p>
        </w:tc>
        <w:tc>
          <w:tcPr>
            <w:tcW w:w="1680" w:type="dxa"/>
            <w:shd w:val="clear" w:color="auto" w:fill="FFC000" w:themeFill="accent4"/>
            <w:vAlign w:val="center"/>
          </w:tcPr>
          <w:p w14:paraId="09697146" w14:textId="77777777" w:rsidR="00455C4C" w:rsidRPr="00532CAF" w:rsidRDefault="00455C4C" w:rsidP="003408AC">
            <w:pPr>
              <w:pStyle w:val="Default"/>
              <w:spacing w:line="276" w:lineRule="auto"/>
              <w:ind w:leftChars="-59" w:left="-142" w:rightChars="-40" w:right="-96" w:firstLin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AD62EF">
              <w:rPr>
                <w:rFonts w:ascii="Times New Roman" w:hAnsi="Times New Roman" w:cs="Times New Roman" w:hint="eastAsia"/>
                <w:b/>
                <w:bCs/>
                <w:color w:val="auto"/>
              </w:rPr>
              <w:t>市場偏好改變影響管理資產規模</w:t>
            </w:r>
            <w:r>
              <w:rPr>
                <w:rFonts w:ascii="Times New Roman" w:hAnsi="Times New Roman" w:cs="Times New Roman" w:hint="eastAsia"/>
                <w:b/>
                <w:bCs/>
                <w:color w:val="auto"/>
              </w:rPr>
              <w:t xml:space="preserve"> </w:t>
            </w:r>
            <w:r w:rsidRPr="00AD62EF">
              <w:rPr>
                <w:rFonts w:ascii="Times New Roman" w:hAnsi="Times New Roman" w:cs="Times New Roman" w:hint="eastAsia"/>
                <w:b/>
                <w:bCs/>
                <w:color w:val="auto"/>
              </w:rPr>
              <w:t>營收減少</w:t>
            </w:r>
          </w:p>
        </w:tc>
        <w:tc>
          <w:tcPr>
            <w:tcW w:w="2976" w:type="dxa"/>
            <w:shd w:val="clear" w:color="auto" w:fill="FFC000" w:themeFill="accent4"/>
            <w:hideMark/>
          </w:tcPr>
          <w:p w14:paraId="2D2B3CB5" w14:textId="77777777" w:rsidR="00455C4C" w:rsidRPr="00532CAF" w:rsidRDefault="00455C4C" w:rsidP="00E84163">
            <w:pPr>
              <w:pStyle w:val="a4"/>
              <w:widowControl/>
              <w:numPr>
                <w:ilvl w:val="0"/>
                <w:numId w:val="33"/>
              </w:numPr>
              <w:spacing w:before="0" w:after="0" w:line="276" w:lineRule="auto"/>
              <w:ind w:leftChars="0" w:left="310" w:hanging="310"/>
              <w:cnfStyle w:val="000000100000" w:firstRow="0" w:lastRow="0" w:firstColumn="0" w:lastColumn="0" w:oddVBand="0" w:evenVBand="0" w:oddHBand="1" w:evenHBand="0" w:firstRowFirstColumn="0" w:firstRowLastColumn="0" w:lastRowFirstColumn="0" w:lastRowLastColumn="0"/>
            </w:pPr>
            <w:r w:rsidRPr="00532CAF">
              <w:t>市場高碳排關聯產業之前景趨弱，造成公司持有之相關投資損失。</w:t>
            </w:r>
          </w:p>
        </w:tc>
        <w:tc>
          <w:tcPr>
            <w:tcW w:w="3964" w:type="dxa"/>
            <w:shd w:val="clear" w:color="auto" w:fill="FFC000" w:themeFill="accent4"/>
            <w:hideMark/>
          </w:tcPr>
          <w:p w14:paraId="6EC4C105" w14:textId="65F149A7" w:rsidR="00455C4C" w:rsidRPr="00532CAF" w:rsidRDefault="00455C4C" w:rsidP="00E84163">
            <w:pPr>
              <w:pStyle w:val="a4"/>
              <w:widowControl/>
              <w:numPr>
                <w:ilvl w:val="0"/>
                <w:numId w:val="28"/>
              </w:numPr>
              <w:spacing w:before="0" w:after="0" w:line="276" w:lineRule="auto"/>
              <w:ind w:leftChars="0"/>
              <w:cnfStyle w:val="000000100000" w:firstRow="0" w:lastRow="0" w:firstColumn="0" w:lastColumn="0" w:oddVBand="0" w:evenVBand="0" w:oddHBand="1" w:evenHBand="0" w:firstRowFirstColumn="0" w:firstRowLastColumn="0" w:lastRowFirstColumn="0" w:lastRowLastColumn="0"/>
              <w:rPr>
                <w:kern w:val="2"/>
              </w:rPr>
            </w:pPr>
            <w:r w:rsidRPr="00532CAF">
              <w:t>與投資對象溝通，促進其揭露碳盤結果，進行氣候風險或</w:t>
            </w:r>
            <w:r w:rsidRPr="00532CAF">
              <w:t>ESG</w:t>
            </w:r>
            <w:r w:rsidRPr="00532CAF">
              <w:t>議合。</w:t>
            </w:r>
            <w:r w:rsidR="00F92140" w:rsidRPr="008178A1">
              <w:rPr>
                <w:rFonts w:eastAsia="新細明體"/>
                <w:color w:val="0070C0"/>
                <w:sz w:val="16"/>
                <w:szCs w:val="16"/>
              </w:rPr>
              <w:t>【</w:t>
            </w:r>
            <w:r w:rsidR="00F92140" w:rsidRPr="008178A1">
              <w:rPr>
                <w:rFonts w:eastAsia="新細明體"/>
                <w:color w:val="0070C0"/>
                <w:sz w:val="16"/>
                <w:szCs w:val="16"/>
              </w:rPr>
              <w:t>S.</w:t>
            </w:r>
            <w:r w:rsidR="00F92140">
              <w:rPr>
                <w:rFonts w:eastAsia="新細明體"/>
                <w:color w:val="0070C0"/>
                <w:sz w:val="16"/>
                <w:szCs w:val="16"/>
              </w:rPr>
              <w:t>2.</w:t>
            </w:r>
            <w:r w:rsidR="00F92140" w:rsidRPr="008178A1">
              <w:rPr>
                <w:rFonts w:eastAsia="新細明體"/>
                <w:color w:val="0070C0"/>
                <w:sz w:val="16"/>
                <w:szCs w:val="16"/>
              </w:rPr>
              <w:t>(</w:t>
            </w:r>
            <w:r w:rsidR="00F92140">
              <w:rPr>
                <w:rFonts w:eastAsia="新細明體"/>
                <w:color w:val="0070C0"/>
                <w:sz w:val="16"/>
                <w:szCs w:val="16"/>
              </w:rPr>
              <w:t>5</w:t>
            </w:r>
            <w:r w:rsidR="00F92140" w:rsidRPr="008178A1">
              <w:rPr>
                <w:rFonts w:eastAsia="新細明體"/>
                <w:color w:val="0070C0"/>
                <w:sz w:val="16"/>
                <w:szCs w:val="16"/>
              </w:rPr>
              <w:t>)</w:t>
            </w:r>
            <w:r w:rsidR="00F92140" w:rsidRPr="008178A1">
              <w:rPr>
                <w:rFonts w:eastAsia="新細明體"/>
                <w:color w:val="0070C0"/>
                <w:sz w:val="16"/>
                <w:szCs w:val="16"/>
              </w:rPr>
              <w:t>】</w:t>
            </w:r>
          </w:p>
        </w:tc>
      </w:tr>
      <w:tr w:rsidR="00455C4C" w:rsidRPr="00532CAF" w14:paraId="583FC1E8" w14:textId="77777777" w:rsidTr="00E84163">
        <w:tc>
          <w:tcPr>
            <w:cnfStyle w:val="001000000000" w:firstRow="0" w:lastRow="0" w:firstColumn="1" w:lastColumn="0" w:oddVBand="0" w:evenVBand="0" w:oddHBand="0" w:evenHBand="0" w:firstRowFirstColumn="0" w:firstRowLastColumn="0" w:lastRowFirstColumn="0" w:lastRowLastColumn="0"/>
            <w:tcW w:w="447" w:type="dxa"/>
            <w:vMerge/>
            <w:vAlign w:val="center"/>
          </w:tcPr>
          <w:p w14:paraId="31D5ADF7" w14:textId="77777777" w:rsidR="00455C4C" w:rsidRPr="00532CAF" w:rsidRDefault="00455C4C" w:rsidP="00E84163">
            <w:pPr>
              <w:widowControl/>
              <w:spacing w:before="0" w:after="0" w:line="276" w:lineRule="auto"/>
              <w:rPr>
                <w:color w:val="auto"/>
              </w:rPr>
            </w:pPr>
          </w:p>
        </w:tc>
        <w:tc>
          <w:tcPr>
            <w:tcW w:w="1680" w:type="dxa"/>
            <w:shd w:val="clear" w:color="auto" w:fill="FFC000" w:themeFill="accent4"/>
            <w:vAlign w:val="center"/>
          </w:tcPr>
          <w:p w14:paraId="6D7F9B12" w14:textId="77777777" w:rsidR="00455C4C" w:rsidRPr="00532CAF" w:rsidRDefault="00455C4C" w:rsidP="00E84163">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32CAF">
              <w:rPr>
                <w:rFonts w:ascii="Times New Roman" w:hAnsi="Times New Roman" w:cs="Times New Roman"/>
                <w:b/>
                <w:bCs/>
                <w:color w:val="auto"/>
              </w:rPr>
              <w:t>未能建立低碳轉型之形象</w:t>
            </w:r>
            <w:r w:rsidRPr="00532CAF">
              <w:rPr>
                <w:rFonts w:ascii="Times New Roman" w:hAnsi="Times New Roman" w:cs="Times New Roman"/>
                <w:b/>
                <w:bCs/>
                <w:color w:val="auto"/>
              </w:rPr>
              <w:t>(</w:t>
            </w:r>
            <w:r w:rsidRPr="00532CAF">
              <w:rPr>
                <w:rFonts w:ascii="Times New Roman" w:hAnsi="Times New Roman" w:cs="Times New Roman"/>
                <w:b/>
                <w:bCs/>
                <w:color w:val="auto"/>
              </w:rPr>
              <w:t>公司聲譽</w:t>
            </w:r>
            <w:r w:rsidRPr="00532CAF">
              <w:rPr>
                <w:rFonts w:ascii="Times New Roman" w:hAnsi="Times New Roman" w:cs="Times New Roman"/>
                <w:b/>
                <w:bCs/>
                <w:color w:val="auto"/>
              </w:rPr>
              <w:t>)</w:t>
            </w:r>
          </w:p>
        </w:tc>
        <w:tc>
          <w:tcPr>
            <w:tcW w:w="2976" w:type="dxa"/>
            <w:shd w:val="clear" w:color="auto" w:fill="FFC000" w:themeFill="accent4"/>
            <w:hideMark/>
          </w:tcPr>
          <w:p w14:paraId="536CE02C" w14:textId="77777777" w:rsidR="00455C4C" w:rsidRPr="00532CAF" w:rsidRDefault="00455C4C" w:rsidP="00E84163">
            <w:pPr>
              <w:pStyle w:val="a4"/>
              <w:widowControl/>
              <w:numPr>
                <w:ilvl w:val="0"/>
                <w:numId w:val="33"/>
              </w:numPr>
              <w:tabs>
                <w:tab w:val="left" w:pos="303"/>
              </w:tabs>
              <w:spacing w:before="0" w:after="0" w:line="276" w:lineRule="auto"/>
              <w:ind w:leftChars="0" w:left="161" w:rightChars="-38" w:right="-91" w:hanging="161"/>
              <w:cnfStyle w:val="000000000000" w:firstRow="0" w:lastRow="0" w:firstColumn="0" w:lastColumn="0" w:oddVBand="0" w:evenVBand="0" w:oddHBand="0" w:evenHBand="0" w:firstRowFirstColumn="0" w:firstRowLastColumn="0" w:lastRowFirstColumn="0" w:lastRowLastColumn="0"/>
            </w:pPr>
            <w:r w:rsidRPr="00532CAF">
              <w:t>當公司發生環境污染情事，經媒體負面報導時，將間接影響公司商譽。</w:t>
            </w:r>
          </w:p>
        </w:tc>
        <w:tc>
          <w:tcPr>
            <w:tcW w:w="3964" w:type="dxa"/>
            <w:shd w:val="clear" w:color="auto" w:fill="FFC000" w:themeFill="accent4"/>
            <w:hideMark/>
          </w:tcPr>
          <w:p w14:paraId="12E0E1B6" w14:textId="77777777" w:rsidR="00455C4C" w:rsidRPr="00532CAF" w:rsidRDefault="00455C4C" w:rsidP="00E84163">
            <w:pPr>
              <w:pStyle w:val="a4"/>
              <w:widowControl/>
              <w:numPr>
                <w:ilvl w:val="0"/>
                <w:numId w:val="28"/>
              </w:numPr>
              <w:spacing w:before="0" w:after="0" w:line="276" w:lineRule="auto"/>
              <w:ind w:leftChars="0"/>
              <w:cnfStyle w:val="000000000000" w:firstRow="0" w:lastRow="0" w:firstColumn="0" w:lastColumn="0" w:oddVBand="0" w:evenVBand="0" w:oddHBand="0" w:evenHBand="0" w:firstRowFirstColumn="0" w:firstRowLastColumn="0" w:lastRowFirstColumn="0" w:lastRowLastColumn="0"/>
            </w:pPr>
            <w:r w:rsidRPr="00532CAF">
              <w:t>透過服務及作業流程數位</w:t>
            </w:r>
            <w:r w:rsidRPr="00532CAF">
              <w:t>/</w:t>
            </w:r>
            <w:r w:rsidRPr="00532CAF">
              <w:t>無紙化，減低碳足跡。</w:t>
            </w:r>
          </w:p>
        </w:tc>
      </w:tr>
      <w:tr w:rsidR="00455C4C" w:rsidRPr="00532CAF" w14:paraId="42111699" w14:textId="77777777" w:rsidTr="00E8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vMerge w:val="restart"/>
            <w:vAlign w:val="center"/>
          </w:tcPr>
          <w:p w14:paraId="20FEC35D" w14:textId="77777777" w:rsidR="00455C4C" w:rsidRPr="00532CAF" w:rsidRDefault="00455C4C" w:rsidP="00E84163">
            <w:pPr>
              <w:widowControl/>
              <w:spacing w:before="0" w:after="0" w:line="276" w:lineRule="auto"/>
            </w:pPr>
            <w:r w:rsidRPr="00532CAF">
              <w:t>實體風險</w:t>
            </w:r>
          </w:p>
        </w:tc>
        <w:tc>
          <w:tcPr>
            <w:tcW w:w="1680" w:type="dxa"/>
            <w:shd w:val="clear" w:color="auto" w:fill="FF99FF"/>
            <w:vAlign w:val="center"/>
          </w:tcPr>
          <w:p w14:paraId="689997B5" w14:textId="77777777" w:rsidR="00455C4C" w:rsidRPr="00532CAF" w:rsidRDefault="00455C4C" w:rsidP="00E84163">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32CAF">
              <w:rPr>
                <w:rFonts w:ascii="Times New Roman" w:hAnsi="Times New Roman" w:cs="Times New Roman"/>
                <w:b/>
                <w:bCs/>
                <w:color w:val="auto"/>
              </w:rPr>
              <w:t>極端氣候造成公司或投資對象營運中斷</w:t>
            </w:r>
          </w:p>
        </w:tc>
        <w:tc>
          <w:tcPr>
            <w:tcW w:w="2976" w:type="dxa"/>
            <w:shd w:val="clear" w:color="auto" w:fill="FF99FF"/>
            <w:hideMark/>
          </w:tcPr>
          <w:p w14:paraId="675DDB2F" w14:textId="77777777" w:rsidR="00455C4C" w:rsidRPr="00532CAF" w:rsidRDefault="00455C4C" w:rsidP="00E84163">
            <w:pPr>
              <w:pStyle w:val="a4"/>
              <w:widowControl/>
              <w:numPr>
                <w:ilvl w:val="0"/>
                <w:numId w:val="33"/>
              </w:numPr>
              <w:spacing w:before="0" w:after="0" w:line="276" w:lineRule="auto"/>
              <w:ind w:leftChars="0" w:left="310" w:hanging="310"/>
              <w:cnfStyle w:val="000000100000" w:firstRow="0" w:lastRow="0" w:firstColumn="0" w:lastColumn="0" w:oddVBand="0" w:evenVBand="0" w:oddHBand="1" w:evenHBand="0" w:firstRowFirstColumn="0" w:firstRowLastColumn="0" w:lastRowFirstColumn="0" w:lastRowLastColumn="0"/>
            </w:pPr>
            <w:r w:rsidRPr="00532CAF">
              <w:t>極端降雨與乾旱對公司營運據點造成損害、停班導致營運中斷。</w:t>
            </w:r>
          </w:p>
        </w:tc>
        <w:tc>
          <w:tcPr>
            <w:tcW w:w="3964" w:type="dxa"/>
            <w:shd w:val="clear" w:color="auto" w:fill="FF99FF"/>
            <w:hideMark/>
          </w:tcPr>
          <w:p w14:paraId="16AE9183" w14:textId="77777777" w:rsidR="00455C4C" w:rsidRPr="00532CAF" w:rsidRDefault="00455C4C" w:rsidP="00E84163">
            <w:pPr>
              <w:pStyle w:val="a4"/>
              <w:widowControl/>
              <w:numPr>
                <w:ilvl w:val="0"/>
                <w:numId w:val="28"/>
              </w:numPr>
              <w:spacing w:before="0" w:after="0" w:line="276" w:lineRule="auto"/>
              <w:ind w:leftChars="0"/>
              <w:cnfStyle w:val="000000100000" w:firstRow="0" w:lastRow="0" w:firstColumn="0" w:lastColumn="0" w:oddVBand="0" w:evenVBand="0" w:oddHBand="1" w:evenHBand="0" w:firstRowFirstColumn="0" w:firstRowLastColumn="0" w:lastRowFirstColumn="0" w:lastRowLastColumn="0"/>
            </w:pPr>
            <w:r w:rsidRPr="00532CAF">
              <w:t>辦理</w:t>
            </w:r>
            <w:r w:rsidRPr="00532CAF">
              <w:t xml:space="preserve">ISO 14064-1 </w:t>
            </w:r>
            <w:r w:rsidRPr="00532CAF">
              <w:t>溫室氣體盤查、</w:t>
            </w:r>
            <w:r w:rsidRPr="00532CAF">
              <w:t xml:space="preserve">ISO 14001 </w:t>
            </w:r>
            <w:r w:rsidRPr="00532CAF">
              <w:t>環境管理系統認證及</w:t>
            </w:r>
            <w:r w:rsidRPr="00532CAF">
              <w:t xml:space="preserve">ISO 50001 </w:t>
            </w:r>
            <w:r w:rsidRPr="00532CAF">
              <w:t>能源管理系統認證。</w:t>
            </w:r>
          </w:p>
        </w:tc>
      </w:tr>
      <w:tr w:rsidR="00455C4C" w:rsidRPr="00532CAF" w14:paraId="3AA0F72F" w14:textId="77777777" w:rsidTr="00E84163">
        <w:tc>
          <w:tcPr>
            <w:cnfStyle w:val="001000000000" w:firstRow="0" w:lastRow="0" w:firstColumn="1" w:lastColumn="0" w:oddVBand="0" w:evenVBand="0" w:oddHBand="0" w:evenHBand="0" w:firstRowFirstColumn="0" w:firstRowLastColumn="0" w:lastRowFirstColumn="0" w:lastRowLastColumn="0"/>
            <w:tcW w:w="447" w:type="dxa"/>
            <w:vMerge/>
            <w:vAlign w:val="center"/>
          </w:tcPr>
          <w:p w14:paraId="249CB46A" w14:textId="77777777" w:rsidR="00455C4C" w:rsidRPr="00532CAF" w:rsidRDefault="00455C4C" w:rsidP="00E84163">
            <w:pPr>
              <w:widowControl/>
              <w:spacing w:before="0" w:after="0" w:line="276" w:lineRule="auto"/>
              <w:rPr>
                <w:color w:val="auto"/>
              </w:rPr>
            </w:pPr>
          </w:p>
        </w:tc>
        <w:tc>
          <w:tcPr>
            <w:tcW w:w="1680" w:type="dxa"/>
            <w:shd w:val="clear" w:color="auto" w:fill="92D050"/>
            <w:vAlign w:val="center"/>
          </w:tcPr>
          <w:p w14:paraId="2AC20F44" w14:textId="77777777" w:rsidR="00455C4C" w:rsidRPr="00532CAF" w:rsidRDefault="00455C4C" w:rsidP="00E84163">
            <w:pPr>
              <w:pStyle w:val="Default"/>
              <w:spacing w:line="276" w:lineRule="auto"/>
              <w:ind w:left="166" w:hanging="1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32CAF">
              <w:rPr>
                <w:rFonts w:ascii="Times New Roman" w:hAnsi="Times New Roman" w:cs="Times New Roman"/>
                <w:b/>
                <w:bCs/>
                <w:color w:val="auto"/>
              </w:rPr>
              <w:t>平均氣溫上升</w:t>
            </w:r>
          </w:p>
        </w:tc>
        <w:tc>
          <w:tcPr>
            <w:tcW w:w="2976" w:type="dxa"/>
            <w:shd w:val="clear" w:color="auto" w:fill="92D050"/>
            <w:hideMark/>
          </w:tcPr>
          <w:p w14:paraId="71D0657D" w14:textId="77777777" w:rsidR="00455C4C" w:rsidRPr="00532CAF" w:rsidRDefault="00455C4C" w:rsidP="00E84163">
            <w:pPr>
              <w:pStyle w:val="a4"/>
              <w:widowControl/>
              <w:numPr>
                <w:ilvl w:val="0"/>
                <w:numId w:val="33"/>
              </w:numPr>
              <w:spacing w:before="0" w:after="0" w:line="276" w:lineRule="auto"/>
              <w:ind w:leftChars="0" w:left="310" w:hanging="310"/>
              <w:cnfStyle w:val="000000000000" w:firstRow="0" w:lastRow="0" w:firstColumn="0" w:lastColumn="0" w:oddVBand="0" w:evenVBand="0" w:oddHBand="0" w:evenHBand="0" w:firstRowFirstColumn="0" w:firstRowLastColumn="0" w:lastRowFirstColumn="0" w:lastRowLastColumn="0"/>
            </w:pPr>
            <w:r w:rsidRPr="00532CAF">
              <w:t>公司用電量、成本與碳排放量上升</w:t>
            </w:r>
          </w:p>
        </w:tc>
        <w:tc>
          <w:tcPr>
            <w:tcW w:w="3964" w:type="dxa"/>
            <w:shd w:val="clear" w:color="auto" w:fill="92D050"/>
            <w:hideMark/>
          </w:tcPr>
          <w:p w14:paraId="62D258AE" w14:textId="77777777" w:rsidR="00455C4C" w:rsidRPr="00532CAF" w:rsidRDefault="00455C4C" w:rsidP="00E84163">
            <w:pPr>
              <w:pStyle w:val="a4"/>
              <w:widowControl/>
              <w:numPr>
                <w:ilvl w:val="0"/>
                <w:numId w:val="28"/>
              </w:numPr>
              <w:spacing w:before="0" w:after="0" w:line="276" w:lineRule="auto"/>
              <w:ind w:leftChars="0"/>
              <w:cnfStyle w:val="000000000000" w:firstRow="0" w:lastRow="0" w:firstColumn="0" w:lastColumn="0" w:oddVBand="0" w:evenVBand="0" w:oddHBand="0" w:evenHBand="0" w:firstRowFirstColumn="0" w:firstRowLastColumn="0" w:lastRowFirstColumn="0" w:lastRowLastColumn="0"/>
              <w:rPr>
                <w:kern w:val="2"/>
              </w:rPr>
            </w:pPr>
            <w:r w:rsidRPr="00532CAF">
              <w:t>規劃採購再生能源及環保標章產品，落實節約能源目標。</w:t>
            </w:r>
          </w:p>
        </w:tc>
      </w:tr>
    </w:tbl>
    <w:p w14:paraId="4C379619" w14:textId="75B69FDD" w:rsidR="00250C10" w:rsidRDefault="00250C10" w:rsidP="00455C4C">
      <w:pPr>
        <w:widowControl/>
        <w:spacing w:before="0" w:after="0" w:line="0" w:lineRule="atLeast"/>
        <w:rPr>
          <w:sz w:val="20"/>
          <w:szCs w:val="20"/>
        </w:rPr>
      </w:pPr>
    </w:p>
    <w:p w14:paraId="7A1FC53C" w14:textId="77777777" w:rsidR="00250C10" w:rsidRDefault="00250C10">
      <w:pPr>
        <w:widowControl/>
        <w:spacing w:before="0" w:after="0" w:line="240" w:lineRule="auto"/>
        <w:rPr>
          <w:sz w:val="20"/>
          <w:szCs w:val="20"/>
        </w:rPr>
      </w:pPr>
      <w:r>
        <w:rPr>
          <w:sz w:val="20"/>
          <w:szCs w:val="20"/>
        </w:rPr>
        <w:br w:type="page"/>
      </w:r>
    </w:p>
    <w:tbl>
      <w:tblPr>
        <w:tblStyle w:val="5-2"/>
        <w:tblW w:w="9067" w:type="dxa"/>
        <w:tblLook w:val="04A0" w:firstRow="1" w:lastRow="0" w:firstColumn="1" w:lastColumn="0" w:noHBand="0" w:noVBand="1"/>
      </w:tblPr>
      <w:tblGrid>
        <w:gridCol w:w="2122"/>
        <w:gridCol w:w="2976"/>
        <w:gridCol w:w="3969"/>
      </w:tblGrid>
      <w:tr w:rsidR="00455C4C" w:rsidRPr="00532CAF" w14:paraId="55029BE5" w14:textId="77777777" w:rsidTr="00E84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321EADED" w14:textId="77777777" w:rsidR="00455C4C" w:rsidRPr="00532CAF" w:rsidRDefault="00455C4C" w:rsidP="00E84163">
            <w:pPr>
              <w:widowControl/>
              <w:spacing w:before="0" w:after="0" w:line="276" w:lineRule="auto"/>
              <w:jc w:val="center"/>
            </w:pPr>
            <w:r w:rsidRPr="00532CAF">
              <w:lastRenderedPageBreak/>
              <w:t>機會</w:t>
            </w:r>
          </w:p>
        </w:tc>
        <w:tc>
          <w:tcPr>
            <w:tcW w:w="2976" w:type="dxa"/>
            <w:hideMark/>
          </w:tcPr>
          <w:p w14:paraId="5E03209B" w14:textId="77777777" w:rsidR="00455C4C" w:rsidRPr="00532CAF" w:rsidRDefault="00455C4C" w:rsidP="00E84163">
            <w:pPr>
              <w:widowControl/>
              <w:spacing w:before="0" w:after="0" w:line="276" w:lineRule="auto"/>
              <w:jc w:val="center"/>
              <w:cnfStyle w:val="100000000000" w:firstRow="1" w:lastRow="0" w:firstColumn="0" w:lastColumn="0" w:oddVBand="0" w:evenVBand="0" w:oddHBand="0" w:evenHBand="0" w:firstRowFirstColumn="0" w:firstRowLastColumn="0" w:lastRowFirstColumn="0" w:lastRowLastColumn="0"/>
            </w:pPr>
            <w:r w:rsidRPr="00532CAF">
              <w:t>營運衝擊</w:t>
            </w:r>
            <w:r w:rsidRPr="00532CAF">
              <w:rPr>
                <w:rFonts w:eastAsia="新細明體"/>
              </w:rPr>
              <w:t>、</w:t>
            </w:r>
            <w:r w:rsidRPr="00532CAF">
              <w:t>財務影響</w:t>
            </w:r>
          </w:p>
        </w:tc>
        <w:tc>
          <w:tcPr>
            <w:tcW w:w="3969" w:type="dxa"/>
            <w:hideMark/>
          </w:tcPr>
          <w:p w14:paraId="3906CD66" w14:textId="77777777" w:rsidR="00455C4C" w:rsidRPr="00532CAF" w:rsidRDefault="00455C4C" w:rsidP="00E84163">
            <w:pPr>
              <w:widowControl/>
              <w:spacing w:before="0" w:after="0" w:line="276" w:lineRule="auto"/>
              <w:jc w:val="center"/>
              <w:cnfStyle w:val="100000000000" w:firstRow="1" w:lastRow="0" w:firstColumn="0" w:lastColumn="0" w:oddVBand="0" w:evenVBand="0" w:oddHBand="0" w:evenHBand="0" w:firstRowFirstColumn="0" w:firstRowLastColumn="0" w:lastRowFirstColumn="0" w:lastRowLastColumn="0"/>
            </w:pPr>
            <w:r w:rsidRPr="00532CAF">
              <w:t>因應策略</w:t>
            </w:r>
          </w:p>
        </w:tc>
      </w:tr>
      <w:tr w:rsidR="00455C4C" w:rsidRPr="00532CAF" w14:paraId="15E87403" w14:textId="77777777" w:rsidTr="00E8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602371DD" w14:textId="77777777" w:rsidR="00455C4C" w:rsidRPr="00532CAF" w:rsidRDefault="00455C4C" w:rsidP="00E84163">
            <w:pPr>
              <w:widowControl/>
              <w:spacing w:before="0" w:after="0" w:line="276" w:lineRule="auto"/>
            </w:pPr>
            <w:r w:rsidRPr="00532CAF">
              <w:t>營運據點提升資源使用效率</w:t>
            </w:r>
          </w:p>
        </w:tc>
        <w:tc>
          <w:tcPr>
            <w:tcW w:w="2976" w:type="dxa"/>
            <w:vMerge w:val="restart"/>
            <w:hideMark/>
          </w:tcPr>
          <w:p w14:paraId="4AD404AD" w14:textId="77777777" w:rsidR="00455C4C" w:rsidRPr="00532CAF" w:rsidRDefault="00455C4C" w:rsidP="00E84163">
            <w:pPr>
              <w:pStyle w:val="a4"/>
              <w:widowControl/>
              <w:numPr>
                <w:ilvl w:val="0"/>
                <w:numId w:val="36"/>
              </w:numPr>
              <w:spacing w:before="0" w:after="0" w:line="276" w:lineRule="auto"/>
              <w:ind w:leftChars="0"/>
              <w:cnfStyle w:val="000000100000" w:firstRow="0" w:lastRow="0" w:firstColumn="0" w:lastColumn="0" w:oddVBand="0" w:evenVBand="0" w:oddHBand="1" w:evenHBand="0" w:firstRowFirstColumn="0" w:firstRowLastColumn="0" w:lastRowFirstColumn="0" w:lastRowLastColumn="0"/>
            </w:pPr>
            <w:r w:rsidRPr="00532CAF">
              <w:t>改用節能設備、減少水資源使用，降低營運成本。降低溫室氣體排放風險</w:t>
            </w:r>
          </w:p>
        </w:tc>
        <w:tc>
          <w:tcPr>
            <w:tcW w:w="3969" w:type="dxa"/>
            <w:vMerge w:val="restart"/>
            <w:hideMark/>
          </w:tcPr>
          <w:p w14:paraId="42C42F13" w14:textId="77777777" w:rsidR="00455C4C" w:rsidRPr="00532CAF" w:rsidRDefault="00455C4C" w:rsidP="00E84163">
            <w:pPr>
              <w:pStyle w:val="a4"/>
              <w:widowControl/>
              <w:numPr>
                <w:ilvl w:val="0"/>
                <w:numId w:val="35"/>
              </w:numPr>
              <w:tabs>
                <w:tab w:val="left" w:pos="311"/>
              </w:tabs>
              <w:spacing w:before="0" w:after="0" w:line="276" w:lineRule="auto"/>
              <w:ind w:leftChars="0" w:left="169" w:rightChars="-42" w:right="-101" w:hanging="169"/>
              <w:cnfStyle w:val="000000100000" w:firstRow="0" w:lastRow="0" w:firstColumn="0" w:lastColumn="0" w:oddVBand="0" w:evenVBand="0" w:oddHBand="1" w:evenHBand="0" w:firstRowFirstColumn="0" w:firstRowLastColumn="0" w:lastRowFirstColumn="0" w:lastRowLastColumn="0"/>
            </w:pPr>
            <w:r w:rsidRPr="00532CAF">
              <w:t>公司設備建置或汰換時，優先考量具節能環保標章之設備及節水產品。</w:t>
            </w:r>
          </w:p>
          <w:p w14:paraId="7B4EB7A7" w14:textId="77777777" w:rsidR="00455C4C" w:rsidRPr="00532CAF" w:rsidRDefault="00455C4C" w:rsidP="00E84163">
            <w:pPr>
              <w:pStyle w:val="a4"/>
              <w:widowControl/>
              <w:numPr>
                <w:ilvl w:val="0"/>
                <w:numId w:val="35"/>
              </w:numPr>
              <w:spacing w:before="0" w:after="0" w:line="276" w:lineRule="auto"/>
              <w:ind w:leftChars="0" w:left="311" w:hanging="311"/>
              <w:cnfStyle w:val="000000100000" w:firstRow="0" w:lastRow="0" w:firstColumn="0" w:lastColumn="0" w:oddVBand="0" w:evenVBand="0" w:oddHBand="1" w:evenHBand="0" w:firstRowFirstColumn="0" w:firstRowLastColumn="0" w:lastRowFirstColumn="0" w:lastRowLastColumn="0"/>
            </w:pPr>
            <w:r w:rsidRPr="00532CAF">
              <w:t>於每年進行</w:t>
            </w:r>
            <w:r w:rsidRPr="00532CAF">
              <w:t xml:space="preserve"> ISO50001 </w:t>
            </w:r>
            <w:r w:rsidRPr="00532CAF">
              <w:t>能源管理時諮詢可再精進之節能措施。</w:t>
            </w:r>
          </w:p>
        </w:tc>
      </w:tr>
      <w:tr w:rsidR="00455C4C" w:rsidRPr="00532CAF" w14:paraId="5F240BE5" w14:textId="77777777" w:rsidTr="00E84163">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11B751C3" w14:textId="77777777" w:rsidR="00455C4C" w:rsidRPr="00532CAF" w:rsidRDefault="00455C4C" w:rsidP="00E84163">
            <w:pPr>
              <w:widowControl/>
              <w:spacing w:before="0" w:after="0" w:line="276" w:lineRule="auto"/>
            </w:pPr>
            <w:r w:rsidRPr="00532CAF">
              <w:t>使用低碳能源並提升能源效率</w:t>
            </w:r>
          </w:p>
        </w:tc>
        <w:tc>
          <w:tcPr>
            <w:tcW w:w="2976" w:type="dxa"/>
            <w:vMerge/>
            <w:hideMark/>
          </w:tcPr>
          <w:p w14:paraId="40C861EF" w14:textId="77777777" w:rsidR="00455C4C" w:rsidRPr="000E3016" w:rsidRDefault="00455C4C" w:rsidP="00E84163">
            <w:pPr>
              <w:pStyle w:val="a4"/>
              <w:widowControl/>
              <w:numPr>
                <w:ilvl w:val="0"/>
                <w:numId w:val="36"/>
              </w:numPr>
              <w:spacing w:before="0" w:after="0" w:line="276" w:lineRule="auto"/>
              <w:ind w:leftChars="0"/>
              <w:cnfStyle w:val="000000000000" w:firstRow="0" w:lastRow="0" w:firstColumn="0" w:lastColumn="0" w:oddVBand="0" w:evenVBand="0" w:oddHBand="0" w:evenHBand="0" w:firstRowFirstColumn="0" w:firstRowLastColumn="0" w:lastRowFirstColumn="0" w:lastRowLastColumn="0"/>
              <w:rPr>
                <w:kern w:val="2"/>
              </w:rPr>
            </w:pPr>
          </w:p>
        </w:tc>
        <w:tc>
          <w:tcPr>
            <w:tcW w:w="3969" w:type="dxa"/>
            <w:vMerge/>
            <w:hideMark/>
          </w:tcPr>
          <w:p w14:paraId="6261DB39" w14:textId="77777777" w:rsidR="00455C4C" w:rsidRPr="00532CAF" w:rsidRDefault="00455C4C" w:rsidP="00E84163">
            <w:pPr>
              <w:widowControl/>
              <w:spacing w:before="0" w:after="0" w:line="276" w:lineRule="auto"/>
              <w:cnfStyle w:val="000000000000" w:firstRow="0" w:lastRow="0" w:firstColumn="0" w:lastColumn="0" w:oddVBand="0" w:evenVBand="0" w:oddHBand="0" w:evenHBand="0" w:firstRowFirstColumn="0" w:firstRowLastColumn="0" w:lastRowFirstColumn="0" w:lastRowLastColumn="0"/>
              <w:rPr>
                <w:kern w:val="2"/>
              </w:rPr>
            </w:pPr>
          </w:p>
        </w:tc>
      </w:tr>
      <w:tr w:rsidR="00455C4C" w:rsidRPr="00532CAF" w14:paraId="577A2E35" w14:textId="77777777" w:rsidTr="00E8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04E94981" w14:textId="4BFABD93" w:rsidR="00455C4C" w:rsidRPr="00532CAF" w:rsidRDefault="00455C4C" w:rsidP="00E84163">
            <w:pPr>
              <w:widowControl/>
              <w:spacing w:before="0" w:after="0" w:line="276" w:lineRule="auto"/>
            </w:pPr>
            <w:r w:rsidRPr="00532CAF">
              <w:t>開發或增加低碳的產品和服務</w:t>
            </w:r>
            <w:r w:rsidR="00C03FEA" w:rsidRPr="00377B46">
              <w:rPr>
                <w:rFonts w:eastAsia="新細明體"/>
                <w:b w:val="0"/>
                <w:bCs w:val="0"/>
                <w:color w:val="0070C0"/>
                <w:sz w:val="16"/>
                <w:szCs w:val="16"/>
              </w:rPr>
              <w:t>【</w:t>
            </w:r>
            <w:r w:rsidR="00C03FEA" w:rsidRPr="00377B46">
              <w:rPr>
                <w:rFonts w:eastAsia="新細明體"/>
                <w:b w:val="0"/>
                <w:bCs w:val="0"/>
                <w:color w:val="0070C0"/>
                <w:sz w:val="16"/>
                <w:szCs w:val="16"/>
              </w:rPr>
              <w:t>S.2.(</w:t>
            </w:r>
            <w:r w:rsidR="00C03FEA" w:rsidRPr="00377B46">
              <w:rPr>
                <w:rFonts w:eastAsia="新細明體" w:hint="eastAsia"/>
                <w:b w:val="0"/>
                <w:bCs w:val="0"/>
                <w:color w:val="0070C0"/>
                <w:sz w:val="16"/>
                <w:szCs w:val="16"/>
              </w:rPr>
              <w:t>5</w:t>
            </w:r>
            <w:r w:rsidR="00C03FEA" w:rsidRPr="00377B46">
              <w:rPr>
                <w:rFonts w:eastAsia="新細明體"/>
                <w:b w:val="0"/>
                <w:bCs w:val="0"/>
                <w:color w:val="0070C0"/>
                <w:sz w:val="16"/>
                <w:szCs w:val="16"/>
              </w:rPr>
              <w:t>)</w:t>
            </w:r>
            <w:r w:rsidR="00C03FEA" w:rsidRPr="00377B46">
              <w:rPr>
                <w:rFonts w:eastAsia="新細明體"/>
                <w:b w:val="0"/>
                <w:bCs w:val="0"/>
                <w:color w:val="0070C0"/>
                <w:sz w:val="16"/>
                <w:szCs w:val="16"/>
              </w:rPr>
              <w:t>】</w:t>
            </w:r>
          </w:p>
        </w:tc>
        <w:tc>
          <w:tcPr>
            <w:tcW w:w="2976" w:type="dxa"/>
            <w:hideMark/>
          </w:tcPr>
          <w:p w14:paraId="04B59044" w14:textId="77777777" w:rsidR="00455C4C" w:rsidRPr="00532CAF" w:rsidRDefault="00455C4C" w:rsidP="00E84163">
            <w:pPr>
              <w:pStyle w:val="a4"/>
              <w:widowControl/>
              <w:numPr>
                <w:ilvl w:val="0"/>
                <w:numId w:val="36"/>
              </w:numPr>
              <w:spacing w:before="0" w:after="0" w:line="276" w:lineRule="auto"/>
              <w:ind w:leftChars="0"/>
              <w:cnfStyle w:val="000000100000" w:firstRow="0" w:lastRow="0" w:firstColumn="0" w:lastColumn="0" w:oddVBand="0" w:evenVBand="0" w:oddHBand="1" w:evenHBand="0" w:firstRowFirstColumn="0" w:firstRowLastColumn="0" w:lastRowFirstColumn="0" w:lastRowLastColumn="0"/>
            </w:pPr>
            <w:r w:rsidRPr="00532CAF">
              <w:t>營運多樣化，透過開發或增加低碳的產品和服務，以符合投資人需求，提升營業收入。</w:t>
            </w:r>
          </w:p>
        </w:tc>
        <w:tc>
          <w:tcPr>
            <w:tcW w:w="3969" w:type="dxa"/>
            <w:hideMark/>
          </w:tcPr>
          <w:p w14:paraId="446C2F3C" w14:textId="77777777" w:rsidR="00455C4C" w:rsidRPr="00532CAF" w:rsidRDefault="00455C4C" w:rsidP="00E84163">
            <w:pPr>
              <w:pStyle w:val="a4"/>
              <w:widowControl/>
              <w:numPr>
                <w:ilvl w:val="0"/>
                <w:numId w:val="34"/>
              </w:numPr>
              <w:spacing w:before="0" w:after="0" w:line="276" w:lineRule="auto"/>
              <w:ind w:leftChars="0" w:left="311" w:hanging="311"/>
              <w:cnfStyle w:val="000000100000" w:firstRow="0" w:lastRow="0" w:firstColumn="0" w:lastColumn="0" w:oddVBand="0" w:evenVBand="0" w:oddHBand="1" w:evenHBand="0" w:firstRowFirstColumn="0" w:firstRowLastColumn="0" w:lastRowFirstColumn="0" w:lastRowLastColumn="0"/>
            </w:pPr>
            <w:r w:rsidRPr="00532CAF">
              <w:t>開發或增加低碳具環保、氣候變遷、綠能題材的基金產品和服務。</w:t>
            </w:r>
          </w:p>
          <w:p w14:paraId="055CE2EC" w14:textId="77777777" w:rsidR="00455C4C" w:rsidRPr="00532CAF" w:rsidRDefault="00455C4C" w:rsidP="00E84163">
            <w:pPr>
              <w:pStyle w:val="a4"/>
              <w:widowControl/>
              <w:numPr>
                <w:ilvl w:val="0"/>
                <w:numId w:val="34"/>
              </w:numPr>
              <w:spacing w:before="0" w:after="0" w:line="276" w:lineRule="auto"/>
              <w:ind w:leftChars="0" w:left="311" w:hanging="311"/>
              <w:cnfStyle w:val="000000100000" w:firstRow="0" w:lastRow="0" w:firstColumn="0" w:lastColumn="0" w:oddVBand="0" w:evenVBand="0" w:oddHBand="1" w:evenHBand="0" w:firstRowFirstColumn="0" w:firstRowLastColumn="0" w:lastRowFirstColumn="0" w:lastRowLastColumn="0"/>
            </w:pPr>
            <w:r w:rsidRPr="00532CAF">
              <w:t>推廣電子開戶、電子交易及帳務處理服務。</w:t>
            </w:r>
          </w:p>
        </w:tc>
      </w:tr>
      <w:tr w:rsidR="00455C4C" w:rsidRPr="00532CAF" w14:paraId="75E01240" w14:textId="77777777" w:rsidTr="00E84163">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054B831F" w14:textId="77777777" w:rsidR="00455C4C" w:rsidRPr="00532CAF" w:rsidRDefault="00455C4C" w:rsidP="00E84163">
            <w:pPr>
              <w:widowControl/>
              <w:spacing w:before="0" w:after="0" w:line="276" w:lineRule="auto"/>
            </w:pPr>
            <w:r w:rsidRPr="00532CAF">
              <w:t>培養增進氣候變遷適應能力及風險管理</w:t>
            </w:r>
          </w:p>
        </w:tc>
        <w:tc>
          <w:tcPr>
            <w:tcW w:w="2976" w:type="dxa"/>
            <w:hideMark/>
          </w:tcPr>
          <w:p w14:paraId="3CF1E3E6" w14:textId="77777777" w:rsidR="00455C4C" w:rsidRPr="00532CAF" w:rsidRDefault="00455C4C" w:rsidP="00E84163">
            <w:pPr>
              <w:pStyle w:val="a4"/>
              <w:widowControl/>
              <w:numPr>
                <w:ilvl w:val="0"/>
                <w:numId w:val="36"/>
              </w:numPr>
              <w:spacing w:before="0" w:after="0" w:line="276" w:lineRule="auto"/>
              <w:ind w:leftChars="0"/>
              <w:cnfStyle w:val="000000000000" w:firstRow="0" w:lastRow="0" w:firstColumn="0" w:lastColumn="0" w:oddVBand="0" w:evenVBand="0" w:oddHBand="0" w:evenHBand="0" w:firstRowFirstColumn="0" w:firstRowLastColumn="0" w:lastRowFirstColumn="0" w:lastRowLastColumn="0"/>
            </w:pPr>
            <w:r w:rsidRPr="00532CAF">
              <w:t>透過韌性規劃提高營運能力</w:t>
            </w:r>
          </w:p>
        </w:tc>
        <w:tc>
          <w:tcPr>
            <w:tcW w:w="3969" w:type="dxa"/>
            <w:hideMark/>
          </w:tcPr>
          <w:p w14:paraId="26C0CBC4" w14:textId="77777777" w:rsidR="00455C4C" w:rsidRDefault="00455C4C" w:rsidP="00E84163">
            <w:pPr>
              <w:pStyle w:val="a4"/>
              <w:widowControl/>
              <w:numPr>
                <w:ilvl w:val="0"/>
                <w:numId w:val="34"/>
              </w:numPr>
              <w:spacing w:before="0" w:after="0" w:line="276" w:lineRule="auto"/>
              <w:ind w:leftChars="0" w:left="311" w:hanging="311"/>
              <w:cnfStyle w:val="000000000000" w:firstRow="0" w:lastRow="0" w:firstColumn="0" w:lastColumn="0" w:oddVBand="0" w:evenVBand="0" w:oddHBand="0" w:evenHBand="0" w:firstRowFirstColumn="0" w:firstRowLastColumn="0" w:lastRowFirstColumn="0" w:lastRowLastColumn="0"/>
            </w:pPr>
            <w:r w:rsidRPr="00532CAF">
              <w:t>營運據點避免選定高實體風險區域，並落實節能減碳節水。</w:t>
            </w:r>
          </w:p>
          <w:p w14:paraId="4D55F68B" w14:textId="77777777" w:rsidR="00455C4C" w:rsidRPr="00532CAF" w:rsidRDefault="00455C4C" w:rsidP="00E84163">
            <w:pPr>
              <w:pStyle w:val="a4"/>
              <w:widowControl/>
              <w:numPr>
                <w:ilvl w:val="0"/>
                <w:numId w:val="34"/>
              </w:numPr>
              <w:spacing w:before="0" w:after="0" w:line="276" w:lineRule="auto"/>
              <w:ind w:leftChars="0" w:left="311" w:hanging="311"/>
              <w:cnfStyle w:val="000000000000" w:firstRow="0" w:lastRow="0" w:firstColumn="0" w:lastColumn="0" w:oddVBand="0" w:evenVBand="0" w:oddHBand="0" w:evenHBand="0" w:firstRowFirstColumn="0" w:firstRowLastColumn="0" w:lastRowFirstColumn="0" w:lastRowLastColumn="0"/>
            </w:pPr>
            <w:r w:rsidRPr="00532CAF">
              <w:t>將</w:t>
            </w:r>
            <w:r w:rsidRPr="00532CAF">
              <w:t>ESG</w:t>
            </w:r>
            <w:r w:rsidRPr="00532CAF">
              <w:t>之風險與機會納入投資評估流程，以避免資產價值波動風險。</w:t>
            </w:r>
          </w:p>
        </w:tc>
      </w:tr>
    </w:tbl>
    <w:p w14:paraId="302926B3" w14:textId="77777777" w:rsidR="00455C4C" w:rsidRDefault="00455C4C" w:rsidP="00455C4C">
      <w:pPr>
        <w:widowControl/>
        <w:spacing w:before="0" w:after="0" w:line="240" w:lineRule="auto"/>
        <w:rPr>
          <w:sz w:val="20"/>
          <w:szCs w:val="20"/>
        </w:rPr>
      </w:pPr>
    </w:p>
    <w:p w14:paraId="64A2492B" w14:textId="00E9F888" w:rsidR="00455C4C" w:rsidRPr="00953E6B" w:rsidRDefault="00455C4C" w:rsidP="00455C4C">
      <w:pPr>
        <w:widowControl/>
        <w:spacing w:beforeLines="50" w:before="180" w:afterLines="50" w:after="180" w:line="0" w:lineRule="atLeast"/>
        <w:ind w:leftChars="60" w:left="709" w:hangingChars="235" w:hanging="565"/>
        <w:jc w:val="both"/>
        <w:rPr>
          <w:b/>
          <w:bCs/>
        </w:rPr>
      </w:pPr>
      <w:r w:rsidRPr="00471175">
        <w:rPr>
          <w:b/>
          <w:bCs/>
        </w:rPr>
        <w:t>三、策略上的韌性，並考慮不同氣候相關情境</w:t>
      </w:r>
      <w:r w:rsidRPr="00953E6B">
        <w:rPr>
          <w:rFonts w:eastAsia="微軟正黑體"/>
          <w:color w:val="0070C0"/>
          <w:sz w:val="16"/>
          <w:szCs w:val="16"/>
        </w:rPr>
        <w:t>【</w:t>
      </w:r>
      <w:r w:rsidRPr="00953E6B">
        <w:rPr>
          <w:rFonts w:eastAsia="微軟正黑體"/>
          <w:color w:val="0070C0"/>
          <w:sz w:val="16"/>
          <w:szCs w:val="16"/>
        </w:rPr>
        <w:t>S.</w:t>
      </w:r>
      <w:r w:rsidR="00365204" w:rsidRPr="00953E6B">
        <w:rPr>
          <w:rFonts w:eastAsia="微軟正黑體"/>
          <w:color w:val="0070C0"/>
          <w:sz w:val="16"/>
          <w:szCs w:val="16"/>
        </w:rPr>
        <w:t>3</w:t>
      </w:r>
      <w:r w:rsidRPr="00953E6B">
        <w:rPr>
          <w:rFonts w:eastAsia="微軟正黑體"/>
          <w:color w:val="0070C0"/>
          <w:sz w:val="16"/>
          <w:szCs w:val="16"/>
        </w:rPr>
        <w:t>】</w:t>
      </w:r>
    </w:p>
    <w:p w14:paraId="40DDDAF3" w14:textId="539F2440" w:rsidR="00455C4C" w:rsidRPr="00953E6B" w:rsidRDefault="00455C4C" w:rsidP="00455C4C">
      <w:pPr>
        <w:widowControl/>
        <w:spacing w:before="0" w:afterLines="50" w:after="180" w:line="0" w:lineRule="atLeast"/>
        <w:ind w:leftChars="236" w:left="566" w:firstLineChars="234" w:firstLine="562"/>
      </w:pPr>
      <w:r w:rsidRPr="00953E6B">
        <w:t>為了確保</w:t>
      </w:r>
      <w:r w:rsidRPr="00953E6B">
        <w:t>A</w:t>
      </w:r>
      <w:r w:rsidRPr="00953E6B">
        <w:t>投信在面對各種風險時都能持續穩健地營運，透過情境分析之方法，就特定範圍內可能發生的狀況，評估與氣候相關風險對業務、策略及財務規劃上的衝擊。茲以轉型風險與實體風險分別說明如后。</w:t>
      </w:r>
      <w:r w:rsidR="00EA4E3C" w:rsidRPr="00953E6B">
        <w:rPr>
          <w:rFonts w:eastAsia="新細明體"/>
          <w:color w:val="0070C0"/>
          <w:sz w:val="16"/>
          <w:szCs w:val="16"/>
        </w:rPr>
        <w:t>【</w:t>
      </w:r>
      <w:r w:rsidR="00EA4E3C" w:rsidRPr="00953E6B">
        <w:rPr>
          <w:rFonts w:eastAsia="新細明體"/>
          <w:color w:val="0070C0"/>
          <w:sz w:val="16"/>
          <w:szCs w:val="16"/>
        </w:rPr>
        <w:t>S.3.(1)</w:t>
      </w:r>
      <w:r w:rsidR="00EA4E3C" w:rsidRPr="00953E6B">
        <w:rPr>
          <w:rFonts w:eastAsia="新細明體"/>
          <w:color w:val="0070C0"/>
          <w:sz w:val="16"/>
          <w:szCs w:val="16"/>
        </w:rPr>
        <w:t>】</w:t>
      </w:r>
    </w:p>
    <w:p w14:paraId="1A257E70" w14:textId="77777777" w:rsidR="00455C4C" w:rsidRPr="00471175" w:rsidRDefault="00455C4C" w:rsidP="00455C4C">
      <w:pPr>
        <w:widowControl/>
        <w:spacing w:before="0" w:afterLines="50" w:after="180" w:line="0" w:lineRule="atLeast"/>
        <w:ind w:leftChars="118" w:left="850" w:hangingChars="236" w:hanging="567"/>
        <w:rPr>
          <w:b/>
          <w:bCs/>
        </w:rPr>
      </w:pPr>
      <w:r w:rsidRPr="00471175">
        <w:rPr>
          <w:b/>
          <w:bCs/>
        </w:rPr>
        <w:t>(</w:t>
      </w:r>
      <w:r w:rsidRPr="00471175">
        <w:rPr>
          <w:b/>
          <w:bCs/>
        </w:rPr>
        <w:t>一</w:t>
      </w:r>
      <w:r w:rsidRPr="00471175">
        <w:rPr>
          <w:b/>
          <w:bCs/>
        </w:rPr>
        <w:t>)</w:t>
      </w:r>
      <w:r w:rsidRPr="00471175">
        <w:rPr>
          <w:b/>
          <w:bCs/>
        </w:rPr>
        <w:t>轉型風險衡量</w:t>
      </w:r>
    </w:p>
    <w:p w14:paraId="2B704037" w14:textId="534D85BC" w:rsidR="00455C4C" w:rsidRPr="00471175" w:rsidRDefault="00455C4C" w:rsidP="00455C4C">
      <w:pPr>
        <w:widowControl/>
        <w:spacing w:before="0" w:after="0" w:line="240" w:lineRule="auto"/>
        <w:ind w:leftChars="295" w:left="991" w:hangingChars="118" w:hanging="283"/>
      </w:pPr>
      <w:r w:rsidRPr="00471175">
        <w:t>1.</w:t>
      </w:r>
      <w:r w:rsidRPr="00471175">
        <w:t>由全球各國中央銀行及金融監理機關所組成的「綠色金融體系網路（</w:t>
      </w:r>
      <w:r w:rsidRPr="00471175">
        <w:t>The Network for Greening the Financial System</w:t>
      </w:r>
      <w:r w:rsidRPr="00471175">
        <w:t>，</w:t>
      </w:r>
      <w:r w:rsidRPr="00471175">
        <w:t>NGFS</w:t>
      </w:r>
      <w:r w:rsidRPr="00471175">
        <w:t>）」於</w:t>
      </w:r>
      <w:r w:rsidRPr="00471175">
        <w:t>2020</w:t>
      </w:r>
      <w:r w:rsidRPr="00471175">
        <w:t>年依據實體風險和轉型風險的高低劃分了三大類情境，分別是有序轉型</w:t>
      </w:r>
      <w:r w:rsidRPr="00471175">
        <w:t>(Orderly)</w:t>
      </w:r>
      <w:r w:rsidRPr="00471175">
        <w:t>、失序轉型</w:t>
      </w:r>
      <w:r w:rsidRPr="00471175">
        <w:t>(Disorderly)</w:t>
      </w:r>
      <w:r w:rsidRPr="00471175">
        <w:t>和全球暖化失控</w:t>
      </w:r>
      <w:r w:rsidRPr="00471175">
        <w:t>(Hot house world)</w:t>
      </w:r>
      <w:r w:rsidRPr="00471175">
        <w:t>，</w:t>
      </w:r>
      <w:r w:rsidRPr="00471175">
        <w:t>2022</w:t>
      </w:r>
      <w:r w:rsidRPr="00471175">
        <w:t>年</w:t>
      </w:r>
      <w:r w:rsidRPr="00471175">
        <w:t>9</w:t>
      </w:r>
      <w:r w:rsidRPr="00471175">
        <w:t>月版本，再細分為六種氣候變遷情境，由氣候科學家、能源專家與經濟學建模專家共同研發，並結合全球各國淨零排放的承諾，提出氣候變遷之情境分析，目的是希望能將氣候變遷對金融機構的衝擊情境標準化。從</w:t>
      </w:r>
      <w:r w:rsidRPr="00471175">
        <w:t>NGFS</w:t>
      </w:r>
      <w:r w:rsidRPr="00471175">
        <w:t>所設定的情境可發現實體風險與轉型風險有著反向的關係，當政府沒有對於氣候風險採取積極的作為，企業就不需要負擔製程轉型帶來的成本，但氣候變遷帶來的實體損失將會更加嚴峻。</w:t>
      </w:r>
      <w:r w:rsidR="00EA4E3C" w:rsidRPr="008178A1">
        <w:rPr>
          <w:rFonts w:eastAsia="新細明體"/>
          <w:color w:val="0070C0"/>
          <w:sz w:val="16"/>
          <w:szCs w:val="16"/>
        </w:rPr>
        <w:t>【</w:t>
      </w:r>
      <w:r w:rsidR="00EA4E3C" w:rsidRPr="008178A1">
        <w:rPr>
          <w:rFonts w:eastAsia="新細明體"/>
          <w:color w:val="0070C0"/>
          <w:sz w:val="16"/>
          <w:szCs w:val="16"/>
        </w:rPr>
        <w:t>S.</w:t>
      </w:r>
      <w:r w:rsidR="00EA4E3C">
        <w:rPr>
          <w:rFonts w:eastAsia="新細明體"/>
          <w:color w:val="0070C0"/>
          <w:sz w:val="16"/>
          <w:szCs w:val="16"/>
        </w:rPr>
        <w:t>3.</w:t>
      </w:r>
      <w:r w:rsidR="00EA4E3C" w:rsidRPr="008178A1">
        <w:rPr>
          <w:rFonts w:eastAsia="新細明體"/>
          <w:color w:val="0070C0"/>
          <w:sz w:val="16"/>
          <w:szCs w:val="16"/>
        </w:rPr>
        <w:t>(</w:t>
      </w:r>
      <w:r w:rsidR="00EA4E3C">
        <w:rPr>
          <w:rFonts w:eastAsia="新細明體"/>
          <w:color w:val="0070C0"/>
          <w:sz w:val="16"/>
          <w:szCs w:val="16"/>
        </w:rPr>
        <w:t>2</w:t>
      </w:r>
      <w:r w:rsidR="00EA4E3C" w:rsidRPr="008178A1">
        <w:rPr>
          <w:rFonts w:eastAsia="新細明體"/>
          <w:color w:val="0070C0"/>
          <w:sz w:val="16"/>
          <w:szCs w:val="16"/>
        </w:rPr>
        <w:t>)</w:t>
      </w:r>
      <w:r w:rsidR="00EA4E3C" w:rsidRPr="008178A1">
        <w:rPr>
          <w:rFonts w:eastAsia="新細明體"/>
          <w:color w:val="0070C0"/>
          <w:sz w:val="16"/>
          <w:szCs w:val="16"/>
        </w:rPr>
        <w:t>】</w:t>
      </w:r>
    </w:p>
    <w:p w14:paraId="0C5C5A4C" w14:textId="50575328" w:rsidR="00455C4C" w:rsidRDefault="00455C4C" w:rsidP="0071503A">
      <w:pPr>
        <w:widowControl/>
        <w:spacing w:before="0" w:after="0" w:line="240" w:lineRule="auto"/>
        <w:ind w:leftChars="-295" w:rightChars="-373" w:right="-895" w:hangingChars="295" w:hanging="708"/>
        <w:jc w:val="center"/>
      </w:pPr>
      <w:r w:rsidRPr="00471175">
        <w:rPr>
          <w:noProof/>
        </w:rPr>
        <w:lastRenderedPageBreak/>
        <w:drawing>
          <wp:inline distT="0" distB="0" distL="0" distR="0" wp14:anchorId="0F7B81E9" wp14:editId="24D63988">
            <wp:extent cx="5973444" cy="3467100"/>
            <wp:effectExtent l="0" t="0" r="8890" b="0"/>
            <wp:docPr id="137297860" name="圖片 12" descr="一張含有 文字, 螢幕擷取畫面, 數字, 平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7860" name="圖片 12" descr="一張含有 文字, 螢幕擷取畫面, 數字, 平行 的圖片&#10;&#10;自動產生的描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2838" cy="3484161"/>
                    </a:xfrm>
                    <a:prstGeom prst="rect">
                      <a:avLst/>
                    </a:prstGeom>
                    <a:noFill/>
                    <a:ln>
                      <a:noFill/>
                    </a:ln>
                  </pic:spPr>
                </pic:pic>
              </a:graphicData>
            </a:graphic>
          </wp:inline>
        </w:drawing>
      </w:r>
    </w:p>
    <w:p w14:paraId="09ECB00F" w14:textId="77777777" w:rsidR="00250C10" w:rsidRPr="00471175" w:rsidRDefault="00250C10" w:rsidP="0071503A">
      <w:pPr>
        <w:widowControl/>
        <w:spacing w:before="0" w:after="0" w:line="240" w:lineRule="auto"/>
        <w:ind w:leftChars="-295" w:rightChars="-373" w:right="-895" w:hangingChars="295" w:hanging="708"/>
        <w:jc w:val="center"/>
      </w:pPr>
    </w:p>
    <w:p w14:paraId="4E00C0B1" w14:textId="77777777" w:rsidR="00455C4C" w:rsidRDefault="00455C4C" w:rsidP="00EA4E3C">
      <w:pPr>
        <w:widowControl/>
        <w:spacing w:before="0" w:afterLines="50" w:after="180" w:line="240" w:lineRule="auto"/>
        <w:jc w:val="center"/>
      </w:pPr>
      <w:r w:rsidRPr="00471175">
        <w:rPr>
          <w:noProof/>
        </w:rPr>
        <w:drawing>
          <wp:inline distT="0" distB="0" distL="0" distR="0" wp14:anchorId="23ECF014" wp14:editId="17E97B38">
            <wp:extent cx="4559738" cy="3829050"/>
            <wp:effectExtent l="0" t="0" r="0" b="0"/>
            <wp:docPr id="180847598" name="圖片 11" descr="一張含有 文字, 螢幕擷取畫面, 字型, 圖表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7598" name="圖片 11" descr="一張含有 文字, 螢幕擷取畫面, 字型, 圖表 的圖片&#10;&#10;自動產生的描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5943" cy="3851055"/>
                    </a:xfrm>
                    <a:prstGeom prst="rect">
                      <a:avLst/>
                    </a:prstGeom>
                    <a:noFill/>
                    <a:ln>
                      <a:noFill/>
                    </a:ln>
                  </pic:spPr>
                </pic:pic>
              </a:graphicData>
            </a:graphic>
          </wp:inline>
        </w:drawing>
      </w:r>
    </w:p>
    <w:p w14:paraId="003690F0" w14:textId="1514046E" w:rsidR="00142874" w:rsidRDefault="00142874">
      <w:pPr>
        <w:widowControl/>
        <w:spacing w:before="0" w:after="0" w:line="240" w:lineRule="auto"/>
      </w:pPr>
      <w:r>
        <w:br w:type="page"/>
      </w:r>
    </w:p>
    <w:p w14:paraId="0DED3127" w14:textId="2D1D6941" w:rsidR="00250C10" w:rsidRDefault="00455C4C" w:rsidP="00142874">
      <w:pPr>
        <w:widowControl/>
        <w:spacing w:before="0" w:afterLines="50" w:after="180" w:line="0" w:lineRule="atLeast"/>
        <w:ind w:leftChars="295" w:left="991" w:rightChars="-255" w:right="-612" w:hangingChars="118" w:hanging="283"/>
        <w:rPr>
          <w:rFonts w:eastAsia="新細明體"/>
          <w:color w:val="0070C0"/>
          <w:sz w:val="16"/>
          <w:szCs w:val="16"/>
        </w:rPr>
      </w:pPr>
      <w:r w:rsidRPr="00471175">
        <w:lastRenderedPageBreak/>
        <w:t>2.</w:t>
      </w:r>
      <w:r w:rsidRPr="00471175">
        <w:t>情境分析：根據</w:t>
      </w:r>
      <w:r w:rsidRPr="00471175">
        <w:t>NGFS</w:t>
      </w:r>
      <w:r w:rsidRPr="00471175">
        <w:t>的架構，Ａ投信擇其中三種不同的氣候變遷情境進行評估。</w:t>
      </w:r>
      <w:r w:rsidR="006108EA" w:rsidRPr="008178A1">
        <w:rPr>
          <w:rFonts w:eastAsia="新細明體"/>
          <w:color w:val="0070C0"/>
          <w:sz w:val="16"/>
          <w:szCs w:val="16"/>
        </w:rPr>
        <w:t>【</w:t>
      </w:r>
      <w:r w:rsidR="006108EA" w:rsidRPr="008178A1">
        <w:rPr>
          <w:rFonts w:eastAsia="新細明體"/>
          <w:color w:val="0070C0"/>
          <w:sz w:val="16"/>
          <w:szCs w:val="16"/>
        </w:rPr>
        <w:t>S.</w:t>
      </w:r>
      <w:r w:rsidR="00EA4E3C">
        <w:rPr>
          <w:rFonts w:eastAsia="新細明體"/>
          <w:color w:val="0070C0"/>
          <w:sz w:val="16"/>
          <w:szCs w:val="16"/>
        </w:rPr>
        <w:t>3</w:t>
      </w:r>
      <w:r w:rsidR="006108EA">
        <w:rPr>
          <w:rFonts w:eastAsia="新細明體"/>
          <w:color w:val="0070C0"/>
          <w:sz w:val="16"/>
          <w:szCs w:val="16"/>
        </w:rPr>
        <w:t>.</w:t>
      </w:r>
      <w:r w:rsidR="006108EA" w:rsidRPr="008178A1">
        <w:rPr>
          <w:rFonts w:eastAsia="新細明體"/>
          <w:color w:val="0070C0"/>
          <w:sz w:val="16"/>
          <w:szCs w:val="16"/>
        </w:rPr>
        <w:t>(</w:t>
      </w:r>
      <w:r w:rsidR="00EA4E3C">
        <w:rPr>
          <w:rFonts w:eastAsia="新細明體"/>
          <w:color w:val="0070C0"/>
          <w:sz w:val="16"/>
          <w:szCs w:val="16"/>
        </w:rPr>
        <w:t>2</w:t>
      </w:r>
      <w:r w:rsidR="006108EA" w:rsidRPr="008178A1">
        <w:rPr>
          <w:rFonts w:eastAsia="新細明體"/>
          <w:color w:val="0070C0"/>
          <w:sz w:val="16"/>
          <w:szCs w:val="16"/>
        </w:rPr>
        <w:t>)</w:t>
      </w:r>
      <w:r w:rsidR="006108EA" w:rsidRPr="008178A1">
        <w:rPr>
          <w:rFonts w:eastAsia="新細明體"/>
          <w:color w:val="0070C0"/>
          <w:sz w:val="16"/>
          <w:szCs w:val="16"/>
        </w:rPr>
        <w:t>】</w:t>
      </w:r>
    </w:p>
    <w:tbl>
      <w:tblPr>
        <w:tblStyle w:val="4-6"/>
        <w:tblW w:w="0" w:type="auto"/>
        <w:tblInd w:w="863" w:type="dxa"/>
        <w:tblLook w:val="04A0" w:firstRow="1" w:lastRow="0" w:firstColumn="1" w:lastColumn="0" w:noHBand="0" w:noVBand="1"/>
      </w:tblPr>
      <w:tblGrid>
        <w:gridCol w:w="992"/>
        <w:gridCol w:w="4961"/>
        <w:gridCol w:w="2197"/>
      </w:tblGrid>
      <w:tr w:rsidR="00455C4C" w:rsidRPr="00471175" w14:paraId="38388E91" w14:textId="77777777" w:rsidTr="00E84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vAlign w:val="center"/>
            <w:hideMark/>
          </w:tcPr>
          <w:p w14:paraId="5F835964" w14:textId="77777777" w:rsidR="00455C4C" w:rsidRPr="00471175" w:rsidRDefault="00455C4C" w:rsidP="00947455">
            <w:pPr>
              <w:widowControl/>
              <w:spacing w:before="0" w:after="0" w:line="276" w:lineRule="auto"/>
              <w:rPr>
                <w:color w:val="auto"/>
              </w:rPr>
            </w:pPr>
            <w:r w:rsidRPr="00471175">
              <w:rPr>
                <w:color w:val="auto"/>
              </w:rPr>
              <w:t>情境</w:t>
            </w:r>
            <w:r w:rsidRPr="00471175">
              <w:rPr>
                <w:color w:val="auto"/>
              </w:rPr>
              <w:t>1</w:t>
            </w:r>
          </w:p>
        </w:tc>
        <w:tc>
          <w:tcPr>
            <w:tcW w:w="4961" w:type="dxa"/>
            <w:hideMark/>
          </w:tcPr>
          <w:p w14:paraId="4D094252" w14:textId="77777777" w:rsidR="00455C4C" w:rsidRPr="00471175" w:rsidRDefault="00455C4C" w:rsidP="00947455">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sidRPr="00471175">
              <w:rPr>
                <w:rFonts w:ascii="Times New Roman" w:hAnsi="Times New Roman" w:cs="Times New Roman"/>
                <w:b w:val="0"/>
                <w:bCs w:val="0"/>
                <w:color w:val="auto"/>
              </w:rPr>
              <w:t>高度排放情境，升溫</w:t>
            </w:r>
            <w:r w:rsidRPr="00471175">
              <w:rPr>
                <w:rFonts w:ascii="Times New Roman" w:hAnsi="Times New Roman" w:cs="Times New Roman"/>
                <w:b w:val="0"/>
                <w:bCs w:val="0"/>
                <w:color w:val="auto"/>
              </w:rPr>
              <w:t xml:space="preserve">3°C </w:t>
            </w:r>
            <w:r w:rsidRPr="00471175">
              <w:rPr>
                <w:rFonts w:ascii="Times New Roman" w:hAnsi="Times New Roman" w:cs="Times New Roman"/>
                <w:b w:val="0"/>
                <w:bCs w:val="0"/>
                <w:color w:val="auto"/>
              </w:rPr>
              <w:t>以上</w:t>
            </w:r>
            <w:r w:rsidRPr="00471175">
              <w:rPr>
                <w:rFonts w:ascii="Times New Roman" w:hAnsi="Times New Roman" w:cs="Times New Roman"/>
                <w:b w:val="0"/>
                <w:bCs w:val="0"/>
                <w:color w:val="auto"/>
              </w:rPr>
              <w:t xml:space="preserve"> </w:t>
            </w:r>
          </w:p>
          <w:p w14:paraId="77421A54" w14:textId="77777777" w:rsidR="00455C4C" w:rsidRPr="00471175" w:rsidRDefault="00455C4C" w:rsidP="00947455">
            <w:pPr>
              <w:widowControl/>
              <w:spacing w:before="0" w:after="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471175">
              <w:rPr>
                <w:b w:val="0"/>
                <w:bCs w:val="0"/>
                <w:color w:val="auto"/>
              </w:rPr>
              <w:t>(</w:t>
            </w:r>
            <w:r w:rsidRPr="00471175">
              <w:rPr>
                <w:b w:val="0"/>
                <w:bCs w:val="0"/>
                <w:color w:val="auto"/>
              </w:rPr>
              <w:t>除各國現行政策之外，無新增減碳行為</w:t>
            </w:r>
            <w:r w:rsidRPr="00471175">
              <w:rPr>
                <w:b w:val="0"/>
                <w:bCs w:val="0"/>
                <w:color w:val="auto"/>
              </w:rPr>
              <w:t xml:space="preserve">) </w:t>
            </w:r>
          </w:p>
        </w:tc>
        <w:tc>
          <w:tcPr>
            <w:tcW w:w="2197" w:type="dxa"/>
            <w:hideMark/>
          </w:tcPr>
          <w:p w14:paraId="3DF900DA" w14:textId="77777777" w:rsidR="00455C4C" w:rsidRPr="00471175" w:rsidRDefault="00455C4C" w:rsidP="00947455">
            <w:pPr>
              <w:pStyle w:val="Defaul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sidRPr="00471175">
              <w:rPr>
                <w:rFonts w:ascii="Times New Roman" w:hAnsi="Times New Roman" w:cs="Times New Roman"/>
                <w:b w:val="0"/>
                <w:bCs w:val="0"/>
                <w:color w:val="auto"/>
              </w:rPr>
              <w:t>全球碳價：</w:t>
            </w:r>
            <w:r w:rsidRPr="00471175">
              <w:rPr>
                <w:rFonts w:ascii="Times New Roman" w:hAnsi="Times New Roman" w:cs="Times New Roman"/>
                <w:b w:val="0"/>
                <w:bCs w:val="0"/>
                <w:color w:val="auto"/>
              </w:rPr>
              <w:t xml:space="preserve"> </w:t>
            </w:r>
          </w:p>
          <w:p w14:paraId="14A27A3F" w14:textId="77777777" w:rsidR="00455C4C" w:rsidRPr="00471175" w:rsidRDefault="00455C4C" w:rsidP="00947455">
            <w:pPr>
              <w:widowControl/>
              <w:spacing w:before="0" w:after="0" w:line="276"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471175">
              <w:rPr>
                <w:b w:val="0"/>
                <w:bCs w:val="0"/>
                <w:color w:val="auto"/>
              </w:rPr>
              <w:t>每噸</w:t>
            </w:r>
            <w:r w:rsidRPr="00471175">
              <w:rPr>
                <w:b w:val="0"/>
                <w:bCs w:val="0"/>
                <w:color w:val="auto"/>
              </w:rPr>
              <w:t xml:space="preserve">2.63 </w:t>
            </w:r>
            <w:r w:rsidRPr="00471175">
              <w:rPr>
                <w:b w:val="0"/>
                <w:bCs w:val="0"/>
                <w:color w:val="auto"/>
              </w:rPr>
              <w:t>美元</w:t>
            </w:r>
            <w:r w:rsidRPr="00471175">
              <w:rPr>
                <w:b w:val="0"/>
                <w:bCs w:val="0"/>
                <w:color w:val="auto"/>
              </w:rPr>
              <w:t xml:space="preserve"> </w:t>
            </w:r>
          </w:p>
        </w:tc>
      </w:tr>
      <w:tr w:rsidR="00455C4C" w:rsidRPr="00471175" w14:paraId="5D48031B" w14:textId="77777777" w:rsidTr="00E8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vAlign w:val="center"/>
            <w:hideMark/>
          </w:tcPr>
          <w:p w14:paraId="6CC215AF" w14:textId="77777777" w:rsidR="00455C4C" w:rsidRPr="00471175" w:rsidRDefault="00455C4C" w:rsidP="00947455">
            <w:pPr>
              <w:widowControl/>
              <w:spacing w:before="0" w:after="0" w:line="276" w:lineRule="auto"/>
            </w:pPr>
            <w:r w:rsidRPr="00471175">
              <w:t>情境</w:t>
            </w:r>
            <w:r w:rsidRPr="00471175">
              <w:t>2</w:t>
            </w:r>
          </w:p>
        </w:tc>
        <w:tc>
          <w:tcPr>
            <w:tcW w:w="4961" w:type="dxa"/>
            <w:hideMark/>
          </w:tcPr>
          <w:p w14:paraId="6CC6BF93" w14:textId="77777777" w:rsidR="00455C4C" w:rsidRPr="00471175" w:rsidRDefault="00455C4C" w:rsidP="00947455">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中度排放情境，升溫約</w:t>
            </w:r>
            <w:r w:rsidRPr="00471175">
              <w:rPr>
                <w:rFonts w:ascii="Times New Roman" w:hAnsi="Times New Roman" w:cs="Times New Roman"/>
                <w:color w:val="auto"/>
              </w:rPr>
              <w:t xml:space="preserve">1.6°C </w:t>
            </w:r>
          </w:p>
          <w:p w14:paraId="1FB064EA" w14:textId="77777777" w:rsidR="00455C4C" w:rsidRPr="00471175" w:rsidRDefault="00455C4C" w:rsidP="00947455">
            <w:pPr>
              <w:widowControl/>
              <w:spacing w:before="0" w:after="0" w:line="276" w:lineRule="auto"/>
              <w:cnfStyle w:val="000000100000" w:firstRow="0" w:lastRow="0" w:firstColumn="0" w:lastColumn="0" w:oddVBand="0" w:evenVBand="0" w:oddHBand="1" w:evenHBand="0" w:firstRowFirstColumn="0" w:firstRowLastColumn="0" w:lastRowFirstColumn="0" w:lastRowLastColumn="0"/>
            </w:pPr>
            <w:r w:rsidRPr="00471175">
              <w:t>(</w:t>
            </w:r>
            <w:r w:rsidRPr="00471175">
              <w:t>於</w:t>
            </w:r>
            <w:r w:rsidRPr="00471175">
              <w:t>2030</w:t>
            </w:r>
            <w:r w:rsidRPr="00471175">
              <w:t>年以前，各國無積極進行低碳轉型之行為，但仍追求升溫幅度小於</w:t>
            </w:r>
            <w:r w:rsidRPr="00471175">
              <w:t xml:space="preserve">2°C) </w:t>
            </w:r>
          </w:p>
        </w:tc>
        <w:tc>
          <w:tcPr>
            <w:tcW w:w="2197" w:type="dxa"/>
            <w:hideMark/>
          </w:tcPr>
          <w:p w14:paraId="4D1C17E2" w14:textId="77777777" w:rsidR="00455C4C" w:rsidRPr="00471175" w:rsidRDefault="00455C4C" w:rsidP="00947455">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全球碳價格：</w:t>
            </w:r>
            <w:r w:rsidRPr="00471175">
              <w:rPr>
                <w:rFonts w:ascii="Times New Roman" w:hAnsi="Times New Roman" w:cs="Times New Roman"/>
                <w:color w:val="auto"/>
              </w:rPr>
              <w:t xml:space="preserve"> </w:t>
            </w:r>
          </w:p>
          <w:p w14:paraId="49CD1FC1" w14:textId="77777777" w:rsidR="00455C4C" w:rsidRPr="00471175" w:rsidRDefault="00455C4C" w:rsidP="00947455">
            <w:pPr>
              <w:widowControl/>
              <w:spacing w:before="0" w:after="0" w:line="276" w:lineRule="auto"/>
              <w:cnfStyle w:val="000000100000" w:firstRow="0" w:lastRow="0" w:firstColumn="0" w:lastColumn="0" w:oddVBand="0" w:evenVBand="0" w:oddHBand="1" w:evenHBand="0" w:firstRowFirstColumn="0" w:firstRowLastColumn="0" w:lastRowFirstColumn="0" w:lastRowLastColumn="0"/>
            </w:pPr>
            <w:r w:rsidRPr="00471175">
              <w:t>每噸</w:t>
            </w:r>
            <w:r w:rsidRPr="00471175">
              <w:t xml:space="preserve">231.86 </w:t>
            </w:r>
            <w:r w:rsidRPr="00471175">
              <w:t>美元</w:t>
            </w:r>
            <w:r w:rsidRPr="00471175">
              <w:t xml:space="preserve"> </w:t>
            </w:r>
          </w:p>
        </w:tc>
      </w:tr>
      <w:tr w:rsidR="00455C4C" w:rsidRPr="00471175" w14:paraId="65939C06" w14:textId="77777777" w:rsidTr="00E84163">
        <w:tc>
          <w:tcPr>
            <w:cnfStyle w:val="001000000000" w:firstRow="0" w:lastRow="0" w:firstColumn="1" w:lastColumn="0" w:oddVBand="0" w:evenVBand="0" w:oddHBand="0" w:evenHBand="0" w:firstRowFirstColumn="0" w:firstRowLastColumn="0" w:lastRowFirstColumn="0" w:lastRowLastColumn="0"/>
            <w:tcW w:w="992" w:type="dxa"/>
            <w:shd w:val="clear" w:color="auto" w:fill="C5E0B3" w:themeFill="accent6" w:themeFillTint="66"/>
            <w:vAlign w:val="center"/>
            <w:hideMark/>
          </w:tcPr>
          <w:p w14:paraId="2EAC1467" w14:textId="77777777" w:rsidR="00455C4C" w:rsidRPr="00471175" w:rsidRDefault="00455C4C" w:rsidP="00947455">
            <w:pPr>
              <w:widowControl/>
              <w:spacing w:before="0" w:after="0" w:line="276" w:lineRule="auto"/>
            </w:pPr>
            <w:r w:rsidRPr="00471175">
              <w:t>情境</w:t>
            </w:r>
            <w:r w:rsidRPr="00471175">
              <w:t>3</w:t>
            </w:r>
          </w:p>
        </w:tc>
        <w:tc>
          <w:tcPr>
            <w:tcW w:w="4961" w:type="dxa"/>
            <w:shd w:val="clear" w:color="auto" w:fill="C5E0B3" w:themeFill="accent6" w:themeFillTint="66"/>
            <w:hideMark/>
          </w:tcPr>
          <w:p w14:paraId="1A9774FC" w14:textId="77777777" w:rsidR="00455C4C" w:rsidRPr="00471175" w:rsidRDefault="00455C4C" w:rsidP="00947455">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低度排放情境，升溫約</w:t>
            </w:r>
            <w:r w:rsidRPr="00471175">
              <w:rPr>
                <w:rFonts w:ascii="Times New Roman" w:hAnsi="Times New Roman" w:cs="Times New Roman"/>
                <w:color w:val="auto"/>
              </w:rPr>
              <w:t xml:space="preserve">1.4°C </w:t>
            </w:r>
          </w:p>
          <w:p w14:paraId="3F6F988D" w14:textId="77777777" w:rsidR="00455C4C" w:rsidRPr="00471175" w:rsidRDefault="00455C4C" w:rsidP="00947455">
            <w:pPr>
              <w:widowControl/>
              <w:spacing w:before="0" w:after="0" w:line="276" w:lineRule="auto"/>
              <w:cnfStyle w:val="000000000000" w:firstRow="0" w:lastRow="0" w:firstColumn="0" w:lastColumn="0" w:oddVBand="0" w:evenVBand="0" w:oddHBand="0" w:evenHBand="0" w:firstRowFirstColumn="0" w:firstRowLastColumn="0" w:lastRowFirstColumn="0" w:lastRowLastColumn="0"/>
            </w:pPr>
            <w:r w:rsidRPr="00471175">
              <w:t>(2050</w:t>
            </w:r>
            <w:r w:rsidRPr="00471175">
              <w:t>年，全球達到淨零排放之目標</w:t>
            </w:r>
            <w:r w:rsidRPr="00471175">
              <w:t xml:space="preserve">) </w:t>
            </w:r>
          </w:p>
        </w:tc>
        <w:tc>
          <w:tcPr>
            <w:tcW w:w="2197" w:type="dxa"/>
            <w:shd w:val="clear" w:color="auto" w:fill="C5E0B3" w:themeFill="accent6" w:themeFillTint="66"/>
            <w:hideMark/>
          </w:tcPr>
          <w:p w14:paraId="373C2B1F" w14:textId="77777777" w:rsidR="00455C4C" w:rsidRPr="00471175" w:rsidRDefault="00455C4C" w:rsidP="00947455">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71175">
              <w:rPr>
                <w:rFonts w:ascii="Times New Roman" w:hAnsi="Times New Roman" w:cs="Times New Roman"/>
                <w:color w:val="auto"/>
              </w:rPr>
              <w:t>全球碳價格：</w:t>
            </w:r>
            <w:r w:rsidRPr="00471175">
              <w:rPr>
                <w:rFonts w:ascii="Times New Roman" w:hAnsi="Times New Roman" w:cs="Times New Roman"/>
                <w:color w:val="auto"/>
              </w:rPr>
              <w:t xml:space="preserve"> </w:t>
            </w:r>
          </w:p>
          <w:p w14:paraId="1A4F0C32" w14:textId="77777777" w:rsidR="00455C4C" w:rsidRPr="00471175" w:rsidRDefault="00455C4C" w:rsidP="00947455">
            <w:pPr>
              <w:widowControl/>
              <w:spacing w:before="0" w:after="0" w:line="276" w:lineRule="auto"/>
              <w:cnfStyle w:val="000000000000" w:firstRow="0" w:lastRow="0" w:firstColumn="0" w:lastColumn="0" w:oddVBand="0" w:evenVBand="0" w:oddHBand="0" w:evenHBand="0" w:firstRowFirstColumn="0" w:firstRowLastColumn="0" w:lastRowFirstColumn="0" w:lastRowLastColumn="0"/>
            </w:pPr>
            <w:r w:rsidRPr="00471175">
              <w:t>每噸</w:t>
            </w:r>
            <w:r w:rsidRPr="00471175">
              <w:t xml:space="preserve">268.13 </w:t>
            </w:r>
            <w:r w:rsidRPr="00471175">
              <w:t>美元</w:t>
            </w:r>
            <w:r w:rsidRPr="00471175">
              <w:t xml:space="preserve"> </w:t>
            </w:r>
          </w:p>
        </w:tc>
      </w:tr>
    </w:tbl>
    <w:p w14:paraId="6AD5856B" w14:textId="77777777" w:rsidR="00455C4C" w:rsidRPr="00471175" w:rsidRDefault="00455C4C" w:rsidP="00455C4C">
      <w:pPr>
        <w:widowControl/>
        <w:spacing w:before="0" w:afterLines="50" w:after="180" w:line="240" w:lineRule="auto"/>
        <w:ind w:firstLineChars="551" w:firstLine="992"/>
        <w:rPr>
          <w:sz w:val="23"/>
          <w:szCs w:val="23"/>
        </w:rPr>
      </w:pPr>
      <w:r w:rsidRPr="00471175">
        <w:rPr>
          <w:sz w:val="18"/>
          <w:szCs w:val="18"/>
        </w:rPr>
        <w:t>註：</w:t>
      </w:r>
      <w:r w:rsidRPr="00471175">
        <w:rPr>
          <w:sz w:val="16"/>
          <w:szCs w:val="16"/>
        </w:rPr>
        <w:t>碳價格係參考</w:t>
      </w:r>
      <w:r w:rsidRPr="00471175">
        <w:rPr>
          <w:sz w:val="16"/>
          <w:szCs w:val="16"/>
        </w:rPr>
        <w:t>NGFS</w:t>
      </w:r>
      <w:r w:rsidRPr="00471175">
        <w:rPr>
          <w:sz w:val="16"/>
          <w:szCs w:val="16"/>
        </w:rPr>
        <w:t>所發布之情境參數，採用</w:t>
      </w:r>
      <w:r w:rsidRPr="00471175">
        <w:rPr>
          <w:sz w:val="16"/>
          <w:szCs w:val="16"/>
        </w:rPr>
        <w:t>REMIND-MAgPIE2.1-4.2</w:t>
      </w:r>
      <w:r w:rsidRPr="00471175">
        <w:rPr>
          <w:sz w:val="16"/>
          <w:szCs w:val="16"/>
        </w:rPr>
        <w:t>模型於全球</w:t>
      </w:r>
      <w:r w:rsidRPr="00471175">
        <w:rPr>
          <w:sz w:val="16"/>
          <w:szCs w:val="16"/>
        </w:rPr>
        <w:t>2035</w:t>
      </w:r>
      <w:r w:rsidRPr="00471175">
        <w:rPr>
          <w:sz w:val="16"/>
          <w:szCs w:val="16"/>
        </w:rPr>
        <w:t>年假設的碳價格。</w:t>
      </w:r>
      <w:r w:rsidRPr="00471175">
        <w:rPr>
          <w:sz w:val="23"/>
          <w:szCs w:val="23"/>
        </w:rPr>
        <w:t xml:space="preserve"> </w:t>
      </w:r>
    </w:p>
    <w:p w14:paraId="1C6C41A6" w14:textId="6EF0F022" w:rsidR="00455C4C" w:rsidRPr="00471175" w:rsidRDefault="00455C4C" w:rsidP="00455C4C">
      <w:pPr>
        <w:widowControl/>
        <w:spacing w:before="0" w:afterLines="50" w:after="180" w:line="240" w:lineRule="auto"/>
        <w:ind w:leftChars="413" w:left="991" w:firstLineChars="246" w:firstLine="590"/>
      </w:pPr>
      <w:r w:rsidRPr="00471175">
        <w:t>A</w:t>
      </w:r>
      <w:r w:rsidRPr="00471175">
        <w:t>投信對所持有的投資組合進行全面性檢視及情境分析，以瞭解在不同轉型政策下，與氣候相關風險對業務、策略及財務規劃上的衝擊。轉型風險的情境分析所採用時間範圍係</w:t>
      </w:r>
      <w:r w:rsidRPr="00471175">
        <w:t>2023</w:t>
      </w:r>
      <w:r w:rsidRPr="00471175">
        <w:t>年至</w:t>
      </w:r>
      <w:r w:rsidRPr="00471175">
        <w:t>2050</w:t>
      </w:r>
      <w:r w:rsidRPr="00471175">
        <w:t>年，以掌握低碳轉型期間之市場趨勢。此情境分析的評估方法係依據</w:t>
      </w:r>
      <w:r w:rsidRPr="00471175">
        <w:t>PCAF</w:t>
      </w:r>
      <w:r w:rsidRPr="00471175">
        <w:t>方法學，統計溫室氣體排放總碳量，並搭配</w:t>
      </w:r>
      <w:r w:rsidRPr="00471175">
        <w:t>NGFS</w:t>
      </w:r>
      <w:r w:rsidRPr="00471175">
        <w:t>假設的碳價格，來模擬排放成本（計算方式：</w:t>
      </w:r>
      <w:r w:rsidR="00D53543" w:rsidRPr="00D53543">
        <w:rPr>
          <w:rFonts w:hint="eastAsia"/>
        </w:rPr>
        <w:t>範疇</w:t>
      </w:r>
      <w:r w:rsidR="00D53543">
        <w:rPr>
          <w:rFonts w:hint="eastAsia"/>
        </w:rPr>
        <w:t>一</w:t>
      </w:r>
      <w:r w:rsidRPr="00471175">
        <w:t>與</w:t>
      </w:r>
      <w:r w:rsidR="00D53543" w:rsidRPr="00D53543">
        <w:rPr>
          <w:rFonts w:hint="eastAsia"/>
        </w:rPr>
        <w:t>範疇</w:t>
      </w:r>
      <w:r w:rsidR="00D53543">
        <w:rPr>
          <w:rFonts w:hint="eastAsia"/>
        </w:rPr>
        <w:t>二</w:t>
      </w:r>
      <w:r w:rsidRPr="00471175">
        <w:t>之總碳排放量</w:t>
      </w:r>
      <w:r w:rsidRPr="00471175">
        <w:t>*</w:t>
      </w:r>
      <w:r w:rsidRPr="00471175">
        <w:t>碳價格）。</w:t>
      </w:r>
    </w:p>
    <w:p w14:paraId="001F46D0" w14:textId="23EB42C7" w:rsidR="00455C4C" w:rsidRDefault="00455C4C" w:rsidP="00455C4C">
      <w:pPr>
        <w:widowControl/>
        <w:spacing w:before="0" w:afterLines="50" w:after="180" w:line="240" w:lineRule="auto"/>
        <w:ind w:leftChars="413" w:left="991" w:firstLineChars="246" w:firstLine="590"/>
      </w:pPr>
      <w:r w:rsidRPr="00471175">
        <w:t>A</w:t>
      </w:r>
      <w:r w:rsidRPr="00471175">
        <w:t>投信評估投資業務時，考量到碳排放費用會增加企業的經營成本，如碳排放費用無法轉嫁予客戶，且企業亦無足夠能力轉型為低碳產品或服務，從而導致企業喪失市場競爭力，亦損害其償債能力與獲利能力，進而影響</w:t>
      </w:r>
      <w:r w:rsidRPr="00471175">
        <w:t>A</w:t>
      </w:r>
      <w:r w:rsidRPr="00471175">
        <w:t>投信之投資決策。</w:t>
      </w:r>
      <w:r w:rsidR="000F69F9" w:rsidRPr="000F69F9">
        <w:rPr>
          <w:rFonts w:hint="eastAsia"/>
        </w:rPr>
        <w:t>因此，於低碳轉型的情境下，關於財務規劃方面亦分析對</w:t>
      </w:r>
      <w:r w:rsidR="000F69F9" w:rsidRPr="000F69F9">
        <w:rPr>
          <w:rFonts w:hint="eastAsia"/>
        </w:rPr>
        <w:t>A</w:t>
      </w:r>
      <w:r w:rsidR="000F69F9" w:rsidRPr="000F69F9">
        <w:rPr>
          <w:rFonts w:hint="eastAsia"/>
        </w:rPr>
        <w:t>投信淨值之影響，情境分析之評估結果如下表所示。</w:t>
      </w:r>
      <w:r w:rsidR="009C0D3A" w:rsidRPr="008178A1">
        <w:rPr>
          <w:rFonts w:eastAsia="新細明體"/>
          <w:color w:val="0070C0"/>
          <w:sz w:val="16"/>
          <w:szCs w:val="16"/>
        </w:rPr>
        <w:t>【</w:t>
      </w:r>
      <w:r w:rsidR="009C0D3A" w:rsidRPr="008178A1">
        <w:rPr>
          <w:rFonts w:eastAsia="新細明體"/>
          <w:color w:val="0070C0"/>
          <w:sz w:val="16"/>
          <w:szCs w:val="16"/>
        </w:rPr>
        <w:t>S.</w:t>
      </w:r>
      <w:r w:rsidR="009C0D3A">
        <w:rPr>
          <w:rFonts w:eastAsia="新細明體"/>
          <w:color w:val="0070C0"/>
          <w:sz w:val="16"/>
          <w:szCs w:val="16"/>
        </w:rPr>
        <w:t>2.</w:t>
      </w:r>
      <w:r w:rsidR="009C0D3A" w:rsidRPr="008178A1">
        <w:rPr>
          <w:rFonts w:eastAsia="新細明體"/>
          <w:color w:val="0070C0"/>
          <w:sz w:val="16"/>
          <w:szCs w:val="16"/>
        </w:rPr>
        <w:t>(</w:t>
      </w:r>
      <w:r w:rsidR="009C0D3A">
        <w:rPr>
          <w:rFonts w:eastAsia="新細明體"/>
          <w:color w:val="0070C0"/>
          <w:sz w:val="16"/>
          <w:szCs w:val="16"/>
        </w:rPr>
        <w:t>5</w:t>
      </w:r>
      <w:r w:rsidR="009C0D3A" w:rsidRPr="008178A1">
        <w:rPr>
          <w:rFonts w:eastAsia="新細明體"/>
          <w:color w:val="0070C0"/>
          <w:sz w:val="16"/>
          <w:szCs w:val="16"/>
        </w:rPr>
        <w:t>)</w:t>
      </w:r>
      <w:r w:rsidR="009C0D3A" w:rsidRPr="008178A1">
        <w:rPr>
          <w:rFonts w:eastAsia="新細明體"/>
          <w:color w:val="0070C0"/>
          <w:sz w:val="16"/>
          <w:szCs w:val="16"/>
        </w:rPr>
        <w:t>】</w:t>
      </w:r>
    </w:p>
    <w:tbl>
      <w:tblPr>
        <w:tblStyle w:val="5-6"/>
        <w:tblW w:w="0" w:type="auto"/>
        <w:tblInd w:w="982" w:type="dxa"/>
        <w:tblLook w:val="04A0" w:firstRow="1" w:lastRow="0" w:firstColumn="1" w:lastColumn="0" w:noHBand="0" w:noVBand="1"/>
      </w:tblPr>
      <w:tblGrid>
        <w:gridCol w:w="1088"/>
        <w:gridCol w:w="4111"/>
        <w:gridCol w:w="2835"/>
      </w:tblGrid>
      <w:tr w:rsidR="000F69F9" w:rsidRPr="00471175" w14:paraId="71BEF5DC" w14:textId="77777777" w:rsidTr="00DE3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4" w:type="dxa"/>
            <w:gridSpan w:val="3"/>
            <w:hideMark/>
          </w:tcPr>
          <w:p w14:paraId="1850E070" w14:textId="77777777" w:rsidR="000F69F9" w:rsidRPr="00471175" w:rsidRDefault="000F69F9" w:rsidP="00DE3063">
            <w:pPr>
              <w:widowControl/>
              <w:spacing w:before="0" w:after="0" w:line="276" w:lineRule="auto"/>
              <w:jc w:val="center"/>
            </w:pPr>
            <w:r w:rsidRPr="00471175">
              <w:t>轉型風險之情境分析結果</w:t>
            </w:r>
          </w:p>
        </w:tc>
      </w:tr>
      <w:tr w:rsidR="000F69F9" w:rsidRPr="00471175" w14:paraId="04C8ADD8" w14:textId="77777777" w:rsidTr="00DE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9" w:type="dxa"/>
            <w:gridSpan w:val="2"/>
            <w:hideMark/>
          </w:tcPr>
          <w:p w14:paraId="45EAFC92" w14:textId="77777777" w:rsidR="000F69F9" w:rsidRPr="00471175" w:rsidRDefault="000F69F9" w:rsidP="00DE3063">
            <w:pPr>
              <w:widowControl/>
              <w:spacing w:before="0" w:after="0" w:line="276" w:lineRule="auto"/>
              <w:jc w:val="center"/>
            </w:pPr>
            <w:r w:rsidRPr="00471175">
              <w:t>情境</w:t>
            </w:r>
          </w:p>
        </w:tc>
        <w:tc>
          <w:tcPr>
            <w:tcW w:w="2835" w:type="dxa"/>
            <w:shd w:val="clear" w:color="auto" w:fill="70AD47" w:themeFill="accent6"/>
            <w:hideMark/>
          </w:tcPr>
          <w:p w14:paraId="62E84C6C" w14:textId="77777777" w:rsidR="000F69F9" w:rsidRPr="00471175" w:rsidRDefault="000F69F9" w:rsidP="00DE3063">
            <w:pPr>
              <w:widowControl/>
              <w:spacing w:before="0" w:after="0" w:line="276" w:lineRule="auto"/>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471175">
              <w:rPr>
                <w:b/>
                <w:bCs/>
                <w:color w:val="FFFFFF" w:themeColor="background1"/>
              </w:rPr>
              <w:t>財務影響</w:t>
            </w:r>
          </w:p>
        </w:tc>
      </w:tr>
      <w:tr w:rsidR="000F69F9" w:rsidRPr="00471175" w14:paraId="3DF02662" w14:textId="77777777" w:rsidTr="00DE3063">
        <w:tc>
          <w:tcPr>
            <w:cnfStyle w:val="001000000000" w:firstRow="0" w:lastRow="0" w:firstColumn="1" w:lastColumn="0" w:oddVBand="0" w:evenVBand="0" w:oddHBand="0" w:evenHBand="0" w:firstRowFirstColumn="0" w:firstRowLastColumn="0" w:lastRowFirstColumn="0" w:lastRowLastColumn="0"/>
            <w:tcW w:w="1088" w:type="dxa"/>
            <w:hideMark/>
          </w:tcPr>
          <w:p w14:paraId="21C1EC72" w14:textId="77777777" w:rsidR="000F69F9" w:rsidRPr="00471175" w:rsidRDefault="000F69F9" w:rsidP="00DE3063">
            <w:pPr>
              <w:widowControl/>
              <w:spacing w:before="0" w:after="0" w:line="276" w:lineRule="auto"/>
              <w:jc w:val="center"/>
            </w:pPr>
            <w:r w:rsidRPr="00471175">
              <w:t>情境</w:t>
            </w:r>
            <w:r w:rsidRPr="00471175">
              <w:t>1</w:t>
            </w:r>
          </w:p>
        </w:tc>
        <w:tc>
          <w:tcPr>
            <w:tcW w:w="4111" w:type="dxa"/>
            <w:hideMark/>
          </w:tcPr>
          <w:p w14:paraId="27989500" w14:textId="77777777" w:rsidR="000F69F9" w:rsidRPr="00471175" w:rsidRDefault="000F69F9" w:rsidP="00DE3063">
            <w:pPr>
              <w:widowControl/>
              <w:spacing w:before="0" w:after="0" w:line="276" w:lineRule="auto"/>
              <w:jc w:val="center"/>
              <w:cnfStyle w:val="000000000000" w:firstRow="0" w:lastRow="0" w:firstColumn="0" w:lastColumn="0" w:oddVBand="0" w:evenVBand="0" w:oddHBand="0" w:evenHBand="0" w:firstRowFirstColumn="0" w:firstRowLastColumn="0" w:lastRowFirstColumn="0" w:lastRowLastColumn="0"/>
            </w:pPr>
            <w:r w:rsidRPr="00471175">
              <w:t>高度排放情境</w:t>
            </w:r>
            <w:r w:rsidRPr="00471175">
              <w:t xml:space="preserve">  </w:t>
            </w:r>
            <w:r w:rsidRPr="00471175">
              <w:t>升溫</w:t>
            </w:r>
            <w:r w:rsidRPr="00471175">
              <w:t>3°C</w:t>
            </w:r>
            <w:r w:rsidRPr="00471175">
              <w:t>以上</w:t>
            </w:r>
          </w:p>
        </w:tc>
        <w:tc>
          <w:tcPr>
            <w:tcW w:w="2835" w:type="dxa"/>
            <w:hideMark/>
          </w:tcPr>
          <w:p w14:paraId="2398F4B2" w14:textId="77777777" w:rsidR="000F69F9" w:rsidRPr="00471175" w:rsidRDefault="000F69F9" w:rsidP="00DE3063">
            <w:pPr>
              <w:widowControl/>
              <w:spacing w:before="0" w:after="0" w:line="276" w:lineRule="auto"/>
              <w:jc w:val="center"/>
              <w:cnfStyle w:val="000000000000" w:firstRow="0" w:lastRow="0" w:firstColumn="0" w:lastColumn="0" w:oddVBand="0" w:evenVBand="0" w:oddHBand="0" w:evenHBand="0" w:firstRowFirstColumn="0" w:firstRowLastColumn="0" w:lastRowFirstColumn="0" w:lastRowLastColumn="0"/>
            </w:pPr>
            <w:r w:rsidRPr="00ED420C">
              <w:rPr>
                <w:rFonts w:hint="eastAsia"/>
              </w:rPr>
              <w:t>淨值減少約</w:t>
            </w:r>
            <w:r w:rsidRPr="00ED420C">
              <w:rPr>
                <w:rFonts w:hint="eastAsia"/>
              </w:rPr>
              <w:t>0.0022%</w:t>
            </w:r>
          </w:p>
        </w:tc>
      </w:tr>
      <w:tr w:rsidR="000F69F9" w:rsidRPr="00471175" w14:paraId="0E92A3B9" w14:textId="77777777" w:rsidTr="00DE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 w:type="dxa"/>
            <w:hideMark/>
          </w:tcPr>
          <w:p w14:paraId="40FD4FA6" w14:textId="77777777" w:rsidR="000F69F9" w:rsidRPr="00471175" w:rsidRDefault="000F69F9" w:rsidP="00DE3063">
            <w:pPr>
              <w:widowControl/>
              <w:spacing w:before="0" w:after="0" w:line="276" w:lineRule="auto"/>
              <w:jc w:val="center"/>
            </w:pPr>
            <w:r w:rsidRPr="00471175">
              <w:t>情境</w:t>
            </w:r>
            <w:r w:rsidRPr="00471175">
              <w:t>2</w:t>
            </w:r>
          </w:p>
        </w:tc>
        <w:tc>
          <w:tcPr>
            <w:tcW w:w="4111" w:type="dxa"/>
            <w:hideMark/>
          </w:tcPr>
          <w:p w14:paraId="50E5692C" w14:textId="77777777" w:rsidR="000F69F9" w:rsidRPr="00471175" w:rsidRDefault="000F69F9" w:rsidP="00DE3063">
            <w:pPr>
              <w:widowControl/>
              <w:spacing w:before="0" w:after="0" w:line="276" w:lineRule="auto"/>
              <w:jc w:val="center"/>
              <w:cnfStyle w:val="000000100000" w:firstRow="0" w:lastRow="0" w:firstColumn="0" w:lastColumn="0" w:oddVBand="0" w:evenVBand="0" w:oddHBand="1" w:evenHBand="0" w:firstRowFirstColumn="0" w:firstRowLastColumn="0" w:lastRowFirstColumn="0" w:lastRowLastColumn="0"/>
            </w:pPr>
            <w:r w:rsidRPr="00471175">
              <w:t>中度排放情境</w:t>
            </w:r>
            <w:r w:rsidRPr="00471175">
              <w:t xml:space="preserve">  </w:t>
            </w:r>
            <w:r w:rsidRPr="00471175">
              <w:t>升溫約</w:t>
            </w:r>
            <w:r w:rsidRPr="00471175">
              <w:t>1.6°C</w:t>
            </w:r>
          </w:p>
        </w:tc>
        <w:tc>
          <w:tcPr>
            <w:tcW w:w="2835" w:type="dxa"/>
            <w:hideMark/>
          </w:tcPr>
          <w:p w14:paraId="0C009CF9" w14:textId="77777777" w:rsidR="000F69F9" w:rsidRPr="00471175" w:rsidRDefault="000F69F9" w:rsidP="00DE3063">
            <w:pPr>
              <w:widowControl/>
              <w:spacing w:before="0" w:after="0" w:line="276" w:lineRule="auto"/>
              <w:jc w:val="center"/>
              <w:cnfStyle w:val="000000100000" w:firstRow="0" w:lastRow="0" w:firstColumn="0" w:lastColumn="0" w:oddVBand="0" w:evenVBand="0" w:oddHBand="1" w:evenHBand="0" w:firstRowFirstColumn="0" w:firstRowLastColumn="0" w:lastRowFirstColumn="0" w:lastRowLastColumn="0"/>
            </w:pPr>
            <w:r w:rsidRPr="00ED420C">
              <w:rPr>
                <w:rFonts w:hint="eastAsia"/>
              </w:rPr>
              <w:t>淨值減少約</w:t>
            </w:r>
            <w:r w:rsidRPr="00ED420C">
              <w:rPr>
                <w:rFonts w:hint="eastAsia"/>
              </w:rPr>
              <w:t>0.1926%</w:t>
            </w:r>
          </w:p>
        </w:tc>
      </w:tr>
      <w:tr w:rsidR="000F69F9" w:rsidRPr="00471175" w14:paraId="2FD5F8AD" w14:textId="77777777" w:rsidTr="00DE3063">
        <w:tc>
          <w:tcPr>
            <w:cnfStyle w:val="001000000000" w:firstRow="0" w:lastRow="0" w:firstColumn="1" w:lastColumn="0" w:oddVBand="0" w:evenVBand="0" w:oddHBand="0" w:evenHBand="0" w:firstRowFirstColumn="0" w:firstRowLastColumn="0" w:lastRowFirstColumn="0" w:lastRowLastColumn="0"/>
            <w:tcW w:w="1088" w:type="dxa"/>
            <w:hideMark/>
          </w:tcPr>
          <w:p w14:paraId="2A9FAA94" w14:textId="77777777" w:rsidR="000F69F9" w:rsidRPr="00471175" w:rsidRDefault="000F69F9" w:rsidP="00DE3063">
            <w:pPr>
              <w:widowControl/>
              <w:spacing w:before="0" w:after="0" w:line="276" w:lineRule="auto"/>
              <w:jc w:val="center"/>
            </w:pPr>
            <w:r w:rsidRPr="00471175">
              <w:t>情境</w:t>
            </w:r>
            <w:r w:rsidRPr="00471175">
              <w:t>3</w:t>
            </w:r>
          </w:p>
        </w:tc>
        <w:tc>
          <w:tcPr>
            <w:tcW w:w="4111" w:type="dxa"/>
            <w:hideMark/>
          </w:tcPr>
          <w:p w14:paraId="4A5FB659" w14:textId="77777777" w:rsidR="000F69F9" w:rsidRPr="00471175" w:rsidRDefault="000F69F9" w:rsidP="00DE3063">
            <w:pPr>
              <w:widowControl/>
              <w:spacing w:before="0" w:after="0" w:line="276" w:lineRule="auto"/>
              <w:jc w:val="center"/>
              <w:cnfStyle w:val="000000000000" w:firstRow="0" w:lastRow="0" w:firstColumn="0" w:lastColumn="0" w:oddVBand="0" w:evenVBand="0" w:oddHBand="0" w:evenHBand="0" w:firstRowFirstColumn="0" w:firstRowLastColumn="0" w:lastRowFirstColumn="0" w:lastRowLastColumn="0"/>
            </w:pPr>
            <w:r w:rsidRPr="00471175">
              <w:t>低度排放情境</w:t>
            </w:r>
            <w:r w:rsidRPr="00471175">
              <w:t xml:space="preserve">  </w:t>
            </w:r>
            <w:r w:rsidRPr="00471175">
              <w:t>升溫約</w:t>
            </w:r>
            <w:r w:rsidRPr="00471175">
              <w:t>1.4°C</w:t>
            </w:r>
          </w:p>
        </w:tc>
        <w:tc>
          <w:tcPr>
            <w:tcW w:w="2835" w:type="dxa"/>
            <w:hideMark/>
          </w:tcPr>
          <w:p w14:paraId="54E35237" w14:textId="77777777" w:rsidR="000F69F9" w:rsidRPr="00471175" w:rsidRDefault="000F69F9" w:rsidP="00DE3063">
            <w:pPr>
              <w:widowControl/>
              <w:spacing w:before="0" w:after="0" w:line="276" w:lineRule="auto"/>
              <w:jc w:val="center"/>
              <w:cnfStyle w:val="000000000000" w:firstRow="0" w:lastRow="0" w:firstColumn="0" w:lastColumn="0" w:oddVBand="0" w:evenVBand="0" w:oddHBand="0" w:evenHBand="0" w:firstRowFirstColumn="0" w:firstRowLastColumn="0" w:lastRowFirstColumn="0" w:lastRowLastColumn="0"/>
            </w:pPr>
            <w:r w:rsidRPr="00ED420C">
              <w:rPr>
                <w:rFonts w:hint="eastAsia"/>
              </w:rPr>
              <w:t>淨值減少約</w:t>
            </w:r>
            <w:r w:rsidRPr="00ED420C">
              <w:rPr>
                <w:rFonts w:hint="eastAsia"/>
              </w:rPr>
              <w:t>0.2228%</w:t>
            </w:r>
          </w:p>
        </w:tc>
      </w:tr>
    </w:tbl>
    <w:p w14:paraId="47370F6B" w14:textId="77777777" w:rsidR="00947455" w:rsidRDefault="00947455" w:rsidP="00455C4C">
      <w:pPr>
        <w:widowControl/>
        <w:spacing w:before="0" w:afterLines="50" w:after="180" w:line="240" w:lineRule="auto"/>
        <w:ind w:leftChars="295" w:left="991" w:rightChars="-196" w:right="-470" w:hangingChars="118" w:hanging="283"/>
      </w:pPr>
    </w:p>
    <w:p w14:paraId="72CBD9CB" w14:textId="6109921B" w:rsidR="00455C4C" w:rsidRPr="00471175" w:rsidRDefault="00455C4C" w:rsidP="00455C4C">
      <w:pPr>
        <w:widowControl/>
        <w:spacing w:before="0" w:afterLines="50" w:after="180" w:line="240" w:lineRule="auto"/>
        <w:ind w:leftChars="295" w:left="991" w:rightChars="-196" w:right="-470" w:hangingChars="118" w:hanging="283"/>
      </w:pPr>
      <w:r w:rsidRPr="00471175">
        <w:t>3.</w:t>
      </w:r>
      <w:r w:rsidRPr="00471175">
        <w:t>因應措施：為降低轉型風險之財務影響，未來將積極採取以下行動。</w:t>
      </w:r>
      <w:r w:rsidR="00E9440F" w:rsidRPr="008178A1">
        <w:rPr>
          <w:rFonts w:eastAsia="新細明體"/>
          <w:color w:val="0070C0"/>
          <w:sz w:val="16"/>
          <w:szCs w:val="16"/>
        </w:rPr>
        <w:t>【</w:t>
      </w:r>
      <w:r w:rsidR="00E9440F" w:rsidRPr="008178A1">
        <w:rPr>
          <w:rFonts w:eastAsia="新細明體"/>
          <w:color w:val="0070C0"/>
          <w:sz w:val="16"/>
          <w:szCs w:val="16"/>
        </w:rPr>
        <w:t>S.</w:t>
      </w:r>
      <w:r w:rsidR="00E9440F">
        <w:rPr>
          <w:rFonts w:eastAsia="新細明體"/>
          <w:color w:val="0070C0"/>
          <w:sz w:val="16"/>
          <w:szCs w:val="16"/>
        </w:rPr>
        <w:t>3.</w:t>
      </w:r>
      <w:r w:rsidR="00E9440F" w:rsidRPr="008178A1">
        <w:rPr>
          <w:rFonts w:eastAsia="新細明體"/>
          <w:color w:val="0070C0"/>
          <w:sz w:val="16"/>
          <w:szCs w:val="16"/>
        </w:rPr>
        <w:t>(</w:t>
      </w:r>
      <w:r w:rsidR="00E9440F">
        <w:rPr>
          <w:rFonts w:eastAsia="新細明體"/>
          <w:color w:val="0070C0"/>
          <w:sz w:val="16"/>
          <w:szCs w:val="16"/>
        </w:rPr>
        <w:t>2</w:t>
      </w:r>
      <w:r w:rsidR="00E9440F" w:rsidRPr="008178A1">
        <w:rPr>
          <w:rFonts w:eastAsia="新細明體"/>
          <w:color w:val="0070C0"/>
          <w:sz w:val="16"/>
          <w:szCs w:val="16"/>
        </w:rPr>
        <w:t>)</w:t>
      </w:r>
      <w:r w:rsidR="00E9440F" w:rsidRPr="008178A1">
        <w:rPr>
          <w:rFonts w:eastAsia="新細明體"/>
          <w:color w:val="0070C0"/>
          <w:sz w:val="16"/>
          <w:szCs w:val="16"/>
        </w:rPr>
        <w:t>】</w:t>
      </w:r>
    </w:p>
    <w:p w14:paraId="116F2B4C" w14:textId="77777777" w:rsidR="00455C4C" w:rsidRPr="00471175" w:rsidRDefault="00455C4C" w:rsidP="00455C4C">
      <w:pPr>
        <w:pStyle w:val="a4"/>
        <w:widowControl/>
        <w:numPr>
          <w:ilvl w:val="0"/>
          <w:numId w:val="29"/>
        </w:numPr>
        <w:spacing w:beforeLines="50" w:before="180" w:afterLines="50" w:after="180" w:line="240" w:lineRule="auto"/>
        <w:ind w:leftChars="0" w:left="1276" w:hanging="283"/>
      </w:pPr>
      <w:r w:rsidRPr="00471175">
        <w:t>持續關注國內外環保及節能減碳等新趨勢及環境法規變動，強化公司氣候風險管理政策及策略。</w:t>
      </w:r>
    </w:p>
    <w:p w14:paraId="70DCC179" w14:textId="1EAC1650" w:rsidR="00455C4C" w:rsidRPr="00471175" w:rsidRDefault="00455C4C" w:rsidP="00455C4C">
      <w:pPr>
        <w:pStyle w:val="a4"/>
        <w:widowControl/>
        <w:numPr>
          <w:ilvl w:val="0"/>
          <w:numId w:val="29"/>
        </w:numPr>
        <w:spacing w:beforeLines="50" w:before="180" w:afterLines="50" w:after="180" w:line="240" w:lineRule="auto"/>
        <w:ind w:leftChars="0" w:left="1276" w:hanging="283"/>
      </w:pPr>
      <w:r w:rsidRPr="00471175">
        <w:t>訂定氣候風險之投資管理程序，涉及較高氣候相關風險之投資標的訂有審查機制。</w:t>
      </w:r>
      <w:r w:rsidR="002C27C3" w:rsidRPr="008178A1">
        <w:rPr>
          <w:rFonts w:eastAsia="新細明體"/>
          <w:color w:val="0070C0"/>
          <w:sz w:val="16"/>
          <w:szCs w:val="16"/>
        </w:rPr>
        <w:t>【</w:t>
      </w:r>
      <w:r w:rsidR="002C27C3" w:rsidRPr="008178A1">
        <w:rPr>
          <w:rFonts w:eastAsia="新細明體"/>
          <w:color w:val="0070C0"/>
          <w:sz w:val="16"/>
          <w:szCs w:val="16"/>
        </w:rPr>
        <w:t>S.</w:t>
      </w:r>
      <w:r w:rsidR="009C0D3A">
        <w:rPr>
          <w:rFonts w:eastAsia="新細明體"/>
          <w:color w:val="0070C0"/>
          <w:sz w:val="16"/>
          <w:szCs w:val="16"/>
        </w:rPr>
        <w:t>2</w:t>
      </w:r>
      <w:r w:rsidR="002C27C3">
        <w:rPr>
          <w:rFonts w:eastAsia="新細明體"/>
          <w:color w:val="0070C0"/>
          <w:sz w:val="16"/>
          <w:szCs w:val="16"/>
        </w:rPr>
        <w:t>.</w:t>
      </w:r>
      <w:r w:rsidR="002C27C3" w:rsidRPr="008178A1">
        <w:rPr>
          <w:rFonts w:eastAsia="新細明體"/>
          <w:color w:val="0070C0"/>
          <w:sz w:val="16"/>
          <w:szCs w:val="16"/>
        </w:rPr>
        <w:t>(</w:t>
      </w:r>
      <w:r w:rsidR="002C27C3">
        <w:rPr>
          <w:rFonts w:eastAsia="新細明體"/>
          <w:color w:val="0070C0"/>
          <w:sz w:val="16"/>
          <w:szCs w:val="16"/>
        </w:rPr>
        <w:t>5</w:t>
      </w:r>
      <w:r w:rsidR="002C27C3" w:rsidRPr="008178A1">
        <w:rPr>
          <w:rFonts w:eastAsia="新細明體"/>
          <w:color w:val="0070C0"/>
          <w:sz w:val="16"/>
          <w:szCs w:val="16"/>
        </w:rPr>
        <w:t>)</w:t>
      </w:r>
      <w:r w:rsidR="002C27C3" w:rsidRPr="008178A1">
        <w:rPr>
          <w:rFonts w:eastAsia="新細明體"/>
          <w:color w:val="0070C0"/>
          <w:sz w:val="16"/>
          <w:szCs w:val="16"/>
        </w:rPr>
        <w:t>】</w:t>
      </w:r>
    </w:p>
    <w:p w14:paraId="5FF72801" w14:textId="62BE1728" w:rsidR="00455C4C" w:rsidRPr="00471175" w:rsidRDefault="00455C4C" w:rsidP="00455C4C">
      <w:pPr>
        <w:pStyle w:val="a4"/>
        <w:widowControl/>
        <w:numPr>
          <w:ilvl w:val="0"/>
          <w:numId w:val="29"/>
        </w:numPr>
        <w:spacing w:beforeLines="50" w:before="180" w:afterLines="50" w:after="180" w:line="240" w:lineRule="auto"/>
        <w:ind w:leftChars="0" w:left="1276" w:hanging="283"/>
      </w:pPr>
      <w:r w:rsidRPr="00471175">
        <w:lastRenderedPageBreak/>
        <w:t>規劃投資低碳轉型計畫，計算溫室氣體排放量，並設定減碳路徑，逐年降低投資碳足跡。</w:t>
      </w:r>
      <w:r w:rsidR="00DF036A" w:rsidRPr="008178A1">
        <w:rPr>
          <w:rFonts w:eastAsia="新細明體"/>
          <w:color w:val="0070C0"/>
          <w:sz w:val="16"/>
          <w:szCs w:val="16"/>
        </w:rPr>
        <w:t>【</w:t>
      </w:r>
      <w:r w:rsidR="00DF036A" w:rsidRPr="008178A1">
        <w:rPr>
          <w:rFonts w:eastAsia="新細明體"/>
          <w:color w:val="0070C0"/>
          <w:sz w:val="16"/>
          <w:szCs w:val="16"/>
        </w:rPr>
        <w:t>S.</w:t>
      </w:r>
      <w:r w:rsidR="00DF036A">
        <w:rPr>
          <w:rFonts w:eastAsia="新細明體"/>
          <w:color w:val="0070C0"/>
          <w:sz w:val="16"/>
          <w:szCs w:val="16"/>
        </w:rPr>
        <w:t>3.</w:t>
      </w:r>
      <w:r w:rsidR="00DF036A" w:rsidRPr="008178A1">
        <w:rPr>
          <w:rFonts w:eastAsia="新細明體"/>
          <w:color w:val="0070C0"/>
          <w:sz w:val="16"/>
          <w:szCs w:val="16"/>
        </w:rPr>
        <w:t>(</w:t>
      </w:r>
      <w:r w:rsidR="00DF036A">
        <w:rPr>
          <w:rFonts w:eastAsia="新細明體"/>
          <w:color w:val="0070C0"/>
          <w:sz w:val="16"/>
          <w:szCs w:val="16"/>
        </w:rPr>
        <w:t>1</w:t>
      </w:r>
      <w:r w:rsidR="00DF036A" w:rsidRPr="008178A1">
        <w:rPr>
          <w:rFonts w:eastAsia="新細明體"/>
          <w:color w:val="0070C0"/>
          <w:sz w:val="16"/>
          <w:szCs w:val="16"/>
        </w:rPr>
        <w:t>)</w:t>
      </w:r>
      <w:r w:rsidR="00DF036A" w:rsidRPr="008178A1">
        <w:rPr>
          <w:rFonts w:eastAsia="新細明體"/>
          <w:color w:val="0070C0"/>
          <w:sz w:val="16"/>
          <w:szCs w:val="16"/>
        </w:rPr>
        <w:t>】</w:t>
      </w:r>
    </w:p>
    <w:p w14:paraId="27C6A1AE" w14:textId="60C163E3" w:rsidR="00455C4C" w:rsidRPr="00471175" w:rsidRDefault="00455C4C" w:rsidP="00161202">
      <w:pPr>
        <w:widowControl/>
        <w:spacing w:beforeLines="100" w:before="360" w:afterLines="50" w:after="180" w:line="240" w:lineRule="auto"/>
        <w:ind w:firstLineChars="59" w:firstLine="142"/>
        <w:rPr>
          <w:b/>
          <w:bCs/>
        </w:rPr>
      </w:pPr>
      <w:r w:rsidRPr="00471175">
        <w:rPr>
          <w:b/>
          <w:bCs/>
        </w:rPr>
        <w:t>(</w:t>
      </w:r>
      <w:r w:rsidRPr="00471175">
        <w:rPr>
          <w:b/>
          <w:bCs/>
        </w:rPr>
        <w:t>二</w:t>
      </w:r>
      <w:r w:rsidRPr="00471175">
        <w:rPr>
          <w:b/>
          <w:bCs/>
        </w:rPr>
        <w:t>)</w:t>
      </w:r>
      <w:r w:rsidRPr="00471175">
        <w:rPr>
          <w:b/>
          <w:bCs/>
        </w:rPr>
        <w:t>實體風險衡量</w:t>
      </w:r>
      <w:r w:rsidR="00E9440F" w:rsidRPr="008178A1">
        <w:rPr>
          <w:rFonts w:eastAsia="新細明體"/>
          <w:color w:val="0070C0"/>
          <w:sz w:val="16"/>
          <w:szCs w:val="16"/>
        </w:rPr>
        <w:t>【</w:t>
      </w:r>
      <w:r w:rsidR="00E9440F" w:rsidRPr="008178A1">
        <w:rPr>
          <w:rFonts w:eastAsia="新細明體"/>
          <w:color w:val="0070C0"/>
          <w:sz w:val="16"/>
          <w:szCs w:val="16"/>
        </w:rPr>
        <w:t>S.</w:t>
      </w:r>
      <w:r w:rsidR="00E9440F">
        <w:rPr>
          <w:rFonts w:eastAsia="新細明體"/>
          <w:color w:val="0070C0"/>
          <w:sz w:val="16"/>
          <w:szCs w:val="16"/>
        </w:rPr>
        <w:t>3.</w:t>
      </w:r>
      <w:r w:rsidR="00E9440F" w:rsidRPr="008178A1">
        <w:rPr>
          <w:rFonts w:eastAsia="新細明體"/>
          <w:color w:val="0070C0"/>
          <w:sz w:val="16"/>
          <w:szCs w:val="16"/>
        </w:rPr>
        <w:t>(</w:t>
      </w:r>
      <w:r w:rsidR="00E9440F">
        <w:rPr>
          <w:rFonts w:eastAsia="新細明體"/>
          <w:color w:val="0070C0"/>
          <w:sz w:val="16"/>
          <w:szCs w:val="16"/>
        </w:rPr>
        <w:t>3</w:t>
      </w:r>
      <w:r w:rsidR="00E9440F" w:rsidRPr="008178A1">
        <w:rPr>
          <w:rFonts w:eastAsia="新細明體"/>
          <w:color w:val="0070C0"/>
          <w:sz w:val="16"/>
          <w:szCs w:val="16"/>
        </w:rPr>
        <w:t>)</w:t>
      </w:r>
      <w:r w:rsidR="00E9440F" w:rsidRPr="008178A1">
        <w:rPr>
          <w:rFonts w:eastAsia="新細明體"/>
          <w:color w:val="0070C0"/>
          <w:sz w:val="16"/>
          <w:szCs w:val="16"/>
        </w:rPr>
        <w:t>】</w:t>
      </w:r>
    </w:p>
    <w:p w14:paraId="0A355898" w14:textId="2B5557F5" w:rsidR="00455C4C" w:rsidRPr="00471175" w:rsidRDefault="00455C4C" w:rsidP="0071503A">
      <w:pPr>
        <w:widowControl/>
        <w:spacing w:before="0" w:afterLines="50" w:after="180" w:line="240" w:lineRule="auto"/>
        <w:ind w:leftChars="236" w:left="849" w:hangingChars="118" w:hanging="283"/>
      </w:pPr>
      <w:r w:rsidRPr="00471175">
        <w:t>1.</w:t>
      </w:r>
      <w:r w:rsidRPr="00471175">
        <w:t>情境類型：氣候變遷跨政府委員會</w:t>
      </w:r>
      <w:r w:rsidRPr="00471175">
        <w:t>(Intergovernmental Panel on Climate Change, IPCC)</w:t>
      </w:r>
      <w:r w:rsidRPr="00471175">
        <w:t>基於人為產生的溫度氣體濃度，以「代表性濃度途徑」</w:t>
      </w:r>
      <w:r w:rsidRPr="00471175">
        <w:t>(Representative Concentration Pathways, RCP)</w:t>
      </w:r>
      <w:r w:rsidRPr="00471175">
        <w:t>來定義四組未來氣候變遷的情境，並以輻射強迫力</w:t>
      </w:r>
      <w:r w:rsidRPr="00471175">
        <w:t>(Radiative Forcing)</w:t>
      </w:r>
      <w:r w:rsidRPr="00471175">
        <w:t>在西元</w:t>
      </w:r>
      <w:r w:rsidRPr="00471175">
        <w:t>1750</w:t>
      </w:r>
      <w:r w:rsidRPr="00471175">
        <w:t>年與</w:t>
      </w:r>
      <w:r w:rsidRPr="00471175">
        <w:t>2100</w:t>
      </w:r>
      <w:r w:rsidRPr="00471175">
        <w:t>年之間的差異量當作指標性的數值來區分，總結如下</w:t>
      </w:r>
      <w:r w:rsidRPr="00471175">
        <w:t>:</w:t>
      </w:r>
      <w:r w:rsidR="00EA4E3C" w:rsidRPr="00EA4E3C">
        <w:rPr>
          <w:rFonts w:eastAsia="新細明體"/>
          <w:color w:val="0070C0"/>
          <w:sz w:val="16"/>
          <w:szCs w:val="16"/>
        </w:rPr>
        <w:t xml:space="preserve"> </w:t>
      </w:r>
    </w:p>
    <w:tbl>
      <w:tblPr>
        <w:tblStyle w:val="5-2"/>
        <w:tblW w:w="8862" w:type="dxa"/>
        <w:tblInd w:w="137" w:type="dxa"/>
        <w:tblLook w:val="04A0" w:firstRow="1" w:lastRow="0" w:firstColumn="1" w:lastColumn="0" w:noHBand="0" w:noVBand="1"/>
      </w:tblPr>
      <w:tblGrid>
        <w:gridCol w:w="1134"/>
        <w:gridCol w:w="4678"/>
        <w:gridCol w:w="1869"/>
        <w:gridCol w:w="1181"/>
      </w:tblGrid>
      <w:tr w:rsidR="00455C4C" w:rsidRPr="00471175" w14:paraId="0773C9D8" w14:textId="77777777" w:rsidTr="00E84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B948487" w14:textId="77777777" w:rsidR="00455C4C" w:rsidRPr="00471175" w:rsidRDefault="00455C4C" w:rsidP="00947455">
            <w:pPr>
              <w:widowControl/>
              <w:spacing w:before="0" w:after="0" w:line="276" w:lineRule="auto"/>
              <w:jc w:val="center"/>
            </w:pPr>
            <w:r w:rsidRPr="00471175">
              <w:t>情境</w:t>
            </w:r>
          </w:p>
        </w:tc>
        <w:tc>
          <w:tcPr>
            <w:tcW w:w="4678" w:type="dxa"/>
            <w:vAlign w:val="center"/>
            <w:hideMark/>
          </w:tcPr>
          <w:p w14:paraId="4BAD098E" w14:textId="77777777" w:rsidR="00455C4C" w:rsidRPr="00471175" w:rsidRDefault="00455C4C" w:rsidP="00947455">
            <w:pPr>
              <w:widowControl/>
              <w:spacing w:before="0" w:after="0" w:line="276" w:lineRule="auto"/>
              <w:jc w:val="center"/>
              <w:cnfStyle w:val="100000000000" w:firstRow="1" w:lastRow="0" w:firstColumn="0" w:lastColumn="0" w:oddVBand="0" w:evenVBand="0" w:oddHBand="0" w:evenHBand="0" w:firstRowFirstColumn="0" w:firstRowLastColumn="0" w:lastRowFirstColumn="0" w:lastRowLastColumn="0"/>
            </w:pPr>
            <w:r w:rsidRPr="00471175">
              <w:t>描述</w:t>
            </w:r>
          </w:p>
        </w:tc>
        <w:tc>
          <w:tcPr>
            <w:tcW w:w="1869" w:type="dxa"/>
            <w:vAlign w:val="center"/>
          </w:tcPr>
          <w:p w14:paraId="4854769C" w14:textId="77777777" w:rsidR="00455C4C" w:rsidRPr="00471175" w:rsidRDefault="00455C4C" w:rsidP="00947455">
            <w:pPr>
              <w:widowControl/>
              <w:spacing w:before="0" w:after="0" w:line="276" w:lineRule="auto"/>
              <w:jc w:val="center"/>
              <w:cnfStyle w:val="100000000000" w:firstRow="1" w:lastRow="0" w:firstColumn="0" w:lastColumn="0" w:oddVBand="0" w:evenVBand="0" w:oddHBand="0" w:evenHBand="0" w:firstRowFirstColumn="0" w:firstRowLastColumn="0" w:lastRowFirstColumn="0" w:lastRowLastColumn="0"/>
            </w:pPr>
            <w:r w:rsidRPr="00471175">
              <w:rPr>
                <w:sz w:val="23"/>
                <w:szCs w:val="23"/>
              </w:rPr>
              <w:t>2100</w:t>
            </w:r>
            <w:r w:rsidRPr="00471175">
              <w:rPr>
                <w:sz w:val="23"/>
                <w:szCs w:val="23"/>
              </w:rPr>
              <w:t>年輻射強迫力</w:t>
            </w:r>
            <w:r w:rsidRPr="00471175">
              <w:rPr>
                <w:sz w:val="23"/>
                <w:szCs w:val="23"/>
              </w:rPr>
              <w:t>(Radiative Forcing)</w:t>
            </w:r>
            <w:r w:rsidRPr="00471175">
              <w:rPr>
                <w:sz w:val="23"/>
                <w:szCs w:val="23"/>
              </w:rPr>
              <w:t>增加</w:t>
            </w:r>
          </w:p>
        </w:tc>
        <w:tc>
          <w:tcPr>
            <w:tcW w:w="1181" w:type="dxa"/>
            <w:vAlign w:val="center"/>
          </w:tcPr>
          <w:p w14:paraId="6B571955" w14:textId="77777777" w:rsidR="00455C4C" w:rsidRPr="00471175" w:rsidRDefault="00455C4C" w:rsidP="00947455">
            <w:pPr>
              <w:widowControl/>
              <w:spacing w:before="0" w:after="0" w:line="276" w:lineRule="auto"/>
              <w:jc w:val="center"/>
              <w:cnfStyle w:val="100000000000" w:firstRow="1" w:lastRow="0" w:firstColumn="0" w:lastColumn="0" w:oddVBand="0" w:evenVBand="0" w:oddHBand="0" w:evenHBand="0" w:firstRowFirstColumn="0" w:firstRowLastColumn="0" w:lastRowFirstColumn="0" w:lastRowLastColumn="0"/>
            </w:pPr>
            <w:r w:rsidRPr="00471175">
              <w:t>說明</w:t>
            </w:r>
          </w:p>
        </w:tc>
      </w:tr>
      <w:tr w:rsidR="00455C4C" w:rsidRPr="00471175" w14:paraId="5DE0FE70" w14:textId="77777777" w:rsidTr="00E8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0130F9B" w14:textId="77777777" w:rsidR="00455C4C" w:rsidRPr="00471175" w:rsidRDefault="00455C4C" w:rsidP="00947455">
            <w:pPr>
              <w:widowControl/>
              <w:spacing w:before="0" w:after="0" w:line="276" w:lineRule="auto"/>
              <w:jc w:val="center"/>
            </w:pPr>
            <w:r w:rsidRPr="00471175">
              <w:t>RCP 2.6</w:t>
            </w:r>
          </w:p>
        </w:tc>
        <w:tc>
          <w:tcPr>
            <w:tcW w:w="4678" w:type="dxa"/>
          </w:tcPr>
          <w:p w14:paraId="764A6042" w14:textId="77777777" w:rsidR="00455C4C" w:rsidRPr="00471175" w:rsidRDefault="00455C4C" w:rsidP="00947455">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471175">
              <w:rPr>
                <w:rFonts w:ascii="Times New Roman" w:hAnsi="Times New Roman" w:cs="Times New Roman"/>
              </w:rPr>
              <w:t>低度排放情境，將全球暖化的升溫幅度限制</w:t>
            </w:r>
            <w:r w:rsidRPr="00471175">
              <w:rPr>
                <w:rFonts w:ascii="Times New Roman" w:hAnsi="Times New Roman" w:cs="Times New Roman"/>
              </w:rPr>
              <w:t>2°C</w:t>
            </w:r>
            <w:r w:rsidRPr="00471175">
              <w:rPr>
                <w:rFonts w:ascii="Times New Roman" w:hAnsi="Times New Roman" w:cs="Times New Roman"/>
              </w:rPr>
              <w:t>以內（與工業化前相比），符合巴黎協定的目標，也被稱之為</w:t>
            </w:r>
            <w:r w:rsidRPr="00471175">
              <w:rPr>
                <w:rFonts w:ascii="Times New Roman" w:hAnsi="Times New Roman" w:cs="Times New Roman"/>
              </w:rPr>
              <w:t xml:space="preserve">2°C </w:t>
            </w:r>
            <w:r w:rsidRPr="00471175">
              <w:rPr>
                <w:rFonts w:ascii="Times New Roman" w:hAnsi="Times New Roman" w:cs="Times New Roman"/>
              </w:rPr>
              <w:t>情境。</w:t>
            </w:r>
          </w:p>
        </w:tc>
        <w:tc>
          <w:tcPr>
            <w:tcW w:w="1869" w:type="dxa"/>
            <w:vAlign w:val="center"/>
          </w:tcPr>
          <w:p w14:paraId="1E5BB19A" w14:textId="77777777" w:rsidR="00455C4C" w:rsidRPr="00471175" w:rsidRDefault="00455C4C" w:rsidP="00947455">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471175">
              <w:rPr>
                <w:rFonts w:ascii="Times New Roman" w:hAnsi="Times New Roman" w:cs="Times New Roman"/>
                <w:sz w:val="23"/>
                <w:szCs w:val="23"/>
              </w:rPr>
              <w:t>2.6 W/m</w:t>
            </w:r>
            <w:r w:rsidRPr="00471175">
              <w:rPr>
                <w:rFonts w:ascii="Times New Roman" w:hAnsi="Times New Roman" w:cs="Times New Roman"/>
                <w:sz w:val="12"/>
                <w:szCs w:val="12"/>
              </w:rPr>
              <w:t>2</w:t>
            </w:r>
          </w:p>
        </w:tc>
        <w:tc>
          <w:tcPr>
            <w:tcW w:w="1181" w:type="dxa"/>
            <w:vAlign w:val="center"/>
          </w:tcPr>
          <w:p w14:paraId="3EB9182B" w14:textId="77777777" w:rsidR="00455C4C" w:rsidRPr="00471175" w:rsidRDefault="00455C4C" w:rsidP="00947455">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471175">
              <w:rPr>
                <w:rFonts w:ascii="Times New Roman" w:hAnsi="Times New Roman" w:cs="Times New Roman"/>
                <w:sz w:val="23"/>
                <w:szCs w:val="23"/>
              </w:rPr>
              <w:t>暖化減緩</w:t>
            </w:r>
          </w:p>
        </w:tc>
      </w:tr>
      <w:tr w:rsidR="00455C4C" w:rsidRPr="00471175" w14:paraId="62A74E83" w14:textId="77777777" w:rsidTr="00E84163">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B8E0035" w14:textId="77777777" w:rsidR="00455C4C" w:rsidRPr="00471175" w:rsidRDefault="00455C4C" w:rsidP="00947455">
            <w:pPr>
              <w:widowControl/>
              <w:spacing w:before="0" w:after="0" w:line="276" w:lineRule="auto"/>
              <w:jc w:val="center"/>
            </w:pPr>
            <w:r w:rsidRPr="00471175">
              <w:t>RCP 4.5</w:t>
            </w:r>
          </w:p>
        </w:tc>
        <w:tc>
          <w:tcPr>
            <w:tcW w:w="4678" w:type="dxa"/>
          </w:tcPr>
          <w:p w14:paraId="31AAABD9" w14:textId="77777777" w:rsidR="00455C4C" w:rsidRPr="00471175" w:rsidRDefault="00455C4C" w:rsidP="00947455">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471175">
              <w:rPr>
                <w:rFonts w:ascii="Times New Roman" w:hAnsi="Times New Roman" w:cs="Times New Roman"/>
              </w:rPr>
              <w:t>中度排放情境，仍沒有達到巴黎協定中</w:t>
            </w:r>
            <w:r w:rsidRPr="00471175">
              <w:rPr>
                <w:rFonts w:ascii="Times New Roman" w:hAnsi="Times New Roman" w:cs="Times New Roman"/>
              </w:rPr>
              <w:t>2°C</w:t>
            </w:r>
            <w:r w:rsidRPr="00471175">
              <w:rPr>
                <w:rFonts w:ascii="Times New Roman" w:hAnsi="Times New Roman" w:cs="Times New Roman"/>
              </w:rPr>
              <w:t>的限制和</w:t>
            </w:r>
            <w:r w:rsidRPr="00471175">
              <w:rPr>
                <w:rFonts w:ascii="Times New Roman" w:hAnsi="Times New Roman" w:cs="Times New Roman"/>
              </w:rPr>
              <w:t xml:space="preserve">1.5°C </w:t>
            </w:r>
            <w:r w:rsidRPr="00471175">
              <w:rPr>
                <w:rFonts w:ascii="Times New Roman" w:hAnsi="Times New Roman" w:cs="Times New Roman"/>
              </w:rPr>
              <w:t>的目標，被認為可能產生約</w:t>
            </w:r>
            <w:r w:rsidRPr="00471175">
              <w:rPr>
                <w:rFonts w:ascii="Times New Roman" w:hAnsi="Times New Roman" w:cs="Times New Roman"/>
              </w:rPr>
              <w:t xml:space="preserve">2.4°C </w:t>
            </w:r>
            <w:r w:rsidRPr="00471175">
              <w:rPr>
                <w:rFonts w:ascii="Times New Roman" w:hAnsi="Times New Roman" w:cs="Times New Roman"/>
              </w:rPr>
              <w:t>的升溫。</w:t>
            </w:r>
          </w:p>
        </w:tc>
        <w:tc>
          <w:tcPr>
            <w:tcW w:w="1869" w:type="dxa"/>
            <w:vAlign w:val="center"/>
          </w:tcPr>
          <w:p w14:paraId="7B8F7F51" w14:textId="77777777" w:rsidR="00455C4C" w:rsidRPr="00471175" w:rsidRDefault="00455C4C" w:rsidP="00947455">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471175">
              <w:rPr>
                <w:rFonts w:ascii="Times New Roman" w:hAnsi="Times New Roman" w:cs="Times New Roman"/>
                <w:sz w:val="23"/>
                <w:szCs w:val="23"/>
              </w:rPr>
              <w:t>4.5 W/m</w:t>
            </w:r>
            <w:r w:rsidRPr="00471175">
              <w:rPr>
                <w:rFonts w:ascii="Times New Roman" w:hAnsi="Times New Roman" w:cs="Times New Roman"/>
                <w:sz w:val="12"/>
                <w:szCs w:val="12"/>
              </w:rPr>
              <w:t>2</w:t>
            </w:r>
          </w:p>
        </w:tc>
        <w:tc>
          <w:tcPr>
            <w:tcW w:w="1181" w:type="dxa"/>
            <w:vAlign w:val="center"/>
          </w:tcPr>
          <w:p w14:paraId="4B143E50" w14:textId="77777777" w:rsidR="00455C4C" w:rsidRPr="00471175" w:rsidRDefault="00455C4C" w:rsidP="00947455">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471175">
              <w:rPr>
                <w:rFonts w:ascii="Times New Roman" w:hAnsi="Times New Roman" w:cs="Times New Roman"/>
                <w:sz w:val="23"/>
                <w:szCs w:val="23"/>
              </w:rPr>
              <w:t>暖化穩定增加</w:t>
            </w:r>
          </w:p>
        </w:tc>
      </w:tr>
      <w:tr w:rsidR="00455C4C" w:rsidRPr="00471175" w14:paraId="19D66CE7" w14:textId="77777777" w:rsidTr="00E8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77BF46C" w14:textId="77777777" w:rsidR="00455C4C" w:rsidRPr="00471175" w:rsidRDefault="00455C4C" w:rsidP="00947455">
            <w:pPr>
              <w:widowControl/>
              <w:spacing w:before="0" w:after="0" w:line="276" w:lineRule="auto"/>
              <w:jc w:val="center"/>
            </w:pPr>
            <w:r w:rsidRPr="00471175">
              <w:t>RCP 6.0</w:t>
            </w:r>
          </w:p>
        </w:tc>
        <w:tc>
          <w:tcPr>
            <w:tcW w:w="4678" w:type="dxa"/>
          </w:tcPr>
          <w:p w14:paraId="795C9E3C" w14:textId="77777777" w:rsidR="00455C4C" w:rsidRPr="00471175" w:rsidRDefault="00455C4C" w:rsidP="00947455">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2"/>
                <w:szCs w:val="12"/>
              </w:rPr>
            </w:pPr>
            <w:r w:rsidRPr="00471175">
              <w:rPr>
                <w:rFonts w:ascii="Times New Roman" w:hAnsi="Times New Roman" w:cs="Times New Roman"/>
              </w:rPr>
              <w:t>中高排放情境，溫室氣體排放在</w:t>
            </w:r>
            <w:r w:rsidRPr="00471175">
              <w:rPr>
                <w:rFonts w:ascii="Times New Roman" w:hAnsi="Times New Roman" w:cs="Times New Roman"/>
              </w:rPr>
              <w:t xml:space="preserve">2060 </w:t>
            </w:r>
            <w:r w:rsidRPr="00471175">
              <w:rPr>
                <w:rFonts w:ascii="Times New Roman" w:hAnsi="Times New Roman" w:cs="Times New Roman"/>
              </w:rPr>
              <w:t>年左右達到顛峰，並在本世紀末期開始下降，被認為可能產生</w:t>
            </w:r>
            <w:r w:rsidRPr="00471175">
              <w:rPr>
                <w:rFonts w:ascii="Times New Roman" w:hAnsi="Times New Roman" w:cs="Times New Roman"/>
              </w:rPr>
              <w:t>2.8°C</w:t>
            </w:r>
            <w:r w:rsidRPr="00471175">
              <w:rPr>
                <w:rFonts w:ascii="Times New Roman" w:hAnsi="Times New Roman" w:cs="Times New Roman"/>
              </w:rPr>
              <w:t>的升溫。</w:t>
            </w:r>
          </w:p>
        </w:tc>
        <w:tc>
          <w:tcPr>
            <w:tcW w:w="1869" w:type="dxa"/>
            <w:vAlign w:val="center"/>
          </w:tcPr>
          <w:p w14:paraId="712F5D2E" w14:textId="77777777" w:rsidR="00455C4C" w:rsidRPr="00471175" w:rsidRDefault="00455C4C" w:rsidP="00947455">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471175">
              <w:rPr>
                <w:rFonts w:ascii="Times New Roman" w:hAnsi="Times New Roman" w:cs="Times New Roman"/>
                <w:sz w:val="23"/>
                <w:szCs w:val="23"/>
              </w:rPr>
              <w:t>6.0 W/m</w:t>
            </w:r>
            <w:r w:rsidRPr="00471175">
              <w:rPr>
                <w:rFonts w:ascii="Times New Roman" w:hAnsi="Times New Roman" w:cs="Times New Roman"/>
                <w:sz w:val="12"/>
                <w:szCs w:val="12"/>
              </w:rPr>
              <w:t>2</w:t>
            </w:r>
          </w:p>
        </w:tc>
        <w:tc>
          <w:tcPr>
            <w:tcW w:w="1181" w:type="dxa"/>
            <w:vAlign w:val="center"/>
          </w:tcPr>
          <w:p w14:paraId="41169171" w14:textId="77777777" w:rsidR="00455C4C" w:rsidRPr="00471175" w:rsidRDefault="00455C4C" w:rsidP="00947455">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3"/>
                <w:szCs w:val="23"/>
              </w:rPr>
            </w:pPr>
            <w:r w:rsidRPr="00471175">
              <w:rPr>
                <w:rFonts w:ascii="Times New Roman" w:hAnsi="Times New Roman" w:cs="Times New Roman"/>
                <w:sz w:val="23"/>
                <w:szCs w:val="23"/>
              </w:rPr>
              <w:t>暖化穩定增加</w:t>
            </w:r>
          </w:p>
        </w:tc>
      </w:tr>
      <w:tr w:rsidR="00455C4C" w:rsidRPr="00471175" w14:paraId="5C832C4F" w14:textId="77777777" w:rsidTr="00E84163">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21C8D05" w14:textId="77777777" w:rsidR="00455C4C" w:rsidRPr="00471175" w:rsidRDefault="00455C4C" w:rsidP="00947455">
            <w:pPr>
              <w:widowControl/>
              <w:spacing w:before="0" w:after="0" w:line="276" w:lineRule="auto"/>
              <w:jc w:val="center"/>
            </w:pPr>
            <w:r w:rsidRPr="00471175">
              <w:t>RCP 8.5</w:t>
            </w:r>
          </w:p>
        </w:tc>
        <w:tc>
          <w:tcPr>
            <w:tcW w:w="4678" w:type="dxa"/>
          </w:tcPr>
          <w:p w14:paraId="2C5ACE03" w14:textId="77777777" w:rsidR="00455C4C" w:rsidRPr="00471175" w:rsidRDefault="00455C4C" w:rsidP="00947455">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rPr>
            </w:pPr>
            <w:r w:rsidRPr="00471175">
              <w:rPr>
                <w:rFonts w:ascii="Times New Roman" w:hAnsi="Times New Roman" w:cs="Times New Roman"/>
              </w:rPr>
              <w:t>現行政策一致，是高度排放的情境，升溫幅度可能達到</w:t>
            </w:r>
            <w:r w:rsidRPr="00471175">
              <w:rPr>
                <w:rFonts w:ascii="Times New Roman" w:hAnsi="Times New Roman" w:cs="Times New Roman"/>
              </w:rPr>
              <w:t>4.3°C</w:t>
            </w:r>
            <w:r w:rsidRPr="00471175">
              <w:rPr>
                <w:rFonts w:ascii="Times New Roman" w:hAnsi="Times New Roman" w:cs="Times New Roman"/>
              </w:rPr>
              <w:t>，也被認為代表「一如往常」的情境。</w:t>
            </w:r>
          </w:p>
        </w:tc>
        <w:tc>
          <w:tcPr>
            <w:tcW w:w="1869" w:type="dxa"/>
            <w:vAlign w:val="center"/>
          </w:tcPr>
          <w:p w14:paraId="329E10B9" w14:textId="77777777" w:rsidR="00455C4C" w:rsidRPr="00471175" w:rsidRDefault="00455C4C" w:rsidP="00947455">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471175">
              <w:rPr>
                <w:rFonts w:ascii="Times New Roman" w:hAnsi="Times New Roman" w:cs="Times New Roman"/>
                <w:sz w:val="23"/>
                <w:szCs w:val="23"/>
              </w:rPr>
              <w:t>8.5 W/m</w:t>
            </w:r>
          </w:p>
        </w:tc>
        <w:tc>
          <w:tcPr>
            <w:tcW w:w="1181" w:type="dxa"/>
            <w:vAlign w:val="center"/>
          </w:tcPr>
          <w:p w14:paraId="74F4558E" w14:textId="77777777" w:rsidR="00455C4C" w:rsidRPr="00471175" w:rsidRDefault="00455C4C" w:rsidP="00947455">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3"/>
                <w:szCs w:val="23"/>
              </w:rPr>
            </w:pPr>
            <w:r w:rsidRPr="00471175">
              <w:rPr>
                <w:rFonts w:ascii="Times New Roman" w:hAnsi="Times New Roman" w:cs="Times New Roman"/>
                <w:sz w:val="23"/>
                <w:szCs w:val="23"/>
              </w:rPr>
              <w:t>暖化大增</w:t>
            </w:r>
          </w:p>
        </w:tc>
      </w:tr>
    </w:tbl>
    <w:p w14:paraId="7B1E2B15" w14:textId="77777777" w:rsidR="00947455" w:rsidRDefault="00947455" w:rsidP="0071503A">
      <w:pPr>
        <w:widowControl/>
        <w:spacing w:beforeLines="100" w:before="360" w:afterLines="50" w:after="180" w:line="240" w:lineRule="auto"/>
        <w:ind w:firstLineChars="236" w:firstLine="566"/>
      </w:pPr>
    </w:p>
    <w:p w14:paraId="2F47B921" w14:textId="0ACD2557" w:rsidR="00455C4C" w:rsidRPr="00471175" w:rsidRDefault="00455C4C" w:rsidP="0071503A">
      <w:pPr>
        <w:widowControl/>
        <w:spacing w:beforeLines="100" w:before="360" w:afterLines="50" w:after="180" w:line="240" w:lineRule="auto"/>
        <w:ind w:firstLineChars="236" w:firstLine="566"/>
      </w:pPr>
      <w:r w:rsidRPr="00471175">
        <w:t>2.</w:t>
      </w:r>
      <w:r w:rsidRPr="00471175">
        <w:t>衡量指標：全台災害風險圖</w:t>
      </w:r>
      <w:r w:rsidRPr="00471175">
        <w:t>(</w:t>
      </w:r>
      <w:r w:rsidRPr="00471175">
        <w:t>淹水與坡地災害分析</w:t>
      </w:r>
      <w:r w:rsidRPr="00471175">
        <w:t>)</w:t>
      </w:r>
    </w:p>
    <w:p w14:paraId="6D95E613" w14:textId="452CC1A4" w:rsidR="00947455" w:rsidRDefault="00455C4C" w:rsidP="00455C4C">
      <w:pPr>
        <w:widowControl/>
        <w:spacing w:before="0" w:afterLines="50" w:after="180" w:line="240" w:lineRule="auto"/>
        <w:ind w:leftChars="354" w:left="850" w:firstLine="568"/>
      </w:pPr>
      <w:r w:rsidRPr="00471175">
        <w:t>國家災害防救科技中心</w:t>
      </w:r>
      <w:r w:rsidRPr="00471175">
        <w:t>(NCDR)</w:t>
      </w:r>
      <w:r w:rsidRPr="00471175">
        <w:t>於氣候變遷災害風險調適平台公佈「全臺災害風險圖」，就全臺模擬預測之淹水災害，將全臺各地進行相互等級分析，分為五種等級。如</w:t>
      </w:r>
      <w:r>
        <w:rPr>
          <w:rFonts w:hint="eastAsia"/>
        </w:rPr>
        <w:t>下</w:t>
      </w:r>
      <w:r w:rsidRPr="00471175">
        <w:t>圖所示，全臺淹水及全臺坡地災害之推估，係以危害度、脆弱度與暴露度指標推估</w:t>
      </w:r>
      <w:r w:rsidRPr="00471175">
        <w:t>2036~2065</w:t>
      </w:r>
      <w:r w:rsidRPr="00471175">
        <w:t>年的災害風險。等級</w:t>
      </w:r>
      <w:r w:rsidRPr="00471175">
        <w:t>5</w:t>
      </w:r>
      <w:r w:rsidRPr="00471175">
        <w:t>表示該區的災害風險相對最高；等級</w:t>
      </w:r>
      <w:r w:rsidRPr="00471175">
        <w:t>1</w:t>
      </w:r>
      <w:r w:rsidRPr="00471175">
        <w:t>並不代表無災害風險，而是災害風險相對較低。</w:t>
      </w:r>
    </w:p>
    <w:p w14:paraId="610D8DDD" w14:textId="08C4DF57" w:rsidR="00947455" w:rsidRDefault="00947455">
      <w:pPr>
        <w:widowControl/>
        <w:spacing w:before="0" w:after="0" w:line="240" w:lineRule="auto"/>
      </w:pPr>
    </w:p>
    <w:tbl>
      <w:tblPr>
        <w:tblStyle w:val="aa"/>
        <w:tblpPr w:leftFromText="180" w:rightFromText="180" w:horzAnchor="margin" w:tblpY="7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2"/>
        <w:gridCol w:w="62"/>
        <w:gridCol w:w="2316"/>
        <w:gridCol w:w="60"/>
        <w:gridCol w:w="2406"/>
      </w:tblGrid>
      <w:tr w:rsidR="00455C4C" w:rsidRPr="00471175" w14:paraId="19320C70" w14:textId="77777777" w:rsidTr="00142874">
        <w:tc>
          <w:tcPr>
            <w:tcW w:w="9026" w:type="dxa"/>
            <w:gridSpan w:val="5"/>
          </w:tcPr>
          <w:p w14:paraId="2AA864DC" w14:textId="77777777" w:rsidR="00455C4C" w:rsidRPr="00471175" w:rsidRDefault="00455C4C" w:rsidP="00142874">
            <w:pPr>
              <w:widowControl/>
              <w:spacing w:before="0" w:after="0" w:line="0" w:lineRule="atLeast"/>
              <w:jc w:val="center"/>
              <w:rPr>
                <w:b/>
                <w:bCs/>
              </w:rPr>
            </w:pPr>
            <w:r w:rsidRPr="00471175">
              <w:rPr>
                <w:b/>
                <w:bCs/>
              </w:rPr>
              <w:t>RCP 4.5</w:t>
            </w:r>
          </w:p>
        </w:tc>
      </w:tr>
      <w:tr w:rsidR="00455C4C" w:rsidRPr="00471175" w14:paraId="00FA3D2E" w14:textId="77777777" w:rsidTr="00142874">
        <w:trPr>
          <w:trHeight w:val="2383"/>
        </w:trPr>
        <w:tc>
          <w:tcPr>
            <w:tcW w:w="4182" w:type="dxa"/>
            <w:vMerge w:val="restart"/>
            <w:vAlign w:val="center"/>
          </w:tcPr>
          <w:p w14:paraId="3013E73A" w14:textId="77777777" w:rsidR="00455C4C" w:rsidRPr="00471175" w:rsidRDefault="00455C4C" w:rsidP="00142874">
            <w:pPr>
              <w:widowControl/>
              <w:spacing w:before="0" w:after="0" w:line="0" w:lineRule="atLeast"/>
              <w:jc w:val="center"/>
            </w:pPr>
            <w:r w:rsidRPr="00471175">
              <w:rPr>
                <w:noProof/>
              </w:rPr>
              <w:drawing>
                <wp:inline distT="0" distB="0" distL="0" distR="0" wp14:anchorId="7B4CCD78" wp14:editId="4C73795E">
                  <wp:extent cx="2441276" cy="2929008"/>
                  <wp:effectExtent l="0" t="0" r="0" b="5080"/>
                  <wp:docPr id="1702688903" name="圖片 10" descr="一張含有 地圖,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688903" name="圖片 10" descr="一張含有 地圖, 文字 的圖片&#10;&#10;自動產生的描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0587" cy="2940180"/>
                          </a:xfrm>
                          <a:prstGeom prst="rect">
                            <a:avLst/>
                          </a:prstGeom>
                          <a:noFill/>
                          <a:ln>
                            <a:noFill/>
                          </a:ln>
                        </pic:spPr>
                      </pic:pic>
                    </a:graphicData>
                  </a:graphic>
                </wp:inline>
              </w:drawing>
            </w:r>
          </w:p>
        </w:tc>
        <w:tc>
          <w:tcPr>
            <w:tcW w:w="2438" w:type="dxa"/>
            <w:gridSpan w:val="3"/>
          </w:tcPr>
          <w:p w14:paraId="069A5AF0" w14:textId="77777777" w:rsidR="00455C4C" w:rsidRPr="00471175" w:rsidRDefault="00455C4C" w:rsidP="00142874">
            <w:pPr>
              <w:widowControl/>
              <w:spacing w:before="0" w:after="0" w:line="0" w:lineRule="atLeast"/>
            </w:pPr>
            <w:r w:rsidRPr="00471175">
              <w:rPr>
                <w:noProof/>
              </w:rPr>
              <w:drawing>
                <wp:inline distT="0" distB="0" distL="0" distR="0" wp14:anchorId="0503DFE5" wp14:editId="00B11861">
                  <wp:extent cx="1203671" cy="1180693"/>
                  <wp:effectExtent l="0" t="0" r="0" b="635"/>
                  <wp:docPr id="182287292" name="圖片 9" descr="一張含有 文字, 地圖, 圖形, 紅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7292" name="圖片 9" descr="一張含有 文字, 地圖, 圖形, 紅色 的圖片&#10;&#10;自動產生的描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774" cy="1186679"/>
                          </a:xfrm>
                          <a:prstGeom prst="rect">
                            <a:avLst/>
                          </a:prstGeom>
                          <a:noFill/>
                          <a:ln>
                            <a:noFill/>
                          </a:ln>
                        </pic:spPr>
                      </pic:pic>
                    </a:graphicData>
                  </a:graphic>
                </wp:inline>
              </w:drawing>
            </w:r>
          </w:p>
        </w:tc>
        <w:tc>
          <w:tcPr>
            <w:tcW w:w="2406" w:type="dxa"/>
          </w:tcPr>
          <w:p w14:paraId="6A9F6BDF" w14:textId="77777777" w:rsidR="00455C4C" w:rsidRPr="00471175" w:rsidRDefault="00455C4C" w:rsidP="00142874">
            <w:pPr>
              <w:widowControl/>
              <w:spacing w:before="0" w:after="0" w:line="0" w:lineRule="atLeast"/>
              <w:rPr>
                <w:noProof/>
              </w:rPr>
            </w:pPr>
            <w:r w:rsidRPr="00471175">
              <w:rPr>
                <w:noProof/>
              </w:rPr>
              <w:drawing>
                <wp:inline distT="0" distB="0" distL="0" distR="0" wp14:anchorId="2500FFF5" wp14:editId="32680EC1">
                  <wp:extent cx="1386417" cy="1042670"/>
                  <wp:effectExtent l="0" t="0" r="4445" b="5080"/>
                  <wp:docPr id="1796004442" name="圖片 8" descr="一張含有 文字, 地圖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04442" name="圖片 8" descr="一張含有 文字, 地圖 的圖片&#10;&#10;自動產生的描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9685" cy="1045128"/>
                          </a:xfrm>
                          <a:prstGeom prst="rect">
                            <a:avLst/>
                          </a:prstGeom>
                          <a:noFill/>
                          <a:ln>
                            <a:noFill/>
                          </a:ln>
                        </pic:spPr>
                      </pic:pic>
                    </a:graphicData>
                  </a:graphic>
                </wp:inline>
              </w:drawing>
            </w:r>
          </w:p>
        </w:tc>
      </w:tr>
      <w:tr w:rsidR="00455C4C" w:rsidRPr="00471175" w14:paraId="2B4DE082" w14:textId="77777777" w:rsidTr="00142874">
        <w:trPr>
          <w:trHeight w:val="2403"/>
        </w:trPr>
        <w:tc>
          <w:tcPr>
            <w:tcW w:w="4182" w:type="dxa"/>
            <w:vMerge/>
            <w:vAlign w:val="center"/>
          </w:tcPr>
          <w:p w14:paraId="1B09C828" w14:textId="77777777" w:rsidR="00455C4C" w:rsidRPr="00471175" w:rsidRDefault="00455C4C" w:rsidP="00142874">
            <w:pPr>
              <w:widowControl/>
              <w:spacing w:before="0" w:after="0" w:line="0" w:lineRule="atLeast"/>
            </w:pPr>
          </w:p>
        </w:tc>
        <w:tc>
          <w:tcPr>
            <w:tcW w:w="2438" w:type="dxa"/>
            <w:gridSpan w:val="3"/>
          </w:tcPr>
          <w:p w14:paraId="61507415" w14:textId="77777777" w:rsidR="00455C4C" w:rsidRPr="00471175" w:rsidRDefault="00455C4C" w:rsidP="00142874">
            <w:pPr>
              <w:widowControl/>
              <w:spacing w:before="0" w:after="0" w:line="0" w:lineRule="atLeast"/>
            </w:pPr>
            <w:r w:rsidRPr="00471175">
              <w:rPr>
                <w:noProof/>
              </w:rPr>
              <w:drawing>
                <wp:inline distT="0" distB="0" distL="0" distR="0" wp14:anchorId="5D0AE2A8" wp14:editId="05A635BE">
                  <wp:extent cx="1411546" cy="1043430"/>
                  <wp:effectExtent l="0" t="0" r="0" b="4445"/>
                  <wp:docPr id="491590754" name="圖片 7" descr="一張含有 文字, 地圖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90754" name="圖片 7" descr="一張含有 文字, 地圖 的圖片&#10;&#10;自動產生的描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8945" cy="1048899"/>
                          </a:xfrm>
                          <a:prstGeom prst="rect">
                            <a:avLst/>
                          </a:prstGeom>
                          <a:noFill/>
                          <a:ln>
                            <a:noFill/>
                          </a:ln>
                        </pic:spPr>
                      </pic:pic>
                    </a:graphicData>
                  </a:graphic>
                </wp:inline>
              </w:drawing>
            </w:r>
          </w:p>
        </w:tc>
        <w:tc>
          <w:tcPr>
            <w:tcW w:w="2406" w:type="dxa"/>
          </w:tcPr>
          <w:p w14:paraId="66822EE4" w14:textId="77777777" w:rsidR="00455C4C" w:rsidRPr="00471175" w:rsidRDefault="00455C4C" w:rsidP="00142874">
            <w:pPr>
              <w:widowControl/>
              <w:spacing w:before="0" w:after="0" w:line="0" w:lineRule="atLeast"/>
              <w:rPr>
                <w:noProof/>
              </w:rPr>
            </w:pPr>
            <w:r w:rsidRPr="00471175">
              <w:rPr>
                <w:noProof/>
              </w:rPr>
              <w:drawing>
                <wp:inline distT="0" distB="0" distL="0" distR="0" wp14:anchorId="546868A1" wp14:editId="4482C194">
                  <wp:extent cx="1361440" cy="1286510"/>
                  <wp:effectExtent l="0" t="0" r="0" b="8890"/>
                  <wp:docPr id="1083394399" name="圖片 6" descr="一張含有 地圖, 地圖集,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94399" name="圖片 6" descr="一張含有 地圖, 地圖集, 文字 的圖片&#10;&#10;自動產生的描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1440" cy="1286510"/>
                          </a:xfrm>
                          <a:prstGeom prst="rect">
                            <a:avLst/>
                          </a:prstGeom>
                          <a:noFill/>
                          <a:ln>
                            <a:noFill/>
                          </a:ln>
                        </pic:spPr>
                      </pic:pic>
                    </a:graphicData>
                  </a:graphic>
                </wp:inline>
              </w:drawing>
            </w:r>
          </w:p>
        </w:tc>
      </w:tr>
      <w:tr w:rsidR="00455C4C" w:rsidRPr="00471175" w14:paraId="4902AF56" w14:textId="77777777" w:rsidTr="00142874">
        <w:tc>
          <w:tcPr>
            <w:tcW w:w="9026" w:type="dxa"/>
            <w:gridSpan w:val="5"/>
          </w:tcPr>
          <w:p w14:paraId="5E283EEB" w14:textId="71139EA2" w:rsidR="00455C4C" w:rsidRPr="00471175" w:rsidRDefault="0071503A" w:rsidP="00142874">
            <w:pPr>
              <w:widowControl/>
              <w:spacing w:before="0" w:after="0" w:line="0" w:lineRule="atLeast"/>
              <w:jc w:val="center"/>
              <w:rPr>
                <w:b/>
                <w:bCs/>
              </w:rPr>
            </w:pPr>
            <w:r>
              <w:br w:type="page"/>
            </w:r>
          </w:p>
        </w:tc>
      </w:tr>
      <w:tr w:rsidR="00142874" w:rsidRPr="00471175" w14:paraId="3573E834" w14:textId="77777777" w:rsidTr="00142874">
        <w:tc>
          <w:tcPr>
            <w:tcW w:w="9026" w:type="dxa"/>
            <w:gridSpan w:val="5"/>
          </w:tcPr>
          <w:p w14:paraId="437D3555" w14:textId="77777777" w:rsidR="00142874" w:rsidRDefault="00142874" w:rsidP="00142874">
            <w:pPr>
              <w:widowControl/>
              <w:spacing w:before="0" w:after="0" w:line="0" w:lineRule="atLeast"/>
              <w:jc w:val="center"/>
            </w:pPr>
          </w:p>
        </w:tc>
      </w:tr>
      <w:tr w:rsidR="00142874" w:rsidRPr="00471175" w14:paraId="2DCD4E1F" w14:textId="77777777" w:rsidTr="00142874">
        <w:tc>
          <w:tcPr>
            <w:tcW w:w="9026" w:type="dxa"/>
            <w:gridSpan w:val="5"/>
          </w:tcPr>
          <w:p w14:paraId="40DB07F6" w14:textId="77777777" w:rsidR="00142874" w:rsidRDefault="00142874" w:rsidP="00142874">
            <w:pPr>
              <w:widowControl/>
              <w:spacing w:before="0" w:after="0" w:line="0" w:lineRule="atLeast"/>
              <w:jc w:val="center"/>
            </w:pPr>
          </w:p>
        </w:tc>
      </w:tr>
      <w:tr w:rsidR="00142874" w:rsidRPr="00471175" w14:paraId="13DFF86D" w14:textId="77777777" w:rsidTr="00142874">
        <w:tc>
          <w:tcPr>
            <w:tcW w:w="9026" w:type="dxa"/>
            <w:gridSpan w:val="5"/>
          </w:tcPr>
          <w:p w14:paraId="22C5A88D" w14:textId="18B9B380" w:rsidR="00142874" w:rsidRDefault="00142874" w:rsidP="00142874">
            <w:pPr>
              <w:widowControl/>
              <w:spacing w:before="0" w:after="0" w:line="0" w:lineRule="atLeast"/>
              <w:jc w:val="center"/>
            </w:pPr>
            <w:r w:rsidRPr="00471175">
              <w:rPr>
                <w:b/>
                <w:bCs/>
              </w:rPr>
              <w:t>RCP 8.5</w:t>
            </w:r>
          </w:p>
        </w:tc>
      </w:tr>
      <w:tr w:rsidR="00455C4C" w:rsidRPr="00471175" w14:paraId="2E57609A" w14:textId="77777777" w:rsidTr="00142874">
        <w:trPr>
          <w:trHeight w:val="2383"/>
        </w:trPr>
        <w:tc>
          <w:tcPr>
            <w:tcW w:w="4244" w:type="dxa"/>
            <w:gridSpan w:val="2"/>
            <w:vMerge w:val="restart"/>
            <w:vAlign w:val="center"/>
          </w:tcPr>
          <w:p w14:paraId="070D5AA6" w14:textId="77777777" w:rsidR="00455C4C" w:rsidRPr="00471175" w:rsidRDefault="00455C4C" w:rsidP="00142874">
            <w:pPr>
              <w:widowControl/>
              <w:spacing w:before="0" w:after="0" w:line="0" w:lineRule="atLeast"/>
              <w:jc w:val="center"/>
            </w:pPr>
            <w:r w:rsidRPr="00471175">
              <w:rPr>
                <w:noProof/>
              </w:rPr>
              <w:drawing>
                <wp:inline distT="0" distB="0" distL="0" distR="0" wp14:anchorId="6749237B" wp14:editId="7BE301EB">
                  <wp:extent cx="2270343" cy="3139193"/>
                  <wp:effectExtent l="0" t="0" r="0" b="4445"/>
                  <wp:docPr id="1692373664" name="圖片 5" descr="一張含有 地圖,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373664" name="圖片 5" descr="一張含有 地圖, 文字 的圖片&#10;&#10;自動產生的描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4871" cy="3145454"/>
                          </a:xfrm>
                          <a:prstGeom prst="rect">
                            <a:avLst/>
                          </a:prstGeom>
                          <a:noFill/>
                          <a:ln>
                            <a:noFill/>
                          </a:ln>
                        </pic:spPr>
                      </pic:pic>
                    </a:graphicData>
                  </a:graphic>
                </wp:inline>
              </w:drawing>
            </w:r>
          </w:p>
        </w:tc>
        <w:tc>
          <w:tcPr>
            <w:tcW w:w="2316" w:type="dxa"/>
          </w:tcPr>
          <w:p w14:paraId="265B5511" w14:textId="77777777" w:rsidR="00455C4C" w:rsidRPr="00471175" w:rsidRDefault="00455C4C" w:rsidP="00142874">
            <w:pPr>
              <w:widowControl/>
              <w:spacing w:before="0" w:afterLines="50" w:after="180" w:line="0" w:lineRule="atLeast"/>
            </w:pPr>
            <w:r w:rsidRPr="00471175">
              <w:rPr>
                <w:noProof/>
              </w:rPr>
              <w:drawing>
                <wp:inline distT="0" distB="0" distL="0" distR="0" wp14:anchorId="4ECD8536" wp14:editId="3D7C57BC">
                  <wp:extent cx="1216324" cy="1071293"/>
                  <wp:effectExtent l="0" t="0" r="3175" b="0"/>
                  <wp:docPr id="2089797545" name="圖片 4" descr="一張含有 文字, 圖形, 平面設計, 紅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97545" name="圖片 4" descr="一張含有 文字, 圖形, 平面設計, 紅色 的圖片&#10;&#10;自動產生的描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3794" cy="1077872"/>
                          </a:xfrm>
                          <a:prstGeom prst="rect">
                            <a:avLst/>
                          </a:prstGeom>
                          <a:noFill/>
                          <a:ln>
                            <a:noFill/>
                          </a:ln>
                        </pic:spPr>
                      </pic:pic>
                    </a:graphicData>
                  </a:graphic>
                </wp:inline>
              </w:drawing>
            </w:r>
          </w:p>
        </w:tc>
        <w:tc>
          <w:tcPr>
            <w:tcW w:w="2466" w:type="dxa"/>
            <w:gridSpan w:val="2"/>
          </w:tcPr>
          <w:p w14:paraId="18DB40F3" w14:textId="77777777" w:rsidR="00455C4C" w:rsidRPr="00471175" w:rsidRDefault="00455C4C" w:rsidP="00142874">
            <w:pPr>
              <w:widowControl/>
              <w:spacing w:before="0" w:afterLines="50" w:after="180" w:line="0" w:lineRule="atLeast"/>
              <w:rPr>
                <w:noProof/>
              </w:rPr>
            </w:pPr>
            <w:r w:rsidRPr="00471175">
              <w:rPr>
                <w:noProof/>
              </w:rPr>
              <w:drawing>
                <wp:inline distT="0" distB="0" distL="0" distR="0" wp14:anchorId="663EAF72" wp14:editId="0DDD94B0">
                  <wp:extent cx="1424093" cy="815879"/>
                  <wp:effectExtent l="0" t="0" r="5080" b="3810"/>
                  <wp:docPr id="461555694" name="圖片 3" descr="一張含有 文字, 地圖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55694" name="圖片 3" descr="一張含有 文字, 地圖 的圖片&#10;&#10;自動產生的描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5642" cy="822495"/>
                          </a:xfrm>
                          <a:prstGeom prst="rect">
                            <a:avLst/>
                          </a:prstGeom>
                          <a:noFill/>
                          <a:ln>
                            <a:noFill/>
                          </a:ln>
                        </pic:spPr>
                      </pic:pic>
                    </a:graphicData>
                  </a:graphic>
                </wp:inline>
              </w:drawing>
            </w:r>
          </w:p>
        </w:tc>
      </w:tr>
      <w:tr w:rsidR="00455C4C" w:rsidRPr="00471175" w14:paraId="48E07849" w14:textId="77777777" w:rsidTr="00142874">
        <w:trPr>
          <w:trHeight w:val="2403"/>
        </w:trPr>
        <w:tc>
          <w:tcPr>
            <w:tcW w:w="4244" w:type="dxa"/>
            <w:gridSpan w:val="2"/>
            <w:vMerge/>
            <w:vAlign w:val="center"/>
          </w:tcPr>
          <w:p w14:paraId="6921C1DE" w14:textId="77777777" w:rsidR="00455C4C" w:rsidRPr="00471175" w:rsidRDefault="00455C4C" w:rsidP="00142874">
            <w:pPr>
              <w:widowControl/>
              <w:spacing w:before="0" w:after="0" w:line="0" w:lineRule="atLeast"/>
            </w:pPr>
          </w:p>
        </w:tc>
        <w:tc>
          <w:tcPr>
            <w:tcW w:w="2316" w:type="dxa"/>
          </w:tcPr>
          <w:p w14:paraId="4F175E41" w14:textId="77777777" w:rsidR="00455C4C" w:rsidRPr="00471175" w:rsidRDefault="00455C4C" w:rsidP="00142874">
            <w:pPr>
              <w:widowControl/>
              <w:spacing w:before="0" w:afterLines="50" w:after="180" w:line="0" w:lineRule="atLeast"/>
            </w:pPr>
            <w:r w:rsidRPr="00471175">
              <w:rPr>
                <w:noProof/>
              </w:rPr>
              <w:drawing>
                <wp:inline distT="0" distB="0" distL="0" distR="0" wp14:anchorId="089DE97A" wp14:editId="2D129003">
                  <wp:extent cx="1328468" cy="848606"/>
                  <wp:effectExtent l="0" t="0" r="5080" b="8890"/>
                  <wp:docPr id="686878100" name="圖片 2" descr="一張含有 文字, 地圖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878100" name="圖片 2" descr="一張含有 文字, 地圖 的圖片&#10;&#10;自動產生的描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4339" cy="852356"/>
                          </a:xfrm>
                          <a:prstGeom prst="rect">
                            <a:avLst/>
                          </a:prstGeom>
                          <a:noFill/>
                          <a:ln>
                            <a:noFill/>
                          </a:ln>
                        </pic:spPr>
                      </pic:pic>
                    </a:graphicData>
                  </a:graphic>
                </wp:inline>
              </w:drawing>
            </w:r>
          </w:p>
        </w:tc>
        <w:tc>
          <w:tcPr>
            <w:tcW w:w="2466" w:type="dxa"/>
            <w:gridSpan w:val="2"/>
          </w:tcPr>
          <w:p w14:paraId="4E87C013" w14:textId="77777777" w:rsidR="00455C4C" w:rsidRPr="00471175" w:rsidRDefault="00455C4C" w:rsidP="00142874">
            <w:pPr>
              <w:widowControl/>
              <w:spacing w:before="0" w:afterLines="50" w:after="180" w:line="0" w:lineRule="atLeast"/>
              <w:rPr>
                <w:noProof/>
              </w:rPr>
            </w:pPr>
            <w:r w:rsidRPr="00471175">
              <w:rPr>
                <w:noProof/>
              </w:rPr>
              <w:drawing>
                <wp:inline distT="0" distB="0" distL="0" distR="0" wp14:anchorId="3C2BA0C0" wp14:editId="70C2C189">
                  <wp:extent cx="1302900" cy="1362752"/>
                  <wp:effectExtent l="0" t="0" r="0" b="8890"/>
                  <wp:docPr id="2053698790" name="圖片 1" descr="一張含有 地圖, 文字, 地圖集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98790" name="圖片 1" descr="一張含有 地圖, 文字, 地圖集 的圖片&#10;&#10;自動產生的描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08110" cy="1368201"/>
                          </a:xfrm>
                          <a:prstGeom prst="rect">
                            <a:avLst/>
                          </a:prstGeom>
                          <a:noFill/>
                          <a:ln>
                            <a:noFill/>
                          </a:ln>
                        </pic:spPr>
                      </pic:pic>
                    </a:graphicData>
                  </a:graphic>
                </wp:inline>
              </w:drawing>
            </w:r>
          </w:p>
        </w:tc>
      </w:tr>
    </w:tbl>
    <w:p w14:paraId="02318BFF" w14:textId="2A081263" w:rsidR="00142874" w:rsidRDefault="00142874" w:rsidP="00947455">
      <w:pPr>
        <w:widowControl/>
        <w:spacing w:beforeLines="150" w:before="540" w:afterLines="50" w:after="180" w:line="240" w:lineRule="auto"/>
        <w:ind w:firstLineChars="177" w:firstLine="425"/>
      </w:pPr>
    </w:p>
    <w:p w14:paraId="12B63250" w14:textId="77777777" w:rsidR="00142874" w:rsidRDefault="00142874">
      <w:pPr>
        <w:widowControl/>
        <w:spacing w:before="0" w:after="0" w:line="240" w:lineRule="auto"/>
      </w:pPr>
      <w:r>
        <w:br w:type="page"/>
      </w:r>
    </w:p>
    <w:p w14:paraId="66736B20" w14:textId="7328E04B" w:rsidR="00455C4C" w:rsidRPr="00471175" w:rsidRDefault="00455C4C" w:rsidP="00947455">
      <w:pPr>
        <w:widowControl/>
        <w:spacing w:beforeLines="150" w:before="540" w:afterLines="50" w:after="180" w:line="240" w:lineRule="auto"/>
        <w:ind w:firstLineChars="177" w:firstLine="425"/>
      </w:pPr>
      <w:r w:rsidRPr="00471175">
        <w:lastRenderedPageBreak/>
        <w:t>3.</w:t>
      </w:r>
      <w:r w:rsidRPr="00471175">
        <w:t>情境分析</w:t>
      </w:r>
      <w:r w:rsidR="00DF036A" w:rsidRPr="008178A1">
        <w:rPr>
          <w:rFonts w:eastAsia="新細明體"/>
          <w:color w:val="0070C0"/>
          <w:sz w:val="16"/>
          <w:szCs w:val="16"/>
        </w:rPr>
        <w:t>【</w:t>
      </w:r>
      <w:r w:rsidR="00DF036A" w:rsidRPr="008178A1">
        <w:rPr>
          <w:rFonts w:eastAsia="新細明體"/>
          <w:color w:val="0070C0"/>
          <w:sz w:val="16"/>
          <w:szCs w:val="16"/>
        </w:rPr>
        <w:t>S.</w:t>
      </w:r>
      <w:r w:rsidR="00DF036A">
        <w:rPr>
          <w:rFonts w:eastAsia="新細明體"/>
          <w:color w:val="0070C0"/>
          <w:sz w:val="16"/>
          <w:szCs w:val="16"/>
        </w:rPr>
        <w:t>3.</w:t>
      </w:r>
      <w:r w:rsidR="00DF036A" w:rsidRPr="008178A1">
        <w:rPr>
          <w:rFonts w:eastAsia="新細明體"/>
          <w:color w:val="0070C0"/>
          <w:sz w:val="16"/>
          <w:szCs w:val="16"/>
        </w:rPr>
        <w:t>(</w:t>
      </w:r>
      <w:r w:rsidR="00DF036A">
        <w:rPr>
          <w:rFonts w:eastAsia="新細明體"/>
          <w:color w:val="0070C0"/>
          <w:sz w:val="16"/>
          <w:szCs w:val="16"/>
        </w:rPr>
        <w:t>3</w:t>
      </w:r>
      <w:r w:rsidR="00DF036A" w:rsidRPr="008178A1">
        <w:rPr>
          <w:rFonts w:eastAsia="新細明體"/>
          <w:color w:val="0070C0"/>
          <w:sz w:val="16"/>
          <w:szCs w:val="16"/>
        </w:rPr>
        <w:t>)</w:t>
      </w:r>
      <w:r w:rsidR="00DF036A" w:rsidRPr="008178A1">
        <w:rPr>
          <w:rFonts w:eastAsia="新細明體"/>
          <w:color w:val="0070C0"/>
          <w:sz w:val="16"/>
          <w:szCs w:val="16"/>
        </w:rPr>
        <w:t>】</w:t>
      </w:r>
    </w:p>
    <w:p w14:paraId="74E185F6" w14:textId="77777777" w:rsidR="00455C4C" w:rsidRPr="00471175" w:rsidRDefault="00455C4C" w:rsidP="00455C4C">
      <w:pPr>
        <w:widowControl/>
        <w:spacing w:before="0" w:afterLines="50" w:after="180" w:line="240" w:lineRule="auto"/>
        <w:ind w:leftChars="295" w:left="708" w:firstLineChars="236" w:firstLine="566"/>
      </w:pPr>
      <w:r w:rsidRPr="00471175">
        <w:t>2014</w:t>
      </w:r>
      <w:r w:rsidRPr="00471175">
        <w:t>年，聯合國政府間氣候變遷專門委員會</w:t>
      </w:r>
      <w:r w:rsidRPr="00471175">
        <w:t xml:space="preserve"> </w:t>
      </w:r>
      <w:r w:rsidRPr="00471175">
        <w:t>（</w:t>
      </w:r>
      <w:r w:rsidRPr="00471175">
        <w:t>Intergovernmental Panel on Climate Change</w:t>
      </w:r>
      <w:r w:rsidRPr="00471175">
        <w:t>，簡稱</w:t>
      </w:r>
      <w:r w:rsidRPr="00471175">
        <w:t>IPCC</w:t>
      </w:r>
      <w:r w:rsidRPr="00471175">
        <w:t>）發布第五次評估報告（</w:t>
      </w:r>
      <w:r w:rsidRPr="00471175">
        <w:t>Fifth Assessment Report</w:t>
      </w:r>
      <w:r w:rsidRPr="00471175">
        <w:t>，</w:t>
      </w:r>
      <w:r w:rsidRPr="00471175">
        <w:t>AR5</w:t>
      </w:r>
      <w:r w:rsidRPr="00471175">
        <w:t>）中，係以「代表濃度途徑」（</w:t>
      </w:r>
      <w:r w:rsidRPr="00471175">
        <w:t>RCP</w:t>
      </w:r>
      <w:r w:rsidRPr="00471175">
        <w:t>）提出四種氣候變遷的情境。</w:t>
      </w:r>
    </w:p>
    <w:p w14:paraId="0ADD1852" w14:textId="77777777" w:rsidR="00455C4C" w:rsidRDefault="00455C4C" w:rsidP="00455C4C">
      <w:pPr>
        <w:widowControl/>
        <w:spacing w:before="0" w:afterLines="50" w:after="180" w:line="240" w:lineRule="auto"/>
        <w:ind w:leftChars="295" w:left="708" w:firstLineChars="236" w:firstLine="566"/>
      </w:pPr>
      <w:r w:rsidRPr="00471175">
        <w:t>A</w:t>
      </w:r>
      <w:r w:rsidRPr="00471175">
        <w:t>投信對自身營運進行實體風險的情境分析，以瞭解</w:t>
      </w:r>
      <w:r w:rsidRPr="00471175">
        <w:t>A</w:t>
      </w:r>
      <w:r w:rsidRPr="00471175">
        <w:t>投信在</w:t>
      </w:r>
      <w:r w:rsidRPr="00471175">
        <w:t xml:space="preserve">RCP </w:t>
      </w:r>
      <w:r>
        <w:t>4.5</w:t>
      </w:r>
      <w:r w:rsidRPr="00471175">
        <w:t>及</w:t>
      </w:r>
      <w:r w:rsidRPr="00471175">
        <w:t>RCP 8.5</w:t>
      </w:r>
      <w:r w:rsidRPr="00471175">
        <w:t>情境下，與氣候相關風險對業務、策略及財務規劃上的衝擊。實體風險的情境分析所採用時間範圍係</w:t>
      </w:r>
      <w:r w:rsidRPr="00471175">
        <w:t>2036</w:t>
      </w:r>
      <w:r w:rsidRPr="00471175">
        <w:t>年至</w:t>
      </w:r>
      <w:r w:rsidRPr="00471175">
        <w:t>2065</w:t>
      </w:r>
      <w:r w:rsidRPr="00471175">
        <w:t>年</w:t>
      </w:r>
      <w:r>
        <w:rPr>
          <w:rFonts w:hint="eastAsia"/>
        </w:rPr>
        <w:t>，</w:t>
      </w:r>
      <w:r w:rsidRPr="00471175">
        <w:t>以</w:t>
      </w:r>
      <w:r w:rsidRPr="00471175">
        <w:t>A</w:t>
      </w:r>
      <w:r w:rsidRPr="00471175">
        <w:t>投信自身營運據點所在區域</w:t>
      </w:r>
      <w:r>
        <w:rPr>
          <w:rFonts w:hint="eastAsia"/>
        </w:rPr>
        <w:t>(</w:t>
      </w:r>
      <w:r>
        <w:rPr>
          <w:rFonts w:hint="eastAsia"/>
        </w:rPr>
        <w:t>台北總公司、新竹分公司、台中分公司、高雄分公司</w:t>
      </w:r>
      <w:r>
        <w:rPr>
          <w:rFonts w:hint="eastAsia"/>
        </w:rPr>
        <w:t>)</w:t>
      </w:r>
      <w:r>
        <w:rPr>
          <w:rFonts w:hint="eastAsia"/>
        </w:rPr>
        <w:t>，</w:t>
      </w:r>
      <w:r w:rsidRPr="00471175">
        <w:t>面臨實體風險時可能的損害情形，進行作業風險損失之預估試算。</w:t>
      </w:r>
    </w:p>
    <w:p w14:paraId="5EFAAF45" w14:textId="77777777" w:rsidR="00455C4C" w:rsidRPr="00471175" w:rsidRDefault="00455C4C" w:rsidP="00455C4C">
      <w:pPr>
        <w:widowControl/>
        <w:spacing w:before="0" w:afterLines="50" w:after="180" w:line="240" w:lineRule="auto"/>
        <w:ind w:leftChars="295" w:left="708" w:firstLineChars="236" w:firstLine="566"/>
      </w:pPr>
      <w:r>
        <w:rPr>
          <w:rFonts w:hint="eastAsia"/>
        </w:rPr>
        <w:t>因</w:t>
      </w:r>
      <w:r w:rsidRPr="00471175">
        <w:t>自有營運據點原則上位於防洪設施相較完善之都會區，</w:t>
      </w:r>
      <w:r>
        <w:rPr>
          <w:rFonts w:hint="eastAsia"/>
        </w:rPr>
        <w:t>要達第</w:t>
      </w:r>
      <w:r>
        <w:rPr>
          <w:rFonts w:hint="eastAsia"/>
        </w:rPr>
        <w:t>5</w:t>
      </w:r>
      <w:r>
        <w:rPr>
          <w:rFonts w:hint="eastAsia"/>
        </w:rPr>
        <w:t>級淹水始會受到影響，</w:t>
      </w:r>
      <w:r w:rsidRPr="00471175">
        <w:t>因此兩種情境預估之損失並無重大影響。</w:t>
      </w:r>
    </w:p>
    <w:tbl>
      <w:tblPr>
        <w:tblStyle w:val="4-2"/>
        <w:tblpPr w:leftFromText="180" w:rightFromText="180" w:vertAnchor="text" w:horzAnchor="margin" w:tblpXSpec="right" w:tblpY="16"/>
        <w:tblW w:w="0" w:type="auto"/>
        <w:tblLook w:val="04A0" w:firstRow="1" w:lastRow="0" w:firstColumn="1" w:lastColumn="0" w:noHBand="0" w:noVBand="1"/>
      </w:tblPr>
      <w:tblGrid>
        <w:gridCol w:w="1370"/>
        <w:gridCol w:w="1371"/>
        <w:gridCol w:w="1370"/>
        <w:gridCol w:w="1371"/>
        <w:gridCol w:w="1370"/>
        <w:gridCol w:w="1371"/>
      </w:tblGrid>
      <w:tr w:rsidR="00455C4C" w:rsidRPr="00471175" w14:paraId="138AFE24" w14:textId="77777777" w:rsidTr="00E84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dxa"/>
          </w:tcPr>
          <w:p w14:paraId="5222CDB8" w14:textId="77777777" w:rsidR="00455C4C" w:rsidRPr="00471175" w:rsidRDefault="00455C4C" w:rsidP="00947455">
            <w:pPr>
              <w:widowControl/>
              <w:spacing w:before="0" w:after="0" w:line="360" w:lineRule="auto"/>
              <w:jc w:val="center"/>
            </w:pPr>
            <w:r w:rsidRPr="00471175">
              <w:t>淹水</w:t>
            </w:r>
          </w:p>
        </w:tc>
        <w:tc>
          <w:tcPr>
            <w:tcW w:w="1371" w:type="dxa"/>
            <w:hideMark/>
          </w:tcPr>
          <w:p w14:paraId="1C3AFC04" w14:textId="77777777" w:rsidR="00455C4C" w:rsidRPr="00471175" w:rsidRDefault="00455C4C" w:rsidP="00947455">
            <w:pPr>
              <w:widowControl/>
              <w:spacing w:before="0" w:after="0" w:line="360" w:lineRule="auto"/>
              <w:jc w:val="center"/>
              <w:cnfStyle w:val="100000000000" w:firstRow="1" w:lastRow="0" w:firstColumn="0" w:lastColumn="0" w:oddVBand="0" w:evenVBand="0" w:oddHBand="0" w:evenHBand="0" w:firstRowFirstColumn="0" w:firstRowLastColumn="0" w:lastRowFirstColumn="0" w:lastRowLastColumn="0"/>
            </w:pPr>
            <w:r w:rsidRPr="00471175">
              <w:t>第</w:t>
            </w:r>
            <w:r>
              <w:t>1</w:t>
            </w:r>
            <w:r w:rsidRPr="00471175">
              <w:t>級</w:t>
            </w:r>
          </w:p>
        </w:tc>
        <w:tc>
          <w:tcPr>
            <w:tcW w:w="1370" w:type="dxa"/>
            <w:hideMark/>
          </w:tcPr>
          <w:p w14:paraId="1DE2D5B6" w14:textId="77777777" w:rsidR="00455C4C" w:rsidRPr="00471175" w:rsidRDefault="00455C4C" w:rsidP="00947455">
            <w:pPr>
              <w:widowControl/>
              <w:spacing w:before="0" w:after="0" w:line="360" w:lineRule="auto"/>
              <w:jc w:val="center"/>
              <w:cnfStyle w:val="100000000000" w:firstRow="1" w:lastRow="0" w:firstColumn="0" w:lastColumn="0" w:oddVBand="0" w:evenVBand="0" w:oddHBand="0" w:evenHBand="0" w:firstRowFirstColumn="0" w:firstRowLastColumn="0" w:lastRowFirstColumn="0" w:lastRowLastColumn="0"/>
            </w:pPr>
            <w:r w:rsidRPr="00471175">
              <w:t>第</w:t>
            </w:r>
            <w:r>
              <w:rPr>
                <w:rFonts w:hint="eastAsia"/>
              </w:rPr>
              <w:t>2</w:t>
            </w:r>
            <w:r w:rsidRPr="00471175">
              <w:t>級</w:t>
            </w:r>
          </w:p>
        </w:tc>
        <w:tc>
          <w:tcPr>
            <w:tcW w:w="1371" w:type="dxa"/>
            <w:hideMark/>
          </w:tcPr>
          <w:p w14:paraId="222D59B2" w14:textId="77777777" w:rsidR="00455C4C" w:rsidRPr="00471175" w:rsidRDefault="00455C4C" w:rsidP="00947455">
            <w:pPr>
              <w:widowControl/>
              <w:spacing w:before="0" w:after="0" w:line="360" w:lineRule="auto"/>
              <w:jc w:val="center"/>
              <w:cnfStyle w:val="100000000000" w:firstRow="1" w:lastRow="0" w:firstColumn="0" w:lastColumn="0" w:oddVBand="0" w:evenVBand="0" w:oddHBand="0" w:evenHBand="0" w:firstRowFirstColumn="0" w:firstRowLastColumn="0" w:lastRowFirstColumn="0" w:lastRowLastColumn="0"/>
            </w:pPr>
            <w:r w:rsidRPr="00471175">
              <w:t>第</w:t>
            </w:r>
            <w:r w:rsidRPr="00471175">
              <w:t>3</w:t>
            </w:r>
            <w:r w:rsidRPr="00471175">
              <w:t>級</w:t>
            </w:r>
          </w:p>
        </w:tc>
        <w:tc>
          <w:tcPr>
            <w:tcW w:w="1370" w:type="dxa"/>
            <w:hideMark/>
          </w:tcPr>
          <w:p w14:paraId="40D6CC71" w14:textId="77777777" w:rsidR="00455C4C" w:rsidRPr="00471175" w:rsidRDefault="00455C4C" w:rsidP="00947455">
            <w:pPr>
              <w:widowControl/>
              <w:spacing w:before="0" w:after="0" w:line="360" w:lineRule="auto"/>
              <w:jc w:val="center"/>
              <w:cnfStyle w:val="100000000000" w:firstRow="1" w:lastRow="0" w:firstColumn="0" w:lastColumn="0" w:oddVBand="0" w:evenVBand="0" w:oddHBand="0" w:evenHBand="0" w:firstRowFirstColumn="0" w:firstRowLastColumn="0" w:lastRowFirstColumn="0" w:lastRowLastColumn="0"/>
            </w:pPr>
            <w:r w:rsidRPr="00471175">
              <w:t>第</w:t>
            </w:r>
            <w:r>
              <w:rPr>
                <w:rFonts w:hint="eastAsia"/>
              </w:rPr>
              <w:t>4</w:t>
            </w:r>
            <w:r w:rsidRPr="00471175">
              <w:t>級</w:t>
            </w:r>
          </w:p>
        </w:tc>
        <w:tc>
          <w:tcPr>
            <w:tcW w:w="1371" w:type="dxa"/>
            <w:hideMark/>
          </w:tcPr>
          <w:p w14:paraId="0B6DEF88" w14:textId="77777777" w:rsidR="00455C4C" w:rsidRPr="00471175" w:rsidRDefault="00455C4C" w:rsidP="00947455">
            <w:pPr>
              <w:widowControl/>
              <w:spacing w:before="0" w:after="0" w:line="360" w:lineRule="auto"/>
              <w:jc w:val="center"/>
              <w:cnfStyle w:val="100000000000" w:firstRow="1" w:lastRow="0" w:firstColumn="0" w:lastColumn="0" w:oddVBand="0" w:evenVBand="0" w:oddHBand="0" w:evenHBand="0" w:firstRowFirstColumn="0" w:firstRowLastColumn="0" w:lastRowFirstColumn="0" w:lastRowLastColumn="0"/>
            </w:pPr>
            <w:r w:rsidRPr="00471175">
              <w:t>第</w:t>
            </w:r>
            <w:r>
              <w:rPr>
                <w:rFonts w:hint="eastAsia"/>
              </w:rPr>
              <w:t>5</w:t>
            </w:r>
            <w:r w:rsidRPr="00471175">
              <w:t>級</w:t>
            </w:r>
          </w:p>
        </w:tc>
      </w:tr>
      <w:tr w:rsidR="00455C4C" w:rsidRPr="00471175" w14:paraId="0A138F43" w14:textId="77777777" w:rsidTr="00E84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dxa"/>
            <w:hideMark/>
          </w:tcPr>
          <w:p w14:paraId="5644545D" w14:textId="77777777" w:rsidR="00455C4C" w:rsidRPr="00471175" w:rsidRDefault="00455C4C" w:rsidP="00947455">
            <w:pPr>
              <w:widowControl/>
              <w:spacing w:before="0" w:after="0" w:line="360" w:lineRule="auto"/>
              <w:jc w:val="center"/>
            </w:pPr>
            <w:r w:rsidRPr="00471175">
              <w:t>損害程度</w:t>
            </w:r>
          </w:p>
        </w:tc>
        <w:tc>
          <w:tcPr>
            <w:tcW w:w="1371" w:type="dxa"/>
            <w:hideMark/>
          </w:tcPr>
          <w:p w14:paraId="166550D9" w14:textId="77777777" w:rsidR="00455C4C" w:rsidRPr="00471175" w:rsidRDefault="00455C4C" w:rsidP="00947455">
            <w:pPr>
              <w:widowControl/>
              <w:spacing w:before="0" w:after="0" w:line="360" w:lineRule="auto"/>
              <w:jc w:val="center"/>
              <w:cnfStyle w:val="000000100000" w:firstRow="0" w:lastRow="0" w:firstColumn="0" w:lastColumn="0" w:oddVBand="0" w:evenVBand="0" w:oddHBand="1" w:evenHBand="0" w:firstRowFirstColumn="0" w:firstRowLastColumn="0" w:lastRowFirstColumn="0" w:lastRowLastColumn="0"/>
            </w:pPr>
            <w:r w:rsidRPr="00471175">
              <w:t>0%</w:t>
            </w:r>
          </w:p>
        </w:tc>
        <w:tc>
          <w:tcPr>
            <w:tcW w:w="1370" w:type="dxa"/>
            <w:hideMark/>
          </w:tcPr>
          <w:p w14:paraId="47DB5F3C" w14:textId="77777777" w:rsidR="00455C4C" w:rsidRPr="00471175" w:rsidRDefault="00455C4C" w:rsidP="00947455">
            <w:pPr>
              <w:widowControl/>
              <w:spacing w:before="0" w:after="0" w:line="360" w:lineRule="auto"/>
              <w:jc w:val="center"/>
              <w:cnfStyle w:val="000000100000" w:firstRow="0" w:lastRow="0" w:firstColumn="0" w:lastColumn="0" w:oddVBand="0" w:evenVBand="0" w:oddHBand="1" w:evenHBand="0" w:firstRowFirstColumn="0" w:firstRowLastColumn="0" w:lastRowFirstColumn="0" w:lastRowLastColumn="0"/>
            </w:pPr>
            <w:r w:rsidRPr="00471175">
              <w:t>0%</w:t>
            </w:r>
          </w:p>
        </w:tc>
        <w:tc>
          <w:tcPr>
            <w:tcW w:w="1371" w:type="dxa"/>
            <w:hideMark/>
          </w:tcPr>
          <w:p w14:paraId="45E168CC" w14:textId="77777777" w:rsidR="00455C4C" w:rsidRPr="00471175" w:rsidRDefault="00455C4C" w:rsidP="00947455">
            <w:pPr>
              <w:widowControl/>
              <w:spacing w:before="0" w:after="0" w:line="360" w:lineRule="auto"/>
              <w:jc w:val="center"/>
              <w:cnfStyle w:val="000000100000" w:firstRow="0" w:lastRow="0" w:firstColumn="0" w:lastColumn="0" w:oddVBand="0" w:evenVBand="0" w:oddHBand="1" w:evenHBand="0" w:firstRowFirstColumn="0" w:firstRowLastColumn="0" w:lastRowFirstColumn="0" w:lastRowLastColumn="0"/>
            </w:pPr>
            <w:r w:rsidRPr="00471175">
              <w:t>0%</w:t>
            </w:r>
          </w:p>
        </w:tc>
        <w:tc>
          <w:tcPr>
            <w:tcW w:w="1370" w:type="dxa"/>
            <w:hideMark/>
          </w:tcPr>
          <w:p w14:paraId="737E3871" w14:textId="77777777" w:rsidR="00455C4C" w:rsidRPr="00471175" w:rsidRDefault="00455C4C" w:rsidP="00947455">
            <w:pPr>
              <w:widowControl/>
              <w:spacing w:before="0" w:after="0" w:line="360" w:lineRule="auto"/>
              <w:jc w:val="center"/>
              <w:cnfStyle w:val="000000100000" w:firstRow="0" w:lastRow="0" w:firstColumn="0" w:lastColumn="0" w:oddVBand="0" w:evenVBand="0" w:oddHBand="1" w:evenHBand="0" w:firstRowFirstColumn="0" w:firstRowLastColumn="0" w:lastRowFirstColumn="0" w:lastRowLastColumn="0"/>
            </w:pPr>
            <w:r w:rsidRPr="00471175">
              <w:t>0%</w:t>
            </w:r>
          </w:p>
        </w:tc>
        <w:tc>
          <w:tcPr>
            <w:tcW w:w="1371" w:type="dxa"/>
            <w:hideMark/>
          </w:tcPr>
          <w:p w14:paraId="4C483B30" w14:textId="77777777" w:rsidR="00455C4C" w:rsidRPr="00471175" w:rsidRDefault="00455C4C" w:rsidP="00947455">
            <w:pPr>
              <w:widowControl/>
              <w:spacing w:before="0" w:after="0" w:line="360" w:lineRule="auto"/>
              <w:jc w:val="center"/>
              <w:cnfStyle w:val="000000100000" w:firstRow="0" w:lastRow="0" w:firstColumn="0" w:lastColumn="0" w:oddVBand="0" w:evenVBand="0" w:oddHBand="1" w:evenHBand="0" w:firstRowFirstColumn="0" w:firstRowLastColumn="0" w:lastRowFirstColumn="0" w:lastRowLastColumn="0"/>
            </w:pPr>
            <w:r>
              <w:t>10</w:t>
            </w:r>
            <w:r w:rsidRPr="00471175">
              <w:t>0%</w:t>
            </w:r>
          </w:p>
        </w:tc>
      </w:tr>
    </w:tbl>
    <w:p w14:paraId="2B6BA341" w14:textId="77777777" w:rsidR="00455C4C" w:rsidRDefault="00455C4C" w:rsidP="00455C4C">
      <w:pPr>
        <w:widowControl/>
        <w:spacing w:before="0" w:after="0" w:line="240" w:lineRule="auto"/>
        <w:ind w:leftChars="295" w:left="708" w:firstLineChars="236" w:firstLine="566"/>
      </w:pPr>
    </w:p>
    <w:tbl>
      <w:tblPr>
        <w:tblStyle w:val="4-2"/>
        <w:tblW w:w="8221" w:type="dxa"/>
        <w:tblInd w:w="846" w:type="dxa"/>
        <w:tblLook w:val="04A0" w:firstRow="1" w:lastRow="0" w:firstColumn="1" w:lastColumn="0" w:noHBand="0" w:noVBand="1"/>
      </w:tblPr>
      <w:tblGrid>
        <w:gridCol w:w="1609"/>
        <w:gridCol w:w="1701"/>
        <w:gridCol w:w="4911"/>
      </w:tblGrid>
      <w:tr w:rsidR="00161202" w:rsidRPr="00471175" w14:paraId="45AD9A02" w14:textId="77777777" w:rsidTr="00DE3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0" w:type="dxa"/>
            <w:gridSpan w:val="2"/>
            <w:hideMark/>
          </w:tcPr>
          <w:p w14:paraId="54092B04" w14:textId="77777777" w:rsidR="00161202" w:rsidRPr="00471175" w:rsidRDefault="00161202" w:rsidP="00DE3063">
            <w:pPr>
              <w:widowControl/>
              <w:spacing w:before="0" w:after="0" w:line="240" w:lineRule="auto"/>
              <w:jc w:val="center"/>
            </w:pPr>
            <w:r w:rsidRPr="00471175">
              <w:t>情境</w:t>
            </w:r>
          </w:p>
        </w:tc>
        <w:tc>
          <w:tcPr>
            <w:tcW w:w="4911" w:type="dxa"/>
            <w:hideMark/>
          </w:tcPr>
          <w:p w14:paraId="7EC42432" w14:textId="77777777" w:rsidR="00161202" w:rsidRPr="00471175" w:rsidRDefault="00161202" w:rsidP="00DE3063">
            <w:pPr>
              <w:widowControl/>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471175">
              <w:t>財務影響</w:t>
            </w:r>
          </w:p>
        </w:tc>
      </w:tr>
      <w:tr w:rsidR="00161202" w:rsidRPr="00471175" w14:paraId="4B0EBF48" w14:textId="77777777" w:rsidTr="00DE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dxa"/>
            <w:hideMark/>
          </w:tcPr>
          <w:p w14:paraId="2FFA24B5" w14:textId="77777777" w:rsidR="00161202" w:rsidRPr="00471175" w:rsidRDefault="00161202" w:rsidP="00DE3063">
            <w:pPr>
              <w:widowControl/>
              <w:spacing w:before="0" w:after="0" w:line="240" w:lineRule="auto"/>
              <w:jc w:val="center"/>
            </w:pPr>
            <w:r w:rsidRPr="00471175">
              <w:t xml:space="preserve">RCP </w:t>
            </w:r>
            <w:r>
              <w:t>4.5</w:t>
            </w:r>
          </w:p>
        </w:tc>
        <w:tc>
          <w:tcPr>
            <w:tcW w:w="1701" w:type="dxa"/>
            <w:hideMark/>
          </w:tcPr>
          <w:p w14:paraId="2A5EEF66" w14:textId="77777777" w:rsidR="00161202" w:rsidRPr="00471175" w:rsidRDefault="00161202" w:rsidP="00DE3063">
            <w:pPr>
              <w:widowControl/>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sidRPr="00471175">
              <w:t>淹水</w:t>
            </w:r>
          </w:p>
        </w:tc>
        <w:tc>
          <w:tcPr>
            <w:tcW w:w="4911" w:type="dxa"/>
            <w:hideMark/>
          </w:tcPr>
          <w:p w14:paraId="1712E603" w14:textId="77777777" w:rsidR="00161202" w:rsidRPr="00471175" w:rsidRDefault="00161202" w:rsidP="00DE3063">
            <w:pPr>
              <w:widowControl/>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sidRPr="000D0601">
              <w:rPr>
                <w:rFonts w:hint="eastAsia"/>
              </w:rPr>
              <w:t>作業風險損失金額約</w:t>
            </w:r>
            <w:r w:rsidRPr="000D0601">
              <w:rPr>
                <w:rFonts w:hint="eastAsia"/>
              </w:rPr>
              <w:t>5000</w:t>
            </w:r>
            <w:r w:rsidRPr="000D0601">
              <w:rPr>
                <w:rFonts w:hint="eastAsia"/>
              </w:rPr>
              <w:t>萬元</w:t>
            </w:r>
          </w:p>
        </w:tc>
      </w:tr>
      <w:tr w:rsidR="00161202" w:rsidRPr="00471175" w14:paraId="78745DD7" w14:textId="77777777" w:rsidTr="00DE3063">
        <w:tc>
          <w:tcPr>
            <w:cnfStyle w:val="001000000000" w:firstRow="0" w:lastRow="0" w:firstColumn="1" w:lastColumn="0" w:oddVBand="0" w:evenVBand="0" w:oddHBand="0" w:evenHBand="0" w:firstRowFirstColumn="0" w:firstRowLastColumn="0" w:lastRowFirstColumn="0" w:lastRowLastColumn="0"/>
            <w:tcW w:w="1609" w:type="dxa"/>
            <w:hideMark/>
          </w:tcPr>
          <w:p w14:paraId="0FCCFDDB" w14:textId="77777777" w:rsidR="00161202" w:rsidRPr="00471175" w:rsidRDefault="00161202" w:rsidP="00DE3063">
            <w:pPr>
              <w:widowControl/>
              <w:spacing w:before="0" w:after="0" w:line="240" w:lineRule="auto"/>
              <w:jc w:val="center"/>
            </w:pPr>
            <w:r w:rsidRPr="00471175">
              <w:t>RCP 8.5</w:t>
            </w:r>
          </w:p>
        </w:tc>
        <w:tc>
          <w:tcPr>
            <w:tcW w:w="1701" w:type="dxa"/>
            <w:hideMark/>
          </w:tcPr>
          <w:p w14:paraId="46338616" w14:textId="77777777" w:rsidR="00161202" w:rsidRPr="00471175" w:rsidRDefault="00161202" w:rsidP="00DE3063">
            <w:pPr>
              <w:widowControl/>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471175">
              <w:t>淹水</w:t>
            </w:r>
          </w:p>
        </w:tc>
        <w:tc>
          <w:tcPr>
            <w:tcW w:w="4911" w:type="dxa"/>
            <w:hideMark/>
          </w:tcPr>
          <w:p w14:paraId="41ABD76E" w14:textId="77777777" w:rsidR="00161202" w:rsidRPr="00471175" w:rsidRDefault="00161202" w:rsidP="00DE3063">
            <w:pPr>
              <w:widowControl/>
              <w:spacing w:before="0" w:after="0" w:line="240" w:lineRule="auto"/>
              <w:jc w:val="center"/>
              <w:cnfStyle w:val="000000000000" w:firstRow="0" w:lastRow="0" w:firstColumn="0" w:lastColumn="0" w:oddVBand="0" w:evenVBand="0" w:oddHBand="0" w:evenHBand="0" w:firstRowFirstColumn="0" w:firstRowLastColumn="0" w:lastRowFirstColumn="0" w:lastRowLastColumn="0"/>
            </w:pPr>
            <w:r w:rsidRPr="000D0601">
              <w:rPr>
                <w:rFonts w:hint="eastAsia"/>
              </w:rPr>
              <w:t>作業風險損失金額約</w:t>
            </w:r>
            <w:r w:rsidRPr="000D0601">
              <w:rPr>
                <w:rFonts w:hint="eastAsia"/>
              </w:rPr>
              <w:t>5000</w:t>
            </w:r>
            <w:r w:rsidRPr="000D0601">
              <w:rPr>
                <w:rFonts w:hint="eastAsia"/>
              </w:rPr>
              <w:t>萬元</w:t>
            </w:r>
          </w:p>
        </w:tc>
      </w:tr>
    </w:tbl>
    <w:p w14:paraId="6EE5FC9B" w14:textId="60083698" w:rsidR="00947455" w:rsidRDefault="00947455">
      <w:pPr>
        <w:widowControl/>
        <w:spacing w:before="0" w:after="0" w:line="240" w:lineRule="auto"/>
      </w:pPr>
    </w:p>
    <w:p w14:paraId="0818BC66" w14:textId="1224B9F9" w:rsidR="00455C4C" w:rsidRPr="00471175" w:rsidRDefault="00455C4C" w:rsidP="00455C4C">
      <w:pPr>
        <w:widowControl/>
        <w:spacing w:before="0" w:afterLines="50" w:after="180" w:line="0" w:lineRule="atLeast"/>
        <w:ind w:leftChars="177" w:left="1558" w:rightChars="39" w:right="94" w:hangingChars="472" w:hanging="1133"/>
      </w:pPr>
      <w:r w:rsidRPr="00471175">
        <w:t>4.</w:t>
      </w:r>
      <w:r w:rsidRPr="00471175">
        <w:t>因應措施</w:t>
      </w:r>
      <w:r w:rsidR="00E9440F" w:rsidRPr="008178A1">
        <w:rPr>
          <w:rFonts w:eastAsia="新細明體"/>
          <w:color w:val="0070C0"/>
          <w:sz w:val="16"/>
          <w:szCs w:val="16"/>
        </w:rPr>
        <w:t>【</w:t>
      </w:r>
      <w:r w:rsidR="00E9440F" w:rsidRPr="008178A1">
        <w:rPr>
          <w:rFonts w:eastAsia="新細明體"/>
          <w:color w:val="0070C0"/>
          <w:sz w:val="16"/>
          <w:szCs w:val="16"/>
        </w:rPr>
        <w:t>S.</w:t>
      </w:r>
      <w:r w:rsidR="00E9440F">
        <w:rPr>
          <w:rFonts w:eastAsia="新細明體"/>
          <w:color w:val="0070C0"/>
          <w:sz w:val="16"/>
          <w:szCs w:val="16"/>
        </w:rPr>
        <w:t>3.</w:t>
      </w:r>
      <w:r w:rsidR="00E9440F" w:rsidRPr="008178A1">
        <w:rPr>
          <w:rFonts w:eastAsia="新細明體"/>
          <w:color w:val="0070C0"/>
          <w:sz w:val="16"/>
          <w:szCs w:val="16"/>
        </w:rPr>
        <w:t>(</w:t>
      </w:r>
      <w:r w:rsidR="00E9440F">
        <w:rPr>
          <w:rFonts w:eastAsia="新細明體"/>
          <w:color w:val="0070C0"/>
          <w:sz w:val="16"/>
          <w:szCs w:val="16"/>
        </w:rPr>
        <w:t>2</w:t>
      </w:r>
      <w:r w:rsidR="00E9440F" w:rsidRPr="008178A1">
        <w:rPr>
          <w:rFonts w:eastAsia="新細明體"/>
          <w:color w:val="0070C0"/>
          <w:sz w:val="16"/>
          <w:szCs w:val="16"/>
        </w:rPr>
        <w:t>)</w:t>
      </w:r>
      <w:r w:rsidR="00E9440F" w:rsidRPr="008178A1">
        <w:rPr>
          <w:rFonts w:eastAsia="新細明體"/>
          <w:color w:val="0070C0"/>
          <w:sz w:val="16"/>
          <w:szCs w:val="16"/>
        </w:rPr>
        <w:t>】</w:t>
      </w:r>
    </w:p>
    <w:p w14:paraId="380052B9" w14:textId="77777777" w:rsidR="00455C4C" w:rsidRDefault="00455C4C" w:rsidP="00455C4C">
      <w:pPr>
        <w:widowControl/>
        <w:spacing w:before="0" w:after="0" w:line="240" w:lineRule="auto"/>
        <w:ind w:leftChars="295" w:left="708" w:firstLineChars="236" w:firstLine="566"/>
      </w:pPr>
      <w:r w:rsidRPr="00471175">
        <w:t>雖對自身營運實體風險之情境分析結果尚無重大影響，惟隨著時間演進，預期發生風險事件的頻率將會增多且預估損失金額將會增加，爰未來將規劃</w:t>
      </w:r>
      <w:r>
        <w:rPr>
          <w:rFonts w:hint="eastAsia"/>
        </w:rPr>
        <w:t>：</w:t>
      </w:r>
    </w:p>
    <w:p w14:paraId="7F72497C" w14:textId="77777777" w:rsidR="00455C4C" w:rsidRPr="00471175" w:rsidRDefault="00455C4C" w:rsidP="00455C4C">
      <w:pPr>
        <w:pStyle w:val="a4"/>
        <w:widowControl/>
        <w:numPr>
          <w:ilvl w:val="0"/>
          <w:numId w:val="30"/>
        </w:numPr>
        <w:spacing w:beforeLines="50" w:before="180" w:afterLines="50" w:after="180" w:line="240" w:lineRule="auto"/>
        <w:ind w:leftChars="0" w:left="1276" w:hanging="283"/>
      </w:pPr>
      <w:r w:rsidRPr="00471175">
        <w:t>備有不斷電設備、備援伺服器及異地備援等機制，定期進行災害應急措施演練，確保危機來臨時設備及機制可以正常運行；</w:t>
      </w:r>
    </w:p>
    <w:p w14:paraId="5E7A28C9" w14:textId="77777777" w:rsidR="00455C4C" w:rsidRPr="00471175" w:rsidRDefault="00455C4C" w:rsidP="00455C4C">
      <w:pPr>
        <w:pStyle w:val="a4"/>
        <w:widowControl/>
        <w:numPr>
          <w:ilvl w:val="0"/>
          <w:numId w:val="30"/>
        </w:numPr>
        <w:spacing w:beforeLines="50" w:before="180" w:afterLines="50" w:after="180" w:line="240" w:lineRule="auto"/>
        <w:ind w:leftChars="0" w:left="1276" w:hanging="283"/>
      </w:pPr>
      <w:r w:rsidRPr="00471175">
        <w:t>導入</w:t>
      </w:r>
      <w:r w:rsidRPr="00471175">
        <w:t>ISO 22301</w:t>
      </w:r>
      <w:r w:rsidRPr="00471175">
        <w:t>營運持續管理系統，建立標準流程降低營運中斷風險，俾以確保從實體災害中能</w:t>
      </w:r>
      <w:r w:rsidRPr="00471175">
        <w:t xml:space="preserve"> </w:t>
      </w:r>
      <w:r w:rsidRPr="00471175">
        <w:t>進行據點復原機制。</w:t>
      </w:r>
    </w:p>
    <w:p w14:paraId="7CD77FB1" w14:textId="77777777" w:rsidR="00F0783F" w:rsidRPr="00471175" w:rsidRDefault="00F0783F" w:rsidP="00F0783F">
      <w:pPr>
        <w:widowControl/>
        <w:spacing w:before="0" w:after="0" w:line="240" w:lineRule="auto"/>
      </w:pPr>
      <w:r w:rsidRPr="00471175">
        <w:br w:type="page"/>
      </w:r>
    </w:p>
    <w:p w14:paraId="724AA9A6" w14:textId="7D75511D" w:rsidR="00F0783F" w:rsidRPr="00EA5EE0" w:rsidRDefault="00F0783F" w:rsidP="00EA5EE0">
      <w:pPr>
        <w:pStyle w:val="afff8"/>
        <w:ind w:leftChars="0" w:hangingChars="150" w:hanging="480"/>
        <w:jc w:val="center"/>
        <w:rPr>
          <w:b/>
          <w:bCs w:val="0"/>
          <w:sz w:val="32"/>
          <w:szCs w:val="32"/>
        </w:rPr>
      </w:pPr>
      <w:bookmarkStart w:id="8" w:name="_Toc140587665"/>
      <w:bookmarkStart w:id="9" w:name="_Toc144912777"/>
      <w:r w:rsidRPr="00EA5EE0">
        <w:rPr>
          <w:b/>
          <w:bCs w:val="0"/>
          <w:sz w:val="32"/>
          <w:szCs w:val="32"/>
        </w:rPr>
        <w:lastRenderedPageBreak/>
        <w:t>第三章</w:t>
      </w:r>
      <w:r w:rsidRPr="00EA5EE0">
        <w:rPr>
          <w:b/>
          <w:bCs w:val="0"/>
          <w:sz w:val="32"/>
          <w:szCs w:val="32"/>
        </w:rPr>
        <w:t xml:space="preserve"> </w:t>
      </w:r>
      <w:r w:rsidRPr="00EA5EE0">
        <w:rPr>
          <w:b/>
          <w:bCs w:val="0"/>
          <w:sz w:val="32"/>
          <w:szCs w:val="32"/>
        </w:rPr>
        <w:t>風險管理</w:t>
      </w:r>
      <w:bookmarkEnd w:id="8"/>
      <w:r w:rsidR="00B477DB" w:rsidRPr="00EA5EE0">
        <w:rPr>
          <w:rFonts w:hint="eastAsia"/>
          <w:b/>
          <w:bCs w:val="0"/>
          <w:sz w:val="32"/>
          <w:szCs w:val="32"/>
        </w:rPr>
        <w:t xml:space="preserve"> </w:t>
      </w:r>
      <w:r w:rsidR="00B477DB" w:rsidRPr="00EA5EE0">
        <w:rPr>
          <w:b/>
          <w:bCs w:val="0"/>
          <w:sz w:val="32"/>
          <w:szCs w:val="32"/>
        </w:rPr>
        <w:t>(RISK MANAGEMENT)</w:t>
      </w:r>
      <w:bookmarkEnd w:id="9"/>
    </w:p>
    <w:tbl>
      <w:tblPr>
        <w:tblStyle w:val="aa"/>
        <w:tblW w:w="10207" w:type="dxa"/>
        <w:tblInd w:w="-435" w:type="dxa"/>
        <w:tblLook w:val="04A0" w:firstRow="1" w:lastRow="0" w:firstColumn="1" w:lastColumn="0" w:noHBand="0" w:noVBand="1"/>
      </w:tblPr>
      <w:tblGrid>
        <w:gridCol w:w="10207"/>
      </w:tblGrid>
      <w:tr w:rsidR="00455C4C" w:rsidRPr="00471175" w14:paraId="5374AB60" w14:textId="77777777" w:rsidTr="00297747">
        <w:tc>
          <w:tcPr>
            <w:tcW w:w="10207" w:type="dxa"/>
            <w:shd w:val="clear" w:color="auto" w:fill="auto"/>
          </w:tcPr>
          <w:p w14:paraId="5B1AD769" w14:textId="7FCA06EC" w:rsidR="00455C4C" w:rsidRPr="004546D9" w:rsidRDefault="00455C4C" w:rsidP="00455C4C">
            <w:pPr>
              <w:spacing w:before="0" w:afterLines="50" w:after="180" w:line="0" w:lineRule="atLeast"/>
              <w:ind w:left="319" w:hangingChars="133" w:hanging="319"/>
              <w:jc w:val="both"/>
            </w:pPr>
            <w:r w:rsidRPr="004546D9">
              <w:t>R.</w:t>
            </w:r>
            <w:r w:rsidR="00CA61B3" w:rsidRPr="004546D9">
              <w:t>1</w:t>
            </w:r>
            <w:r w:rsidR="00CA61B3" w:rsidRPr="004546D9">
              <w:rPr>
                <w:rFonts w:hint="eastAsia"/>
              </w:rPr>
              <w:t>投信事業應揭露其辨識及評估氣候相關風險之流程：宜說明其如何辨識與評估各產品或投資策略中的重大氣候相關風險，及流程中所使用之資源與工具。</w:t>
            </w:r>
          </w:p>
          <w:p w14:paraId="75F35488" w14:textId="38CB1074" w:rsidR="00455C4C" w:rsidRPr="004546D9" w:rsidRDefault="00455C4C" w:rsidP="00455C4C">
            <w:pPr>
              <w:spacing w:before="0" w:afterLines="50" w:after="180" w:line="0" w:lineRule="atLeast"/>
              <w:jc w:val="both"/>
            </w:pPr>
            <w:r w:rsidRPr="004546D9">
              <w:t>R.</w:t>
            </w:r>
            <w:r w:rsidR="00CA61B3" w:rsidRPr="004546D9">
              <w:t>2</w:t>
            </w:r>
            <w:r w:rsidR="00CA61B3" w:rsidRPr="004546D9">
              <w:rPr>
                <w:rFonts w:hint="eastAsia"/>
              </w:rPr>
              <w:t>投信事業應揭露其管理氣候相關風險的流程：</w:t>
            </w:r>
          </w:p>
          <w:p w14:paraId="583D972E" w14:textId="6D17C0C7" w:rsidR="00CA61B3" w:rsidRPr="004546D9" w:rsidRDefault="00CA61B3" w:rsidP="00CA61B3">
            <w:pPr>
              <w:spacing w:before="0" w:afterLines="50" w:after="180" w:line="0" w:lineRule="atLeast"/>
              <w:ind w:leftChars="133" w:left="461" w:hangingChars="59" w:hanging="142"/>
              <w:jc w:val="both"/>
            </w:pPr>
            <w:r w:rsidRPr="004546D9">
              <w:rPr>
                <w:rFonts w:hint="eastAsia"/>
              </w:rPr>
              <w:t>(1</w:t>
            </w:r>
            <w:r w:rsidRPr="004546D9">
              <w:t>)</w:t>
            </w:r>
            <w:r w:rsidRPr="004546D9">
              <w:rPr>
                <w:rFonts w:hint="eastAsia"/>
              </w:rPr>
              <w:t>描述如何在各個產品或投資策略中管理所鑑別出之重大氣候風險。</w:t>
            </w:r>
          </w:p>
          <w:p w14:paraId="2EA38422" w14:textId="625756D5" w:rsidR="00CA61B3" w:rsidRPr="004546D9" w:rsidRDefault="00CA61B3" w:rsidP="00CA61B3">
            <w:pPr>
              <w:spacing w:before="0" w:afterLines="50" w:after="180" w:line="0" w:lineRule="atLeast"/>
              <w:ind w:leftChars="132" w:left="691" w:hangingChars="156" w:hanging="374"/>
              <w:jc w:val="both"/>
            </w:pPr>
            <w:r w:rsidRPr="004546D9">
              <w:rPr>
                <w:rFonts w:hint="eastAsia"/>
              </w:rPr>
              <w:t>(2</w:t>
            </w:r>
            <w:r w:rsidRPr="004546D9">
              <w:t>)</w:t>
            </w:r>
            <w:r w:rsidRPr="004546D9">
              <w:rPr>
                <w:rFonts w:hint="eastAsia"/>
              </w:rPr>
              <w:t>依內部控制三道防線架構，明確劃分各防線之氣候風險管理職責。</w:t>
            </w:r>
          </w:p>
          <w:p w14:paraId="07794C66" w14:textId="48606139" w:rsidR="00455C4C" w:rsidRPr="004546D9" w:rsidRDefault="00455C4C" w:rsidP="00CA61B3">
            <w:pPr>
              <w:spacing w:before="0" w:afterLines="50" w:after="180" w:line="0" w:lineRule="atLeast"/>
              <w:ind w:left="317" w:hangingChars="132" w:hanging="317"/>
              <w:jc w:val="both"/>
            </w:pPr>
            <w:r w:rsidRPr="004546D9">
              <w:t>R.</w:t>
            </w:r>
            <w:r w:rsidR="00CA61B3" w:rsidRPr="004546D9">
              <w:t>3</w:t>
            </w:r>
            <w:r w:rsidR="00CA61B3" w:rsidRPr="004546D9">
              <w:rPr>
                <w:rFonts w:hint="eastAsia"/>
              </w:rPr>
              <w:t>投信事業應描述其氣候相關風險之識別、評估與管理流程如何整合進公司整體之風險管理制度。</w:t>
            </w:r>
          </w:p>
        </w:tc>
      </w:tr>
    </w:tbl>
    <w:p w14:paraId="3D3ED89B" w14:textId="75E412DB" w:rsidR="009167EB" w:rsidRPr="00471175" w:rsidRDefault="009167EB" w:rsidP="00706853">
      <w:pPr>
        <w:widowControl/>
        <w:spacing w:before="0" w:afterLines="50" w:after="180" w:line="0" w:lineRule="atLeast"/>
        <w:ind w:leftChars="100" w:left="240" w:firstLineChars="195" w:firstLine="312"/>
        <w:jc w:val="both"/>
        <w:rPr>
          <w:rFonts w:eastAsia="微軟正黑體"/>
          <w:color w:val="0070C0"/>
          <w:sz w:val="16"/>
          <w:szCs w:val="16"/>
        </w:rPr>
      </w:pPr>
    </w:p>
    <w:p w14:paraId="2DAE16D5" w14:textId="0D5319C9" w:rsidR="0090202B" w:rsidRPr="00471175" w:rsidRDefault="0090202B" w:rsidP="0090202B">
      <w:pPr>
        <w:widowControl/>
        <w:spacing w:before="0" w:afterLines="50" w:after="180" w:line="360" w:lineRule="exact"/>
        <w:ind w:leftChars="60" w:left="240" w:hangingChars="40" w:hanging="96"/>
        <w:jc w:val="both"/>
        <w:rPr>
          <w:b/>
          <w:bCs/>
        </w:rPr>
      </w:pPr>
      <w:r w:rsidRPr="00471175">
        <w:rPr>
          <w:b/>
          <w:bCs/>
        </w:rPr>
        <w:t>一、</w:t>
      </w:r>
      <w:r w:rsidRPr="0090202B">
        <w:rPr>
          <w:rFonts w:hint="eastAsia"/>
          <w:b/>
          <w:bCs/>
        </w:rPr>
        <w:t>辨識及評估氣候相關風險之流程</w:t>
      </w:r>
      <w:r w:rsidRPr="00471175">
        <w:rPr>
          <w:rFonts w:eastAsia="微軟正黑體"/>
          <w:color w:val="0070C0"/>
          <w:sz w:val="16"/>
          <w:szCs w:val="16"/>
        </w:rPr>
        <w:t>【</w:t>
      </w:r>
      <w:r w:rsidRPr="00471175">
        <w:rPr>
          <w:rFonts w:eastAsia="微軟正黑體"/>
          <w:color w:val="0070C0"/>
          <w:sz w:val="16"/>
          <w:szCs w:val="16"/>
        </w:rPr>
        <w:t>R.</w:t>
      </w:r>
      <w:r w:rsidR="00DF036A">
        <w:rPr>
          <w:rFonts w:eastAsia="微軟正黑體"/>
          <w:color w:val="0070C0"/>
          <w:sz w:val="16"/>
          <w:szCs w:val="16"/>
        </w:rPr>
        <w:t>1</w:t>
      </w:r>
      <w:r w:rsidRPr="00471175">
        <w:rPr>
          <w:rFonts w:eastAsia="微軟正黑體"/>
          <w:color w:val="0070C0"/>
          <w:sz w:val="16"/>
          <w:szCs w:val="16"/>
        </w:rPr>
        <w:t>】</w:t>
      </w:r>
    </w:p>
    <w:p w14:paraId="242DD152" w14:textId="1F857BFE" w:rsidR="00F0783F" w:rsidRPr="00471175" w:rsidRDefault="00F0783F" w:rsidP="0090202B">
      <w:pPr>
        <w:widowControl/>
        <w:spacing w:before="0" w:afterLines="50" w:after="180" w:line="360" w:lineRule="exact"/>
        <w:ind w:leftChars="236" w:left="566" w:firstLineChars="235" w:firstLine="564"/>
        <w:jc w:val="both"/>
      </w:pPr>
      <w:r w:rsidRPr="00471175">
        <w:t>Ａ投信建有完整的風險管理組織架構、政策及管理規範，風險範圍涵蓋營運風險、法律及法遵風險，以及環境風險</w:t>
      </w:r>
      <w:r w:rsidRPr="00471175">
        <w:t>(</w:t>
      </w:r>
      <w:r w:rsidRPr="00471175">
        <w:t>含氣候風險</w:t>
      </w:r>
      <w:r w:rsidRPr="00471175">
        <w:t>)</w:t>
      </w:r>
      <w:r w:rsidRPr="00471175">
        <w:t>，考量面向包括環境</w:t>
      </w:r>
      <w:r w:rsidRPr="00471175">
        <w:t>(E, Environmental</w:t>
      </w:r>
      <w:r w:rsidRPr="00471175">
        <w:t>）、社會責任（</w:t>
      </w:r>
      <w:r w:rsidRPr="00471175">
        <w:t>S, Social</w:t>
      </w:r>
      <w:r w:rsidRPr="00471175">
        <w:t>）以及公司治理（</w:t>
      </w:r>
      <w:r w:rsidRPr="00471175">
        <w:t>G, Governance</w:t>
      </w:r>
      <w:r w:rsidRPr="00471175">
        <w:t>）。</w:t>
      </w:r>
    </w:p>
    <w:p w14:paraId="0CC3EE17" w14:textId="4810F030" w:rsidR="00F0783F" w:rsidRPr="00471175" w:rsidRDefault="00F0783F" w:rsidP="0090202B">
      <w:pPr>
        <w:widowControl/>
        <w:spacing w:before="0" w:afterLines="50" w:after="180" w:line="360" w:lineRule="exact"/>
        <w:ind w:leftChars="236" w:left="566" w:firstLineChars="235" w:firstLine="564"/>
        <w:jc w:val="both"/>
      </w:pPr>
      <w:r w:rsidRPr="00471175">
        <w:t>Ａ投信風險管理政策已納入環境風險</w:t>
      </w:r>
      <w:r w:rsidRPr="00471175">
        <w:t>(</w:t>
      </w:r>
      <w:r w:rsidRPr="00471175">
        <w:t>含氣候風險</w:t>
      </w:r>
      <w:r w:rsidRPr="00471175">
        <w:t>)</w:t>
      </w:r>
      <w:r w:rsidRPr="00471175">
        <w:t>，將氣候變遷視為戰略性的商業風險，並將其辨識、衡量與管理流程納入公司整體風險程序。環境風險</w:t>
      </w:r>
      <w:r w:rsidRPr="00471175">
        <w:t>(</w:t>
      </w:r>
      <w:r w:rsidRPr="00471175">
        <w:t>含氣候風險</w:t>
      </w:r>
      <w:r w:rsidRPr="00471175">
        <w:t>)</w:t>
      </w:r>
      <w:r w:rsidRPr="00471175">
        <w:t>涵括如下轉型風險或實體風險的辨識與評估，皆與既有風險管理框架整合，包含質化與量化的分析。</w:t>
      </w:r>
    </w:p>
    <w:tbl>
      <w:tblPr>
        <w:tblStyle w:val="6-6"/>
        <w:tblpPr w:leftFromText="180" w:rightFromText="180" w:vertAnchor="text" w:horzAnchor="margin" w:tblpX="411" w:tblpY="113"/>
        <w:tblW w:w="8788" w:type="dxa"/>
        <w:tblLook w:val="04A0" w:firstRow="1" w:lastRow="0" w:firstColumn="1" w:lastColumn="0" w:noHBand="0" w:noVBand="1"/>
      </w:tblPr>
      <w:tblGrid>
        <w:gridCol w:w="1275"/>
        <w:gridCol w:w="7513"/>
      </w:tblGrid>
      <w:tr w:rsidR="00F0783F" w:rsidRPr="00471175" w14:paraId="1345E946" w14:textId="77777777" w:rsidTr="00FB5B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53919DC7" w14:textId="77777777" w:rsidR="00F0783F" w:rsidRPr="00471175" w:rsidRDefault="00F0783F" w:rsidP="00FB5B4C">
            <w:pPr>
              <w:widowControl/>
              <w:spacing w:before="0" w:afterLines="50" w:after="180" w:line="360" w:lineRule="exact"/>
              <w:jc w:val="both"/>
            </w:pPr>
            <w:r w:rsidRPr="00471175">
              <w:t>實體風險</w:t>
            </w:r>
          </w:p>
        </w:tc>
        <w:tc>
          <w:tcPr>
            <w:tcW w:w="7513" w:type="dxa"/>
          </w:tcPr>
          <w:p w14:paraId="145EC8B1" w14:textId="3F619E37" w:rsidR="00F0783F" w:rsidRPr="00471175" w:rsidRDefault="00F0783F" w:rsidP="00FB5B4C">
            <w:pPr>
              <w:widowControl/>
              <w:spacing w:before="0" w:afterLines="50" w:after="180" w:line="360" w:lineRule="exact"/>
              <w:jc w:val="both"/>
              <w:cnfStyle w:val="100000000000" w:firstRow="1" w:lastRow="0" w:firstColumn="0" w:lastColumn="0" w:oddVBand="0" w:evenVBand="0" w:oddHBand="0" w:evenHBand="0" w:firstRowFirstColumn="0" w:firstRowLastColumn="0" w:lastRowFirstColumn="0" w:lastRowLastColumn="0"/>
              <w:rPr>
                <w:b w:val="0"/>
                <w:bCs w:val="0"/>
              </w:rPr>
            </w:pPr>
            <w:r w:rsidRPr="00471175">
              <w:rPr>
                <w:b w:val="0"/>
                <w:bCs w:val="0"/>
              </w:rPr>
              <w:t>氣候變遷隨時間的增量改變會影響投資對象經濟表現和生產力，而極端事件可能導致固定資產的破壞、運營中斷、生產減損，以及資產價值的潛在變化。Ａ投信於評估氣候變遷的實體風險主要考量兩種情境，第一為氣候的長期變化情形，第二是極端氣象事件改變所造成的影響</w:t>
            </w:r>
            <w:r w:rsidR="008E2B2A" w:rsidRPr="004546D9">
              <w:rPr>
                <w:rFonts w:hint="eastAsia"/>
                <w:b w:val="0"/>
                <w:bCs w:val="0"/>
              </w:rPr>
              <w:t>，並使用第三方數據平台，如國家災害防救科技中心</w:t>
            </w:r>
            <w:r w:rsidR="008E2B2A" w:rsidRPr="004546D9">
              <w:rPr>
                <w:rFonts w:hint="eastAsia"/>
                <w:b w:val="0"/>
                <w:bCs w:val="0"/>
              </w:rPr>
              <w:t>(NCDR)</w:t>
            </w:r>
            <w:r w:rsidR="008E2B2A" w:rsidRPr="004546D9">
              <w:rPr>
                <w:rFonts w:hint="eastAsia"/>
                <w:b w:val="0"/>
                <w:bCs w:val="0"/>
              </w:rPr>
              <w:t>之氣候變遷災害風險調適平台，或聯徵中心之金融業氣候實體風險資訊平台等，評估相關實體風險</w:t>
            </w:r>
            <w:r w:rsidRPr="00471175">
              <w:rPr>
                <w:b w:val="0"/>
                <w:bCs w:val="0"/>
              </w:rPr>
              <w:t>。投資組合對實體風險的脆弱性具有不同差異，不同的客戶與投資對象也因所在地理區域的不同，而有不同的風險類型與災害潛勢。</w:t>
            </w:r>
          </w:p>
        </w:tc>
      </w:tr>
      <w:tr w:rsidR="00F0783F" w:rsidRPr="00471175" w14:paraId="03C270D8" w14:textId="77777777" w:rsidTr="00FB5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7C12D407" w14:textId="77777777" w:rsidR="00F0783F" w:rsidRPr="00471175" w:rsidRDefault="00F0783F" w:rsidP="00FB5B4C">
            <w:pPr>
              <w:widowControl/>
              <w:spacing w:before="0" w:afterLines="50" w:after="180" w:line="360" w:lineRule="exact"/>
              <w:jc w:val="both"/>
            </w:pPr>
            <w:r w:rsidRPr="00471175">
              <w:t>轉型風險</w:t>
            </w:r>
          </w:p>
        </w:tc>
        <w:tc>
          <w:tcPr>
            <w:tcW w:w="7513" w:type="dxa"/>
          </w:tcPr>
          <w:p w14:paraId="795D1A2F" w14:textId="21C9381A" w:rsidR="00F0783F" w:rsidRPr="00471175" w:rsidRDefault="00F0783F" w:rsidP="00FB5B4C">
            <w:pPr>
              <w:widowControl/>
              <w:spacing w:before="0" w:afterLines="50" w:after="180" w:line="360" w:lineRule="exact"/>
              <w:jc w:val="both"/>
              <w:cnfStyle w:val="000000100000" w:firstRow="0" w:lastRow="0" w:firstColumn="0" w:lastColumn="0" w:oddVBand="0" w:evenVBand="0" w:oddHBand="1" w:evenHBand="0" w:firstRowFirstColumn="0" w:firstRowLastColumn="0" w:lastRowFirstColumn="0" w:lastRowLastColumn="0"/>
              <w:rPr>
                <w:b/>
                <w:bCs/>
              </w:rPr>
            </w:pPr>
            <w:r w:rsidRPr="00471175">
              <w:t>現今國際趨勢為各國政府可能透過稅收、補貼、法規從嚴等抑制碳排，進而影響投資對象之成本或營收，低碳技術門檻與客戶要求也可能降低其產品的需求或提升額外的資本投資，因此</w:t>
            </w:r>
            <w:r w:rsidR="005C49DE" w:rsidRPr="004546D9">
              <w:rPr>
                <w:rFonts w:hint="eastAsia"/>
              </w:rPr>
              <w:t>採用</w:t>
            </w:r>
            <w:r w:rsidR="00C93134" w:rsidRPr="004546D9">
              <w:rPr>
                <w:rFonts w:hint="eastAsia"/>
              </w:rPr>
              <w:t>P</w:t>
            </w:r>
            <w:r w:rsidR="00C93134" w:rsidRPr="004546D9">
              <w:t>CAF</w:t>
            </w:r>
            <w:r w:rsidR="00C93134" w:rsidRPr="004546D9">
              <w:rPr>
                <w:rFonts w:hint="eastAsia"/>
              </w:rPr>
              <w:t>方法學計算碳排並搭配</w:t>
            </w:r>
            <w:r w:rsidR="005C49DE" w:rsidRPr="004546D9">
              <w:rPr>
                <w:rFonts w:hint="eastAsia"/>
              </w:rPr>
              <w:t>N</w:t>
            </w:r>
            <w:r w:rsidR="005C49DE" w:rsidRPr="004546D9">
              <w:t>GFS</w:t>
            </w:r>
            <w:r w:rsidR="005C49DE" w:rsidRPr="004546D9">
              <w:rPr>
                <w:rFonts w:hint="eastAsia"/>
              </w:rPr>
              <w:t>假設碳價之</w:t>
            </w:r>
            <w:r w:rsidRPr="00471175">
              <w:t>轉型風險分析</w:t>
            </w:r>
            <w:r w:rsidR="005C49DE" w:rsidRPr="004546D9">
              <w:rPr>
                <w:rFonts w:hint="eastAsia"/>
              </w:rPr>
              <w:t>，</w:t>
            </w:r>
            <w:r w:rsidRPr="00471175">
              <w:t>可為Ａ投信的投資決策提供指引方向，供進行避險並協助確認潛在的低碳市場機會。Ａ投信主要考量法規因素，來評估特定產業或投資對象對政策的反應結果。</w:t>
            </w:r>
          </w:p>
        </w:tc>
      </w:tr>
    </w:tbl>
    <w:p w14:paraId="6059D037" w14:textId="10AC0DE9" w:rsidR="0090202B" w:rsidRPr="0090202B" w:rsidRDefault="0090202B" w:rsidP="0090202B">
      <w:pPr>
        <w:widowControl/>
        <w:spacing w:before="0" w:afterLines="50" w:after="180" w:line="360" w:lineRule="exact"/>
        <w:ind w:leftChars="60" w:left="240" w:hangingChars="40" w:hanging="96"/>
        <w:jc w:val="both"/>
      </w:pPr>
      <w:r>
        <w:rPr>
          <w:rFonts w:hint="eastAsia"/>
          <w:b/>
          <w:bCs/>
        </w:rPr>
        <w:lastRenderedPageBreak/>
        <w:t>二</w:t>
      </w:r>
      <w:r w:rsidRPr="00471175">
        <w:rPr>
          <w:b/>
          <w:bCs/>
        </w:rPr>
        <w:t>、</w:t>
      </w:r>
      <w:r w:rsidRPr="0090202B">
        <w:rPr>
          <w:rFonts w:hint="eastAsia"/>
          <w:b/>
          <w:bCs/>
        </w:rPr>
        <w:t>管理氣候相關風險的流程</w:t>
      </w:r>
      <w:r w:rsidRPr="00471175">
        <w:rPr>
          <w:rFonts w:eastAsia="微軟正黑體"/>
          <w:color w:val="0070C0"/>
          <w:sz w:val="16"/>
          <w:szCs w:val="16"/>
        </w:rPr>
        <w:t>【</w:t>
      </w:r>
      <w:r w:rsidRPr="00471175">
        <w:rPr>
          <w:rFonts w:eastAsia="微軟正黑體"/>
          <w:color w:val="0070C0"/>
          <w:sz w:val="16"/>
          <w:szCs w:val="16"/>
        </w:rPr>
        <w:t>R.</w:t>
      </w:r>
      <w:r w:rsidR="00DF036A">
        <w:rPr>
          <w:rFonts w:eastAsia="微軟正黑體"/>
          <w:color w:val="0070C0"/>
          <w:sz w:val="16"/>
          <w:szCs w:val="16"/>
        </w:rPr>
        <w:t>2</w:t>
      </w:r>
      <w:r w:rsidRPr="00471175">
        <w:rPr>
          <w:rFonts w:eastAsia="微軟正黑體"/>
          <w:color w:val="0070C0"/>
          <w:sz w:val="16"/>
          <w:szCs w:val="16"/>
        </w:rPr>
        <w:t>】</w:t>
      </w:r>
    </w:p>
    <w:p w14:paraId="39598AA4" w14:textId="6A3EA3D7" w:rsidR="00F0783F" w:rsidRPr="00471175" w:rsidRDefault="00F0783F" w:rsidP="0090202B">
      <w:pPr>
        <w:widowControl/>
        <w:spacing w:before="0" w:afterLines="50" w:after="180" w:line="360" w:lineRule="exact"/>
        <w:ind w:leftChars="236" w:left="566" w:firstLineChars="235" w:firstLine="564"/>
        <w:jc w:val="both"/>
      </w:pPr>
      <w:r w:rsidRPr="00471175">
        <w:t>Ａ投信對氣候的風險管理流程，包含</w:t>
      </w:r>
      <w:r w:rsidRPr="00471175">
        <w:t>bottom up</w:t>
      </w:r>
      <w:r w:rsidRPr="00471175">
        <w:t>與</w:t>
      </w:r>
      <w:r w:rsidRPr="00471175">
        <w:t>top down</w:t>
      </w:r>
      <w:r w:rsidRPr="00471175">
        <w:t>步驟，藉由整合各項資源，以做到更加全面的氣候風險管理評估與檢視，主要分為四大步驟，從風險之辨識、衡量、監控到報告，相關權責內容如下。</w:t>
      </w:r>
      <w:r w:rsidR="0090202B" w:rsidRPr="00471175">
        <w:rPr>
          <w:rFonts w:eastAsia="微軟正黑體"/>
          <w:color w:val="0070C0"/>
          <w:sz w:val="16"/>
          <w:szCs w:val="16"/>
        </w:rPr>
        <w:t>【</w:t>
      </w:r>
      <w:r w:rsidR="0090202B" w:rsidRPr="00471175">
        <w:rPr>
          <w:rFonts w:eastAsia="微軟正黑體"/>
          <w:color w:val="0070C0"/>
          <w:sz w:val="16"/>
          <w:szCs w:val="16"/>
        </w:rPr>
        <w:t>R</w:t>
      </w:r>
      <w:r w:rsidR="00DF036A">
        <w:rPr>
          <w:rFonts w:eastAsia="微軟正黑體"/>
          <w:color w:val="0070C0"/>
          <w:sz w:val="16"/>
          <w:szCs w:val="16"/>
        </w:rPr>
        <w:t>.2</w:t>
      </w:r>
      <w:r w:rsidR="0090202B" w:rsidRPr="00471175">
        <w:rPr>
          <w:rFonts w:eastAsia="微軟正黑體"/>
          <w:color w:val="0070C0"/>
          <w:sz w:val="16"/>
          <w:szCs w:val="16"/>
        </w:rPr>
        <w:t>.(</w:t>
      </w:r>
      <w:r w:rsidR="00DF036A">
        <w:rPr>
          <w:rFonts w:eastAsia="微軟正黑體"/>
          <w:color w:val="0070C0"/>
          <w:sz w:val="16"/>
          <w:szCs w:val="16"/>
        </w:rPr>
        <w:t>1</w:t>
      </w:r>
      <w:r w:rsidR="0090202B" w:rsidRPr="00EA3549">
        <w:rPr>
          <w:rFonts w:ascii="微軟正黑體" w:eastAsia="微軟正黑體" w:hAnsi="微軟正黑體"/>
          <w:color w:val="0070C0"/>
          <w:sz w:val="16"/>
          <w:szCs w:val="16"/>
        </w:rPr>
        <w:t>)</w:t>
      </w:r>
      <w:r w:rsidR="0090202B" w:rsidRPr="00471175">
        <w:rPr>
          <w:rFonts w:eastAsia="微軟正黑體"/>
          <w:color w:val="0070C0"/>
          <w:sz w:val="16"/>
          <w:szCs w:val="16"/>
        </w:rPr>
        <w:t>】</w:t>
      </w:r>
    </w:p>
    <w:tbl>
      <w:tblPr>
        <w:tblStyle w:val="6-6"/>
        <w:tblW w:w="9067" w:type="dxa"/>
        <w:tblLook w:val="04A0" w:firstRow="1" w:lastRow="0" w:firstColumn="1" w:lastColumn="0" w:noHBand="0" w:noVBand="1"/>
      </w:tblPr>
      <w:tblGrid>
        <w:gridCol w:w="1413"/>
        <w:gridCol w:w="7654"/>
      </w:tblGrid>
      <w:tr w:rsidR="00F0783F" w:rsidRPr="00471175" w14:paraId="7EF7FC25" w14:textId="77777777" w:rsidTr="00FB5B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B288E38" w14:textId="77777777" w:rsidR="00F0783F" w:rsidRPr="00471175" w:rsidRDefault="00F0783F" w:rsidP="0090202B">
            <w:pPr>
              <w:widowControl/>
              <w:spacing w:before="0" w:after="0" w:line="276" w:lineRule="auto"/>
              <w:ind w:left="173" w:hangingChars="72" w:hanging="173"/>
              <w:jc w:val="both"/>
            </w:pPr>
            <w:r w:rsidRPr="00471175">
              <w:t>1.</w:t>
            </w:r>
            <w:r w:rsidRPr="00471175">
              <w:t>氣候風險辨識</w:t>
            </w:r>
          </w:p>
        </w:tc>
        <w:tc>
          <w:tcPr>
            <w:tcW w:w="7654" w:type="dxa"/>
          </w:tcPr>
          <w:p w14:paraId="1DE4CF9D" w14:textId="444956C4" w:rsidR="00F0783F" w:rsidRPr="00471175" w:rsidRDefault="00F0783F" w:rsidP="0090202B">
            <w:pPr>
              <w:pStyle w:val="a4"/>
              <w:widowControl/>
              <w:numPr>
                <w:ilvl w:val="2"/>
                <w:numId w:val="9"/>
              </w:numPr>
              <w:spacing w:before="0" w:after="0" w:line="276" w:lineRule="auto"/>
              <w:ind w:leftChars="0" w:left="283" w:hangingChars="118" w:hanging="283"/>
              <w:jc w:val="both"/>
              <w:cnfStyle w:val="100000000000" w:firstRow="1" w:lastRow="0" w:firstColumn="0" w:lastColumn="0" w:oddVBand="0" w:evenVBand="0" w:oddHBand="0" w:evenHBand="0" w:firstRowFirstColumn="0" w:firstRowLastColumn="0" w:lastRowFirstColumn="0" w:lastRowLastColumn="0"/>
              <w:rPr>
                <w:b w:val="0"/>
                <w:bCs w:val="0"/>
                <w:color w:val="385623" w:themeColor="accent6" w:themeShade="80"/>
              </w:rPr>
            </w:pPr>
            <w:r w:rsidRPr="00471175">
              <w:rPr>
                <w:b w:val="0"/>
                <w:bCs w:val="0"/>
                <w:color w:val="385623" w:themeColor="accent6" w:themeShade="80"/>
              </w:rPr>
              <w:t>針對其業務特性每年進行氣候風險的辨識</w:t>
            </w:r>
          </w:p>
          <w:p w14:paraId="6DFD88A2" w14:textId="77777777" w:rsidR="00F0783F" w:rsidRPr="00471175" w:rsidRDefault="00F0783F" w:rsidP="0090202B">
            <w:pPr>
              <w:pStyle w:val="a4"/>
              <w:widowControl/>
              <w:numPr>
                <w:ilvl w:val="2"/>
                <w:numId w:val="9"/>
              </w:numPr>
              <w:spacing w:before="0" w:after="0" w:line="276" w:lineRule="auto"/>
              <w:ind w:leftChars="0" w:left="283" w:hangingChars="118" w:hanging="283"/>
              <w:jc w:val="both"/>
              <w:cnfStyle w:val="100000000000" w:firstRow="1" w:lastRow="0" w:firstColumn="0" w:lastColumn="0" w:oddVBand="0" w:evenVBand="0" w:oddHBand="0" w:evenHBand="0" w:firstRowFirstColumn="0" w:firstRowLastColumn="0" w:lastRowFirstColumn="0" w:lastRowLastColumn="0"/>
              <w:rPr>
                <w:b w:val="0"/>
                <w:bCs w:val="0"/>
                <w:color w:val="385623" w:themeColor="accent6" w:themeShade="80"/>
              </w:rPr>
            </w:pPr>
            <w:r w:rsidRPr="00471175">
              <w:rPr>
                <w:b w:val="0"/>
                <w:bCs w:val="0"/>
                <w:color w:val="385623" w:themeColor="accent6" w:themeShade="80"/>
              </w:rPr>
              <w:t>由管理部進行整體風險與機會辨識的整合</w:t>
            </w:r>
          </w:p>
          <w:p w14:paraId="326F9D72" w14:textId="77777777" w:rsidR="00F0783F" w:rsidRPr="00471175" w:rsidRDefault="00F0783F" w:rsidP="0090202B">
            <w:pPr>
              <w:pStyle w:val="a4"/>
              <w:widowControl/>
              <w:numPr>
                <w:ilvl w:val="2"/>
                <w:numId w:val="9"/>
              </w:numPr>
              <w:spacing w:before="0" w:after="0" w:line="276" w:lineRule="auto"/>
              <w:ind w:leftChars="0" w:left="283" w:hangingChars="118" w:hanging="283"/>
              <w:jc w:val="both"/>
              <w:cnfStyle w:val="100000000000" w:firstRow="1" w:lastRow="0" w:firstColumn="0" w:lastColumn="0" w:oddVBand="0" w:evenVBand="0" w:oddHBand="0" w:evenHBand="0" w:firstRowFirstColumn="0" w:firstRowLastColumn="0" w:lastRowFirstColumn="0" w:lastRowLastColumn="0"/>
              <w:rPr>
                <w:color w:val="385623" w:themeColor="accent6" w:themeShade="80"/>
              </w:rPr>
            </w:pPr>
            <w:r w:rsidRPr="00471175">
              <w:rPr>
                <w:b w:val="0"/>
                <w:bCs w:val="0"/>
                <w:color w:val="385623" w:themeColor="accent6" w:themeShade="80"/>
              </w:rPr>
              <w:t>參考國際機構氣候風險報告</w:t>
            </w:r>
          </w:p>
        </w:tc>
      </w:tr>
      <w:tr w:rsidR="00F0783F" w:rsidRPr="00471175" w14:paraId="0380B5E3" w14:textId="77777777" w:rsidTr="00FB5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A912090" w14:textId="77777777" w:rsidR="00F0783F" w:rsidRPr="00471175" w:rsidRDefault="00F0783F" w:rsidP="0090202B">
            <w:pPr>
              <w:widowControl/>
              <w:spacing w:before="0" w:after="0" w:line="276" w:lineRule="auto"/>
              <w:ind w:left="173" w:hangingChars="72" w:hanging="173"/>
              <w:jc w:val="both"/>
            </w:pPr>
            <w:r w:rsidRPr="00471175">
              <w:t>2.</w:t>
            </w:r>
            <w:r w:rsidRPr="00471175">
              <w:t>氣候風險衡量</w:t>
            </w:r>
          </w:p>
        </w:tc>
        <w:tc>
          <w:tcPr>
            <w:tcW w:w="7654" w:type="dxa"/>
          </w:tcPr>
          <w:p w14:paraId="7C9AF75F" w14:textId="6FFBD78C" w:rsidR="00F0783F" w:rsidRPr="00471175" w:rsidRDefault="00F0783F" w:rsidP="0090202B">
            <w:pPr>
              <w:pStyle w:val="a4"/>
              <w:widowControl/>
              <w:numPr>
                <w:ilvl w:val="0"/>
                <w:numId w:val="10"/>
              </w:numPr>
              <w:spacing w:before="0" w:after="0" w:line="276" w:lineRule="auto"/>
              <w:ind w:leftChars="0" w:left="283" w:hangingChars="118" w:hanging="283"/>
              <w:jc w:val="both"/>
              <w:cnfStyle w:val="000000100000" w:firstRow="0" w:lastRow="0" w:firstColumn="0" w:lastColumn="0" w:oddVBand="0" w:evenVBand="0" w:oddHBand="1" w:evenHBand="0" w:firstRowFirstColumn="0" w:firstRowLastColumn="0" w:lastRowFirstColumn="0" w:lastRowLastColumn="0"/>
              <w:rPr>
                <w:color w:val="385623" w:themeColor="accent6" w:themeShade="80"/>
              </w:rPr>
            </w:pPr>
            <w:r w:rsidRPr="00471175">
              <w:rPr>
                <w:color w:val="385623" w:themeColor="accent6" w:themeShade="80"/>
              </w:rPr>
              <w:t>依業務特性評估各項風險的衝擊與影響程度</w:t>
            </w:r>
          </w:p>
          <w:p w14:paraId="6010E727" w14:textId="77777777" w:rsidR="00F0783F" w:rsidRPr="00471175" w:rsidRDefault="00F0783F" w:rsidP="0090202B">
            <w:pPr>
              <w:pStyle w:val="a4"/>
              <w:widowControl/>
              <w:numPr>
                <w:ilvl w:val="0"/>
                <w:numId w:val="10"/>
              </w:numPr>
              <w:spacing w:before="0" w:after="0" w:line="276" w:lineRule="auto"/>
              <w:ind w:leftChars="0" w:left="283" w:hangingChars="118" w:hanging="283"/>
              <w:jc w:val="both"/>
              <w:cnfStyle w:val="000000100000" w:firstRow="0" w:lastRow="0" w:firstColumn="0" w:lastColumn="0" w:oddVBand="0" w:evenVBand="0" w:oddHBand="1" w:evenHBand="0" w:firstRowFirstColumn="0" w:firstRowLastColumn="0" w:lastRowFirstColumn="0" w:lastRowLastColumn="0"/>
              <w:rPr>
                <w:color w:val="385623" w:themeColor="accent6" w:themeShade="80"/>
              </w:rPr>
            </w:pPr>
            <w:r w:rsidRPr="00471175">
              <w:rPr>
                <w:color w:val="385623" w:themeColor="accent6" w:themeShade="80"/>
              </w:rPr>
              <w:t>衡量範疇包括衝擊路徑、衝擊時間與地域範疇、影響價值鏈位置及財務衝擊</w:t>
            </w:r>
          </w:p>
        </w:tc>
      </w:tr>
      <w:tr w:rsidR="00F0783F" w:rsidRPr="00471175" w14:paraId="255A79B6" w14:textId="77777777" w:rsidTr="00FB5B4C">
        <w:tc>
          <w:tcPr>
            <w:cnfStyle w:val="001000000000" w:firstRow="0" w:lastRow="0" w:firstColumn="1" w:lastColumn="0" w:oddVBand="0" w:evenVBand="0" w:oddHBand="0" w:evenHBand="0" w:firstRowFirstColumn="0" w:firstRowLastColumn="0" w:lastRowFirstColumn="0" w:lastRowLastColumn="0"/>
            <w:tcW w:w="1413" w:type="dxa"/>
            <w:vAlign w:val="center"/>
          </w:tcPr>
          <w:p w14:paraId="7BCE7C75" w14:textId="77777777" w:rsidR="00F0783F" w:rsidRPr="00471175" w:rsidRDefault="00F0783F" w:rsidP="0090202B">
            <w:pPr>
              <w:widowControl/>
              <w:spacing w:before="0" w:after="0" w:line="276" w:lineRule="auto"/>
              <w:ind w:left="173" w:hangingChars="72" w:hanging="173"/>
              <w:jc w:val="both"/>
            </w:pPr>
            <w:r w:rsidRPr="00471175">
              <w:t>3.</w:t>
            </w:r>
            <w:r w:rsidRPr="00471175">
              <w:t>氣候風險監控</w:t>
            </w:r>
          </w:p>
        </w:tc>
        <w:tc>
          <w:tcPr>
            <w:tcW w:w="7654" w:type="dxa"/>
          </w:tcPr>
          <w:p w14:paraId="3B89A125" w14:textId="77777777" w:rsidR="00F0783F" w:rsidRPr="00471175" w:rsidRDefault="00F0783F" w:rsidP="0090202B">
            <w:pPr>
              <w:pStyle w:val="a4"/>
              <w:widowControl/>
              <w:numPr>
                <w:ilvl w:val="2"/>
                <w:numId w:val="11"/>
              </w:numPr>
              <w:spacing w:before="0" w:after="0" w:line="276" w:lineRule="auto"/>
              <w:ind w:leftChars="0" w:left="283" w:hangingChars="118" w:hanging="283"/>
              <w:jc w:val="both"/>
              <w:cnfStyle w:val="000000000000" w:firstRow="0" w:lastRow="0" w:firstColumn="0" w:lastColumn="0" w:oddVBand="0" w:evenVBand="0" w:oddHBand="0" w:evenHBand="0" w:firstRowFirstColumn="0" w:firstRowLastColumn="0" w:lastRowFirstColumn="0" w:lastRowLastColumn="0"/>
              <w:rPr>
                <w:color w:val="385623" w:themeColor="accent6" w:themeShade="80"/>
              </w:rPr>
            </w:pPr>
            <w:r w:rsidRPr="00471175">
              <w:rPr>
                <w:color w:val="385623" w:themeColor="accent6" w:themeShade="80"/>
              </w:rPr>
              <w:t>將各產業之環境及社會風險因素納入產業風險等級評估機制</w:t>
            </w:r>
          </w:p>
          <w:p w14:paraId="29F7E009" w14:textId="77777777" w:rsidR="00F0783F" w:rsidRPr="00471175" w:rsidRDefault="00F0783F" w:rsidP="0090202B">
            <w:pPr>
              <w:pStyle w:val="a4"/>
              <w:widowControl/>
              <w:numPr>
                <w:ilvl w:val="2"/>
                <w:numId w:val="11"/>
              </w:numPr>
              <w:spacing w:before="0" w:after="0" w:line="276" w:lineRule="auto"/>
              <w:ind w:leftChars="0" w:left="283" w:hangingChars="118" w:hanging="283"/>
              <w:jc w:val="both"/>
              <w:cnfStyle w:val="000000000000" w:firstRow="0" w:lastRow="0" w:firstColumn="0" w:lastColumn="0" w:oddVBand="0" w:evenVBand="0" w:oddHBand="0" w:evenHBand="0" w:firstRowFirstColumn="0" w:firstRowLastColumn="0" w:lastRowFirstColumn="0" w:lastRowLastColumn="0"/>
              <w:rPr>
                <w:color w:val="385623" w:themeColor="accent6" w:themeShade="80"/>
              </w:rPr>
            </w:pPr>
            <w:r w:rsidRPr="00471175">
              <w:rPr>
                <w:color w:val="385623" w:themeColor="accent6" w:themeShade="80"/>
              </w:rPr>
              <w:t>訂定氣候風險量化指標及限額，並定期進行分析、監控與報告</w:t>
            </w:r>
          </w:p>
        </w:tc>
      </w:tr>
      <w:tr w:rsidR="00F0783F" w:rsidRPr="00471175" w14:paraId="2FDC1CA5" w14:textId="77777777" w:rsidTr="00FB5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AFBF6B0" w14:textId="77777777" w:rsidR="00F0783F" w:rsidRPr="00471175" w:rsidRDefault="00F0783F" w:rsidP="0090202B">
            <w:pPr>
              <w:widowControl/>
              <w:spacing w:before="0" w:after="0" w:line="276" w:lineRule="auto"/>
              <w:ind w:left="173" w:hangingChars="72" w:hanging="173"/>
              <w:jc w:val="both"/>
            </w:pPr>
            <w:r w:rsidRPr="00471175">
              <w:t>4.</w:t>
            </w:r>
            <w:r w:rsidRPr="00471175">
              <w:t>氣候風險報告</w:t>
            </w:r>
          </w:p>
        </w:tc>
        <w:tc>
          <w:tcPr>
            <w:tcW w:w="7654" w:type="dxa"/>
          </w:tcPr>
          <w:p w14:paraId="4F3380EC" w14:textId="1183FDF4" w:rsidR="00F0783F" w:rsidRPr="00471175" w:rsidRDefault="00F0783F" w:rsidP="0090202B">
            <w:pPr>
              <w:pStyle w:val="a4"/>
              <w:widowControl/>
              <w:numPr>
                <w:ilvl w:val="2"/>
                <w:numId w:val="12"/>
              </w:numPr>
              <w:spacing w:before="0" w:after="0" w:line="276" w:lineRule="auto"/>
              <w:ind w:leftChars="0" w:left="283" w:hangingChars="118" w:hanging="283"/>
              <w:jc w:val="both"/>
              <w:cnfStyle w:val="000000100000" w:firstRow="0" w:lastRow="0" w:firstColumn="0" w:lastColumn="0" w:oddVBand="0" w:evenVBand="0" w:oddHBand="1" w:evenHBand="0" w:firstRowFirstColumn="0" w:firstRowLastColumn="0" w:lastRowFirstColumn="0" w:lastRowLastColumn="0"/>
              <w:rPr>
                <w:color w:val="385623" w:themeColor="accent6" w:themeShade="80"/>
              </w:rPr>
            </w:pPr>
            <w:r w:rsidRPr="00471175">
              <w:rPr>
                <w:color w:val="385623" w:themeColor="accent6" w:themeShade="80"/>
              </w:rPr>
              <w:t>針對各項風險研擬因應策略，並提報董事會</w:t>
            </w:r>
          </w:p>
          <w:p w14:paraId="05E5C66A" w14:textId="7B3D679E" w:rsidR="00F0783F" w:rsidRPr="00471175" w:rsidRDefault="00F0783F" w:rsidP="0090202B">
            <w:pPr>
              <w:pStyle w:val="a4"/>
              <w:widowControl/>
              <w:numPr>
                <w:ilvl w:val="2"/>
                <w:numId w:val="12"/>
              </w:numPr>
              <w:spacing w:before="0" w:after="0" w:line="276" w:lineRule="auto"/>
              <w:ind w:leftChars="0" w:left="283" w:rightChars="-103" w:right="-247" w:hangingChars="118" w:hanging="283"/>
              <w:jc w:val="both"/>
              <w:cnfStyle w:val="000000100000" w:firstRow="0" w:lastRow="0" w:firstColumn="0" w:lastColumn="0" w:oddVBand="0" w:evenVBand="0" w:oddHBand="1" w:evenHBand="0" w:firstRowFirstColumn="0" w:firstRowLastColumn="0" w:lastRowFirstColumn="0" w:lastRowLastColumn="0"/>
              <w:rPr>
                <w:color w:val="385623" w:themeColor="accent6" w:themeShade="80"/>
              </w:rPr>
            </w:pPr>
            <w:r w:rsidRPr="00471175">
              <w:rPr>
                <w:color w:val="385623" w:themeColor="accent6" w:themeShade="80"/>
              </w:rPr>
              <w:t>定期在風險管理委員會及董事會報告各項風險指標或限額之使用狀況</w:t>
            </w:r>
          </w:p>
          <w:p w14:paraId="5AF97A77" w14:textId="77777777" w:rsidR="00F0783F" w:rsidRPr="00471175" w:rsidRDefault="00F0783F" w:rsidP="0090202B">
            <w:pPr>
              <w:pStyle w:val="a4"/>
              <w:widowControl/>
              <w:numPr>
                <w:ilvl w:val="2"/>
                <w:numId w:val="12"/>
              </w:numPr>
              <w:spacing w:before="0" w:after="0" w:line="276" w:lineRule="auto"/>
              <w:ind w:leftChars="0" w:left="283" w:hangingChars="118" w:hanging="283"/>
              <w:jc w:val="both"/>
              <w:cnfStyle w:val="000000100000" w:firstRow="0" w:lastRow="0" w:firstColumn="0" w:lastColumn="0" w:oddVBand="0" w:evenVBand="0" w:oddHBand="1" w:evenHBand="0" w:firstRowFirstColumn="0" w:firstRowLastColumn="0" w:lastRowFirstColumn="0" w:lastRowLastColumn="0"/>
              <w:rPr>
                <w:color w:val="385623" w:themeColor="accent6" w:themeShade="80"/>
              </w:rPr>
            </w:pPr>
            <w:r w:rsidRPr="00471175">
              <w:rPr>
                <w:color w:val="385623" w:themeColor="accent6" w:themeShade="80"/>
              </w:rPr>
              <w:t>不定期將氣候風險相關資訊於風險管理委員會及董事會報告</w:t>
            </w:r>
          </w:p>
        </w:tc>
      </w:tr>
    </w:tbl>
    <w:p w14:paraId="2A43B19F" w14:textId="148250E8" w:rsidR="00F0783F" w:rsidRPr="00471175" w:rsidRDefault="00F0783F" w:rsidP="0090202B">
      <w:pPr>
        <w:widowControl/>
        <w:spacing w:before="0" w:afterLines="50" w:after="180" w:line="360" w:lineRule="exact"/>
        <w:ind w:leftChars="100" w:left="240" w:firstLineChars="195" w:firstLine="312"/>
        <w:jc w:val="both"/>
        <w:rPr>
          <w:sz w:val="16"/>
          <w:szCs w:val="16"/>
        </w:rPr>
      </w:pPr>
    </w:p>
    <w:p w14:paraId="2AAC0A83" w14:textId="54130294" w:rsidR="007B358F" w:rsidRPr="00471175" w:rsidRDefault="007B358F" w:rsidP="0090202B">
      <w:pPr>
        <w:widowControl/>
        <w:spacing w:before="0" w:afterLines="50" w:after="180" w:line="360" w:lineRule="exact"/>
        <w:ind w:leftChars="236" w:left="566" w:rightChars="-19" w:right="-46" w:firstLineChars="235" w:firstLine="564"/>
        <w:jc w:val="both"/>
      </w:pPr>
      <w:r w:rsidRPr="00471175">
        <w:t>為利將氣候相關風險之識別、評估與管理流程整合進公司整體之風險管理</w:t>
      </w:r>
      <w:r w:rsidR="004546D9" w:rsidRPr="00377B46">
        <w:rPr>
          <w:rFonts w:hint="eastAsia"/>
        </w:rPr>
        <w:t>制度</w:t>
      </w:r>
      <w:r w:rsidRPr="00471175">
        <w:t>，Ａ投信設置風險管理三道防線以及企業風險管理機</w:t>
      </w:r>
      <w:r w:rsidRPr="00471175">
        <w:t>(Enterprise Risk Management, ERM)</w:t>
      </w:r>
      <w:r w:rsidRPr="00471175">
        <w:t>，各道防線均有明確的組織、職責與功能（如下圖示），以確保風險管理機制有效運作。</w:t>
      </w:r>
      <w:r w:rsidR="00DF036A" w:rsidRPr="00471175">
        <w:rPr>
          <w:rFonts w:eastAsia="微軟正黑體"/>
          <w:color w:val="0070C0"/>
          <w:sz w:val="16"/>
          <w:szCs w:val="16"/>
        </w:rPr>
        <w:t>【</w:t>
      </w:r>
      <w:r w:rsidR="00DF036A" w:rsidRPr="00471175">
        <w:rPr>
          <w:rFonts w:eastAsia="微軟正黑體"/>
          <w:color w:val="0070C0"/>
          <w:sz w:val="16"/>
          <w:szCs w:val="16"/>
        </w:rPr>
        <w:t>R</w:t>
      </w:r>
      <w:r w:rsidR="00DF036A">
        <w:rPr>
          <w:rFonts w:eastAsia="微軟正黑體"/>
          <w:color w:val="0070C0"/>
          <w:sz w:val="16"/>
          <w:szCs w:val="16"/>
        </w:rPr>
        <w:t>.2</w:t>
      </w:r>
      <w:r w:rsidR="00DF036A" w:rsidRPr="00471175">
        <w:rPr>
          <w:rFonts w:eastAsia="微軟正黑體"/>
          <w:color w:val="0070C0"/>
          <w:sz w:val="16"/>
          <w:szCs w:val="16"/>
        </w:rPr>
        <w:t>.(</w:t>
      </w:r>
      <w:r w:rsidR="00DF036A">
        <w:rPr>
          <w:rFonts w:eastAsia="微軟正黑體"/>
          <w:color w:val="0070C0"/>
          <w:sz w:val="16"/>
          <w:szCs w:val="16"/>
        </w:rPr>
        <w:t>2</w:t>
      </w:r>
      <w:r w:rsidR="00DF036A" w:rsidRPr="00EA3549">
        <w:rPr>
          <w:rFonts w:ascii="微軟正黑體" w:eastAsia="微軟正黑體" w:hAnsi="微軟正黑體"/>
          <w:color w:val="0070C0"/>
          <w:sz w:val="16"/>
          <w:szCs w:val="16"/>
        </w:rPr>
        <w:t>)</w:t>
      </w:r>
      <w:r w:rsidR="00DF036A" w:rsidRPr="00471175">
        <w:rPr>
          <w:rFonts w:eastAsia="微軟正黑體"/>
          <w:color w:val="0070C0"/>
          <w:sz w:val="16"/>
          <w:szCs w:val="16"/>
        </w:rPr>
        <w:t>】</w:t>
      </w:r>
    </w:p>
    <w:p w14:paraId="23819EA6" w14:textId="32FF845B" w:rsidR="009167EB" w:rsidRPr="00471175" w:rsidRDefault="00FB5B4C" w:rsidP="00706853">
      <w:pPr>
        <w:widowControl/>
        <w:spacing w:before="0" w:after="0" w:line="0" w:lineRule="atLeast"/>
        <w:ind w:leftChars="100" w:left="240" w:rightChars="-196" w:right="-470" w:firstLineChars="195" w:firstLine="390"/>
        <w:jc w:val="both"/>
        <w:rPr>
          <w:rFonts w:eastAsia="微軟正黑體"/>
          <w:color w:val="0070C0"/>
          <w:sz w:val="20"/>
          <w:szCs w:val="20"/>
        </w:rPr>
      </w:pPr>
      <w:r w:rsidRPr="00471175">
        <w:rPr>
          <w:rFonts w:eastAsia="微軟正黑體"/>
          <w:noProof/>
          <w:sz w:val="20"/>
          <w:szCs w:val="20"/>
        </w:rPr>
        <w:drawing>
          <wp:anchor distT="0" distB="0" distL="114300" distR="114300" simplePos="0" relativeHeight="251661312" behindDoc="0" locked="0" layoutInCell="1" allowOverlap="1" wp14:anchorId="4B8B2C87" wp14:editId="0F9A7ED4">
            <wp:simplePos x="0" y="0"/>
            <wp:positionH relativeFrom="column">
              <wp:posOffset>142875</wp:posOffset>
            </wp:positionH>
            <wp:positionV relativeFrom="paragraph">
              <wp:posOffset>0</wp:posOffset>
            </wp:positionV>
            <wp:extent cx="5587365" cy="2679700"/>
            <wp:effectExtent l="0" t="0" r="0" b="6350"/>
            <wp:wrapTopAndBottom/>
            <wp:docPr id="2" name="圖片 2" descr="一張含有 日曆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日曆 的圖片&#10;&#10;自動產生的描述"/>
                    <pic:cNvPicPr/>
                  </pic:nvPicPr>
                  <pic:blipFill>
                    <a:blip r:embed="rId25">
                      <a:extLst>
                        <a:ext uri="{28A0092B-C50C-407E-A947-70E740481C1C}">
                          <a14:useLocalDpi xmlns:a14="http://schemas.microsoft.com/office/drawing/2010/main" val="0"/>
                        </a:ext>
                      </a:extLst>
                    </a:blip>
                    <a:stretch>
                      <a:fillRect/>
                    </a:stretch>
                  </pic:blipFill>
                  <pic:spPr>
                    <a:xfrm>
                      <a:off x="0" y="0"/>
                      <a:ext cx="5587365" cy="2679700"/>
                    </a:xfrm>
                    <a:prstGeom prst="rect">
                      <a:avLst/>
                    </a:prstGeom>
                  </pic:spPr>
                </pic:pic>
              </a:graphicData>
            </a:graphic>
            <wp14:sizeRelH relativeFrom="margin">
              <wp14:pctWidth>0</wp14:pctWidth>
            </wp14:sizeRelH>
            <wp14:sizeRelV relativeFrom="margin">
              <wp14:pctHeight>0</wp14:pctHeight>
            </wp14:sizeRelV>
          </wp:anchor>
        </w:drawing>
      </w:r>
    </w:p>
    <w:p w14:paraId="57E2115C" w14:textId="77777777" w:rsidR="00745E88" w:rsidRDefault="00745E88">
      <w:pPr>
        <w:widowControl/>
        <w:spacing w:before="0" w:after="0" w:line="240" w:lineRule="auto"/>
        <w:rPr>
          <w:b/>
          <w:bCs/>
        </w:rPr>
      </w:pPr>
      <w:r>
        <w:rPr>
          <w:b/>
          <w:bCs/>
        </w:rPr>
        <w:br w:type="page"/>
      </w:r>
    </w:p>
    <w:p w14:paraId="414C7F4B" w14:textId="5A6D9769" w:rsidR="0090202B" w:rsidRPr="0090202B" w:rsidRDefault="0090202B" w:rsidP="00F415E9">
      <w:pPr>
        <w:widowControl/>
        <w:spacing w:before="0" w:afterLines="50" w:after="180" w:line="0" w:lineRule="atLeast"/>
        <w:ind w:leftChars="60" w:left="567" w:hangingChars="176" w:hanging="423"/>
        <w:jc w:val="both"/>
      </w:pPr>
      <w:r>
        <w:rPr>
          <w:rFonts w:hint="eastAsia"/>
          <w:b/>
          <w:bCs/>
        </w:rPr>
        <w:lastRenderedPageBreak/>
        <w:t>三</w:t>
      </w:r>
      <w:r w:rsidRPr="00471175">
        <w:rPr>
          <w:b/>
          <w:bCs/>
        </w:rPr>
        <w:t>、</w:t>
      </w:r>
      <w:r w:rsidR="00F415E9" w:rsidRPr="00F415E9">
        <w:rPr>
          <w:rFonts w:hint="eastAsia"/>
          <w:b/>
          <w:bCs/>
        </w:rPr>
        <w:t>氣候相關風險之識別、評估與管理流程整合進公司整體之風險管理</w:t>
      </w:r>
      <w:r w:rsidR="00137ADF" w:rsidRPr="00377B46">
        <w:rPr>
          <w:rFonts w:hint="eastAsia"/>
          <w:b/>
          <w:bCs/>
        </w:rPr>
        <w:t>制度</w:t>
      </w:r>
      <w:r w:rsidR="00F415E9" w:rsidRPr="00471175">
        <w:rPr>
          <w:rFonts w:eastAsia="微軟正黑體"/>
          <w:color w:val="0070C0"/>
          <w:sz w:val="16"/>
          <w:szCs w:val="16"/>
        </w:rPr>
        <w:t>【</w:t>
      </w:r>
      <w:r w:rsidR="00EA3549" w:rsidRPr="00EA3549">
        <w:rPr>
          <w:rFonts w:eastAsia="微軟正黑體" w:hint="eastAsia"/>
          <w:color w:val="0070C0"/>
          <w:sz w:val="16"/>
          <w:szCs w:val="16"/>
        </w:rPr>
        <w:t>R.</w:t>
      </w:r>
      <w:r w:rsidR="00EE6FEC">
        <w:rPr>
          <w:rFonts w:eastAsia="微軟正黑體"/>
          <w:color w:val="0070C0"/>
          <w:sz w:val="16"/>
          <w:szCs w:val="16"/>
        </w:rPr>
        <w:t>3</w:t>
      </w:r>
      <w:r w:rsidR="00F415E9" w:rsidRPr="00471175">
        <w:rPr>
          <w:rFonts w:eastAsia="微軟正黑體"/>
          <w:color w:val="0070C0"/>
          <w:sz w:val="16"/>
          <w:szCs w:val="16"/>
        </w:rPr>
        <w:t>】</w:t>
      </w:r>
    </w:p>
    <w:p w14:paraId="19D50430" w14:textId="0331D5C2" w:rsidR="00F0783F" w:rsidRPr="00471175" w:rsidRDefault="00F0783F" w:rsidP="00F415E9">
      <w:pPr>
        <w:widowControl/>
        <w:spacing w:before="0" w:afterLines="50" w:after="180" w:line="360" w:lineRule="exact"/>
        <w:ind w:leftChars="236" w:left="566" w:rightChars="-19" w:right="-46" w:firstLineChars="236" w:firstLine="566"/>
        <w:jc w:val="both"/>
      </w:pPr>
      <w:r w:rsidRPr="00471175">
        <w:t>茲以將氣候相關風險之識別、評估與管理流程整合到</w:t>
      </w:r>
      <w:r w:rsidRPr="00471175">
        <w:t>ESG</w:t>
      </w:r>
      <w:r w:rsidRPr="00471175">
        <w:t>責任投資之風險管理作業為例，進一步說明整合之情形於后。</w:t>
      </w:r>
    </w:p>
    <w:p w14:paraId="1C0E6F3F" w14:textId="6E06E35C" w:rsidR="00F0783F" w:rsidRPr="00471175" w:rsidRDefault="00F0783F" w:rsidP="00F415E9">
      <w:pPr>
        <w:widowControl/>
        <w:spacing w:before="0" w:afterLines="50" w:after="180" w:line="360" w:lineRule="exact"/>
        <w:ind w:leftChars="236" w:left="849" w:rightChars="-19" w:right="-46" w:hangingChars="118" w:hanging="283"/>
        <w:jc w:val="both"/>
        <w:rPr>
          <w:b/>
          <w:bCs/>
        </w:rPr>
      </w:pPr>
      <w:r w:rsidRPr="00471175">
        <w:rPr>
          <w:b/>
          <w:bCs/>
        </w:rPr>
        <w:t>1</w:t>
      </w:r>
      <w:r w:rsidR="00F415E9">
        <w:rPr>
          <w:b/>
          <w:bCs/>
        </w:rPr>
        <w:t>.</w:t>
      </w:r>
      <w:r w:rsidRPr="00471175">
        <w:rPr>
          <w:b/>
          <w:bCs/>
        </w:rPr>
        <w:t>投資研究和決策</w:t>
      </w:r>
    </w:p>
    <w:p w14:paraId="70CE7423" w14:textId="59D7ECAA" w:rsidR="00F0783F" w:rsidRDefault="00F415E9" w:rsidP="00F415E9">
      <w:pPr>
        <w:pStyle w:val="a4"/>
        <w:widowControl/>
        <w:spacing w:before="0" w:afterLines="50" w:after="180" w:line="360" w:lineRule="exact"/>
        <w:ind w:leftChars="295" w:left="1130" w:rightChars="-19" w:right="-46" w:hangingChars="176" w:hanging="422"/>
        <w:jc w:val="both"/>
      </w:pPr>
      <w:r>
        <w:rPr>
          <w:rFonts w:hint="eastAsia"/>
        </w:rPr>
        <w:t>(</w:t>
      </w:r>
      <w:r>
        <w:t>1).</w:t>
      </w:r>
      <w:r w:rsidR="00F0783F" w:rsidRPr="00471175">
        <w:t>排除名單、高關注名單：高度風險環境、社會及公司治理風險之名單，設定執行相關業務公司為排除名單，禁止投資；將具條件</w:t>
      </w:r>
      <w:r w:rsidR="00F0783F" w:rsidRPr="00471175">
        <w:t>A</w:t>
      </w:r>
      <w:r w:rsidR="00F0783F" w:rsidRPr="00471175">
        <w:t>、條件</w:t>
      </w:r>
      <w:r w:rsidR="00F0783F" w:rsidRPr="00471175">
        <w:t>B</w:t>
      </w:r>
      <w:r w:rsidR="00F0783F" w:rsidRPr="00471175">
        <w:t>、條件</w:t>
      </w:r>
      <w:r w:rsidR="00F0783F" w:rsidRPr="00471175">
        <w:t>C</w:t>
      </w:r>
      <w:r w:rsidR="00F0783F" w:rsidRPr="00471175">
        <w:t>、條件</w:t>
      </w:r>
      <w:r w:rsidR="00F0783F" w:rsidRPr="00471175">
        <w:t>D</w:t>
      </w:r>
      <w:r w:rsidR="00F0783F" w:rsidRPr="00471175">
        <w:t>、條件</w:t>
      </w:r>
      <w:r w:rsidR="00F0783F" w:rsidRPr="00471175">
        <w:t>E</w:t>
      </w:r>
      <w:r w:rsidR="00F0783F" w:rsidRPr="00471175">
        <w:t>等具潛在</w:t>
      </w:r>
      <w:r w:rsidR="00F0783F" w:rsidRPr="00471175">
        <w:t>ESG</w:t>
      </w:r>
      <w:r w:rsidR="00F0783F" w:rsidRPr="00471175">
        <w:t>投資風險條件的企業，設定為高關注名單，通過控管流程後，始可投資。</w:t>
      </w:r>
    </w:p>
    <w:p w14:paraId="3B4A6205" w14:textId="11CF124C" w:rsidR="00F0783F" w:rsidRPr="00471175" w:rsidRDefault="00F415E9" w:rsidP="00F415E9">
      <w:pPr>
        <w:widowControl/>
        <w:spacing w:before="0" w:afterLines="50" w:after="180" w:line="360" w:lineRule="exact"/>
        <w:ind w:leftChars="295" w:left="1130" w:rightChars="-19" w:right="-46" w:hangingChars="176" w:hanging="422"/>
        <w:jc w:val="both"/>
      </w:pPr>
      <w:r>
        <w:rPr>
          <w:rFonts w:hint="eastAsia"/>
        </w:rPr>
        <w:t>(</w:t>
      </w:r>
      <w:r>
        <w:t>2).</w:t>
      </w:r>
      <w:r w:rsidR="00F0783F" w:rsidRPr="00471175">
        <w:t>整合</w:t>
      </w:r>
      <w:r w:rsidR="00F0783F" w:rsidRPr="00471175">
        <w:t>ESG</w:t>
      </w:r>
      <w:r w:rsidR="00F0783F" w:rsidRPr="00471175">
        <w:t>因子：將前述</w:t>
      </w:r>
      <w:r w:rsidR="00F0783F" w:rsidRPr="00471175">
        <w:t>ESG</w:t>
      </w:r>
      <w:r w:rsidR="00F0783F" w:rsidRPr="00471175">
        <w:t>因子、財務判斷、爭議性行為等指標導入投資系統，藉由系統管控，將</w:t>
      </w:r>
      <w:r w:rsidR="00F0783F" w:rsidRPr="00471175">
        <w:t>ESG</w:t>
      </w:r>
      <w:r w:rsidR="00F0783F" w:rsidRPr="00471175">
        <w:t>整合入投資決策。</w:t>
      </w:r>
    </w:p>
    <w:p w14:paraId="2F9F24AC" w14:textId="005BC4F1" w:rsidR="00F0783F" w:rsidRPr="00471175" w:rsidRDefault="00F415E9" w:rsidP="00F415E9">
      <w:pPr>
        <w:pStyle w:val="a4"/>
        <w:widowControl/>
        <w:spacing w:before="0" w:afterLines="50" w:after="180" w:line="360" w:lineRule="exact"/>
        <w:ind w:leftChars="295" w:left="1130" w:rightChars="-19" w:right="-46" w:hangingChars="176" w:hanging="422"/>
        <w:jc w:val="both"/>
      </w:pPr>
      <w:r>
        <w:rPr>
          <w:rFonts w:hint="eastAsia"/>
        </w:rPr>
        <w:t>(</w:t>
      </w:r>
      <w:r>
        <w:t>3).</w:t>
      </w:r>
      <w:r w:rsidR="00F0783F" w:rsidRPr="00471175">
        <w:t>投資後定期追蹤：投資研究單位於投資後應持續關注、分析與評估投資標的之</w:t>
      </w:r>
      <w:r w:rsidR="00F0783F" w:rsidRPr="00471175">
        <w:t>ESG</w:t>
      </w:r>
      <w:r w:rsidR="00F0783F" w:rsidRPr="00471175">
        <w:t>相關資訊，並定期</w:t>
      </w:r>
      <w:r w:rsidR="00F0783F" w:rsidRPr="00471175">
        <w:t>(</w:t>
      </w:r>
      <w:r w:rsidR="00F0783F" w:rsidRPr="00471175">
        <w:t>請自訂頻率</w:t>
      </w:r>
      <w:r w:rsidR="00F0783F" w:rsidRPr="00471175">
        <w:t>)</w:t>
      </w:r>
      <w:r w:rsidR="00F0783F" w:rsidRPr="00471175">
        <w:t>進行追</w:t>
      </w:r>
      <w:r>
        <w:rPr>
          <w:rFonts w:hint="eastAsia"/>
        </w:rPr>
        <w:t>蹤</w:t>
      </w:r>
      <w:r w:rsidR="00F0783F" w:rsidRPr="00471175">
        <w:t>。</w:t>
      </w:r>
    </w:p>
    <w:p w14:paraId="074E9F92" w14:textId="294DCD3F" w:rsidR="00F0783F" w:rsidRPr="00471175" w:rsidRDefault="00F0783F" w:rsidP="00F415E9">
      <w:pPr>
        <w:widowControl/>
        <w:spacing w:before="0" w:afterLines="50" w:after="180" w:line="360" w:lineRule="exact"/>
        <w:ind w:leftChars="236" w:left="849" w:rightChars="-19" w:right="-46" w:hangingChars="118" w:hanging="283"/>
        <w:jc w:val="both"/>
        <w:rPr>
          <w:b/>
          <w:bCs/>
        </w:rPr>
      </w:pPr>
      <w:r w:rsidRPr="00471175">
        <w:rPr>
          <w:b/>
          <w:bCs/>
        </w:rPr>
        <w:t>2.</w:t>
      </w:r>
      <w:r w:rsidRPr="00471175">
        <w:rPr>
          <w:b/>
          <w:bCs/>
        </w:rPr>
        <w:t>投資風險監控框架</w:t>
      </w:r>
      <w:r w:rsidR="00F415E9">
        <w:rPr>
          <w:rFonts w:hint="eastAsia"/>
          <w:b/>
          <w:bCs/>
        </w:rPr>
        <w:t>：</w:t>
      </w:r>
      <w:r w:rsidR="00F415E9" w:rsidRPr="00471175">
        <w:t>為監控投資活動中的氣候風險管理，已將氣候相關風險融入第二道防線的監管流程，並將相關的內容整併於季度的風險管理委員會議。</w:t>
      </w:r>
    </w:p>
    <w:p w14:paraId="047DD555" w14:textId="425C1B64" w:rsidR="00F0783F" w:rsidRPr="00471175" w:rsidRDefault="00F0783F" w:rsidP="00F415E9">
      <w:pPr>
        <w:widowControl/>
        <w:spacing w:before="0" w:afterLines="50" w:after="180" w:line="360" w:lineRule="exact"/>
        <w:ind w:leftChars="236" w:left="849" w:rightChars="-19" w:right="-46" w:hangingChars="118" w:hanging="283"/>
        <w:jc w:val="both"/>
        <w:rPr>
          <w:b/>
          <w:bCs/>
        </w:rPr>
      </w:pPr>
      <w:r w:rsidRPr="00471175">
        <w:rPr>
          <w:b/>
          <w:bCs/>
        </w:rPr>
        <w:t>3.</w:t>
      </w:r>
      <w:r w:rsidRPr="00471175">
        <w:rPr>
          <w:b/>
          <w:bCs/>
        </w:rPr>
        <w:t>產品開發流程</w:t>
      </w:r>
    </w:p>
    <w:p w14:paraId="6A6DD10D" w14:textId="3E7F80FA" w:rsidR="00F0783F" w:rsidRPr="00471175" w:rsidRDefault="00F415E9" w:rsidP="00F415E9">
      <w:pPr>
        <w:pStyle w:val="a4"/>
        <w:widowControl/>
        <w:spacing w:before="0" w:afterLines="50" w:after="180" w:line="360" w:lineRule="exact"/>
        <w:ind w:leftChars="294" w:left="992" w:rightChars="-19" w:right="-46" w:hangingChars="119" w:hanging="286"/>
        <w:jc w:val="both"/>
      </w:pPr>
      <w:r>
        <w:t>(1).</w:t>
      </w:r>
      <w:r w:rsidR="00F0783F" w:rsidRPr="00471175">
        <w:t>持續評估產品範圍和客戶需求，以確保產品能有效滿足客戶在氣候變遷議題方面的需求。</w:t>
      </w:r>
    </w:p>
    <w:p w14:paraId="11F9E240" w14:textId="073F085C" w:rsidR="00F0783F" w:rsidRPr="00471175" w:rsidRDefault="00F415E9" w:rsidP="00F415E9">
      <w:pPr>
        <w:pStyle w:val="a4"/>
        <w:widowControl/>
        <w:spacing w:before="0" w:afterLines="50" w:after="180" w:line="360" w:lineRule="exact"/>
        <w:ind w:leftChars="294" w:left="992" w:rightChars="-19" w:right="-46" w:hangingChars="119" w:hanging="286"/>
        <w:jc w:val="both"/>
      </w:pPr>
      <w:r>
        <w:rPr>
          <w:rFonts w:hint="eastAsia"/>
        </w:rPr>
        <w:t>(</w:t>
      </w:r>
      <w:r>
        <w:t>2).</w:t>
      </w:r>
      <w:r w:rsidR="00F0783F" w:rsidRPr="00471175">
        <w:t>監測投入永續和與氣候有關基金的資產流向強度和方向，並尋找機會創建產品和解決方案，幫助客戶實現目標和責任，包括減緩氣候變化風險。</w:t>
      </w:r>
    </w:p>
    <w:p w14:paraId="3A6974C3" w14:textId="6293A77D" w:rsidR="00F0783F" w:rsidRPr="00471175" w:rsidRDefault="00F0783F" w:rsidP="00F415E9">
      <w:pPr>
        <w:widowControl/>
        <w:spacing w:before="0" w:afterLines="50" w:after="180" w:line="360" w:lineRule="exact"/>
        <w:ind w:leftChars="236" w:left="849" w:rightChars="-19" w:right="-46" w:hangingChars="118" w:hanging="283"/>
        <w:jc w:val="both"/>
        <w:rPr>
          <w:b/>
          <w:bCs/>
        </w:rPr>
      </w:pPr>
      <w:r w:rsidRPr="00471175">
        <w:rPr>
          <w:b/>
          <w:bCs/>
        </w:rPr>
        <w:t>4.</w:t>
      </w:r>
      <w:r w:rsidRPr="00471175">
        <w:rPr>
          <w:b/>
          <w:bCs/>
        </w:rPr>
        <w:t>企業議合</w:t>
      </w:r>
    </w:p>
    <w:p w14:paraId="7AB12990" w14:textId="0791DD9B" w:rsidR="00F0783F" w:rsidRPr="00471175" w:rsidRDefault="00F415E9" w:rsidP="00F415E9">
      <w:pPr>
        <w:pStyle w:val="a4"/>
        <w:widowControl/>
        <w:spacing w:before="0" w:afterLines="50" w:after="180" w:line="360" w:lineRule="exact"/>
        <w:ind w:leftChars="294" w:left="992" w:rightChars="-19" w:right="-46" w:hangingChars="119" w:hanging="286"/>
        <w:jc w:val="both"/>
      </w:pPr>
      <w:r>
        <w:rPr>
          <w:rFonts w:hint="eastAsia"/>
        </w:rPr>
        <w:t>(</w:t>
      </w:r>
      <w:r>
        <w:t>1).</w:t>
      </w:r>
      <w:r w:rsidR="00F0783F" w:rsidRPr="00471175">
        <w:t>主動與投資公司互動與議合，以推動轉型。作為投資人之管理者，將積極減少範疇</w:t>
      </w:r>
      <w:r w:rsidR="00D53543">
        <w:rPr>
          <w:rFonts w:hint="eastAsia"/>
        </w:rPr>
        <w:t>三</w:t>
      </w:r>
      <w:r w:rsidR="00F0783F" w:rsidRPr="00471175">
        <w:t>的投資碳排放。</w:t>
      </w:r>
    </w:p>
    <w:p w14:paraId="79947983" w14:textId="5EACCD91" w:rsidR="00F0783F" w:rsidRPr="00471175" w:rsidRDefault="00F415E9" w:rsidP="00F415E9">
      <w:pPr>
        <w:pStyle w:val="a4"/>
        <w:widowControl/>
        <w:spacing w:before="0" w:afterLines="50" w:after="180" w:line="360" w:lineRule="exact"/>
        <w:ind w:leftChars="294" w:left="992" w:rightChars="-19" w:right="-46" w:hangingChars="119" w:hanging="286"/>
        <w:jc w:val="both"/>
      </w:pPr>
      <w:r>
        <w:t>(2).</w:t>
      </w:r>
      <w:r w:rsidR="00F0783F" w:rsidRPr="00471175">
        <w:t>透過相關氣候評估工具</w:t>
      </w:r>
      <w:r w:rsidR="00F0783F" w:rsidRPr="00471175">
        <w:rPr>
          <w:rFonts w:eastAsia="新細明體"/>
        </w:rPr>
        <w:t>、</w:t>
      </w:r>
      <w:r w:rsidR="00F0783F" w:rsidRPr="00471175">
        <w:t>模型監控和測量對投資之影響，以進一步採取具體行動來達成既定目標。隨著公司股東大會提出與氣候相關的提案數量增加，將配合修改相關投票原則，以達成永續發展的目標。</w:t>
      </w:r>
    </w:p>
    <w:p w14:paraId="50068EB3" w14:textId="558D5048" w:rsidR="00F0783F" w:rsidRPr="00471175" w:rsidRDefault="00F0783F" w:rsidP="00F415E9">
      <w:pPr>
        <w:widowControl/>
        <w:spacing w:before="0" w:afterLines="50" w:after="180" w:line="360" w:lineRule="exact"/>
        <w:ind w:leftChars="236" w:left="849" w:rightChars="-19" w:right="-46" w:hangingChars="118" w:hanging="283"/>
        <w:jc w:val="both"/>
        <w:rPr>
          <w:b/>
          <w:bCs/>
        </w:rPr>
      </w:pPr>
      <w:r w:rsidRPr="00471175">
        <w:rPr>
          <w:b/>
          <w:bCs/>
        </w:rPr>
        <w:t>5.</w:t>
      </w:r>
      <w:r w:rsidRPr="00471175">
        <w:rPr>
          <w:b/>
          <w:bCs/>
        </w:rPr>
        <w:t>營運管理</w:t>
      </w:r>
    </w:p>
    <w:p w14:paraId="269D4976" w14:textId="667688CC" w:rsidR="00F0783F" w:rsidRPr="00471175" w:rsidRDefault="00F415E9" w:rsidP="00F415E9">
      <w:pPr>
        <w:pStyle w:val="a4"/>
        <w:widowControl/>
        <w:spacing w:before="0" w:afterLines="50" w:after="180" w:line="360" w:lineRule="exact"/>
        <w:ind w:leftChars="294" w:left="992" w:rightChars="-19" w:right="-46" w:hangingChars="119" w:hanging="286"/>
        <w:jc w:val="both"/>
      </w:pPr>
      <w:r>
        <w:rPr>
          <w:rFonts w:hint="eastAsia"/>
        </w:rPr>
        <w:t>(</w:t>
      </w:r>
      <w:r>
        <w:t>1).</w:t>
      </w:r>
      <w:r w:rsidR="00F0783F" w:rsidRPr="00471175">
        <w:t>辦公場所和第三方供應商相關的業務，相關部門已經建立氣候變遷風險的控管流程，包括能源使用、廢棄物處理和永續採購等方面。</w:t>
      </w:r>
    </w:p>
    <w:p w14:paraId="1AB28BDB" w14:textId="7B0A7692" w:rsidR="00F0783F" w:rsidRPr="00471175" w:rsidRDefault="00F415E9" w:rsidP="00F415E9">
      <w:pPr>
        <w:pStyle w:val="a4"/>
        <w:widowControl/>
        <w:spacing w:before="0" w:afterLines="50" w:after="180" w:line="240" w:lineRule="auto"/>
        <w:ind w:leftChars="294" w:left="992" w:rightChars="-19" w:right="-46" w:hangingChars="119" w:hanging="286"/>
        <w:jc w:val="both"/>
      </w:pPr>
      <w:r>
        <w:rPr>
          <w:rFonts w:hint="eastAsia"/>
        </w:rPr>
        <w:t>(</w:t>
      </w:r>
      <w:r>
        <w:t>2).</w:t>
      </w:r>
      <w:r w:rsidR="00F0783F" w:rsidRPr="00471175">
        <w:t>定期對資產進行策略評估，以評估該資產相關的風險和機會。</w:t>
      </w:r>
      <w:r w:rsidR="00F0783F" w:rsidRPr="00471175">
        <w:br w:type="page"/>
      </w:r>
    </w:p>
    <w:p w14:paraId="4EAC2048" w14:textId="6FD2117C" w:rsidR="00F0783F" w:rsidRPr="00EA5EE0" w:rsidRDefault="00F0783F" w:rsidP="00EA5EE0">
      <w:pPr>
        <w:pStyle w:val="afff8"/>
        <w:ind w:leftChars="0" w:hangingChars="150" w:hanging="480"/>
        <w:jc w:val="center"/>
        <w:rPr>
          <w:b/>
          <w:bCs w:val="0"/>
          <w:sz w:val="32"/>
          <w:szCs w:val="32"/>
        </w:rPr>
      </w:pPr>
      <w:bookmarkStart w:id="10" w:name="_Toc140587666"/>
      <w:bookmarkStart w:id="11" w:name="_Toc144912778"/>
      <w:r w:rsidRPr="00EA5EE0">
        <w:rPr>
          <w:b/>
          <w:bCs w:val="0"/>
          <w:sz w:val="32"/>
          <w:szCs w:val="32"/>
        </w:rPr>
        <w:lastRenderedPageBreak/>
        <w:t>第四章</w:t>
      </w:r>
      <w:r w:rsidRPr="00EA5EE0">
        <w:rPr>
          <w:b/>
          <w:bCs w:val="0"/>
          <w:sz w:val="32"/>
          <w:szCs w:val="32"/>
        </w:rPr>
        <w:t xml:space="preserve"> </w:t>
      </w:r>
      <w:r w:rsidRPr="00EA5EE0">
        <w:rPr>
          <w:b/>
          <w:bCs w:val="0"/>
          <w:sz w:val="32"/>
          <w:szCs w:val="32"/>
        </w:rPr>
        <w:t>指標與目標</w:t>
      </w:r>
      <w:bookmarkEnd w:id="10"/>
      <w:r w:rsidR="00B477DB" w:rsidRPr="00EA5EE0">
        <w:rPr>
          <w:rFonts w:hint="eastAsia"/>
          <w:b/>
          <w:bCs w:val="0"/>
          <w:sz w:val="32"/>
          <w:szCs w:val="32"/>
        </w:rPr>
        <w:t xml:space="preserve"> </w:t>
      </w:r>
      <w:r w:rsidR="00B477DB" w:rsidRPr="00EA5EE0">
        <w:rPr>
          <w:b/>
          <w:bCs w:val="0"/>
          <w:sz w:val="32"/>
          <w:szCs w:val="32"/>
        </w:rPr>
        <w:t>(METRICS AND TARGETS)</w:t>
      </w:r>
      <w:bookmarkEnd w:id="11"/>
    </w:p>
    <w:tbl>
      <w:tblPr>
        <w:tblStyle w:val="aa"/>
        <w:tblW w:w="10207" w:type="dxa"/>
        <w:tblInd w:w="-494" w:type="dxa"/>
        <w:tblLook w:val="04A0" w:firstRow="1" w:lastRow="0" w:firstColumn="1" w:lastColumn="0" w:noHBand="0" w:noVBand="1"/>
      </w:tblPr>
      <w:tblGrid>
        <w:gridCol w:w="10207"/>
      </w:tblGrid>
      <w:tr w:rsidR="00624FCF" w:rsidRPr="00471175" w14:paraId="08F08444" w14:textId="77777777" w:rsidTr="00297747">
        <w:tc>
          <w:tcPr>
            <w:tcW w:w="10207" w:type="dxa"/>
            <w:shd w:val="clear" w:color="auto" w:fill="auto"/>
          </w:tcPr>
          <w:p w14:paraId="1B3F3E52" w14:textId="08A59B19" w:rsidR="00624FCF" w:rsidRPr="004546D9" w:rsidRDefault="00624FCF" w:rsidP="00624FCF">
            <w:pPr>
              <w:spacing w:before="0" w:afterLines="50" w:after="180" w:line="0" w:lineRule="atLeast"/>
              <w:ind w:left="314" w:hangingChars="131" w:hanging="314"/>
              <w:jc w:val="both"/>
            </w:pPr>
            <w:r w:rsidRPr="004546D9">
              <w:t>M.</w:t>
            </w:r>
            <w:r w:rsidR="00CA61B3" w:rsidRPr="004546D9">
              <w:t>1</w:t>
            </w:r>
            <w:r w:rsidR="00CA61B3" w:rsidRPr="004546D9">
              <w:rPr>
                <w:rFonts w:hint="eastAsia"/>
              </w:rPr>
              <w:t>投信事業宜揭露其依循策略和風險管理流程進行評估氣候相關風險與機會所使用的指標：</w:t>
            </w:r>
          </w:p>
          <w:p w14:paraId="634CC976" w14:textId="1041547B" w:rsidR="00CA61B3" w:rsidRPr="004546D9" w:rsidRDefault="00CA61B3" w:rsidP="00CA61B3">
            <w:pPr>
              <w:spacing w:before="0" w:afterLines="50" w:after="180" w:line="0" w:lineRule="atLeast"/>
              <w:ind w:leftChars="114" w:left="524" w:hangingChars="104" w:hanging="250"/>
              <w:jc w:val="both"/>
            </w:pPr>
            <w:r w:rsidRPr="004546D9">
              <w:t>(</w:t>
            </w:r>
            <w:r w:rsidRPr="004546D9">
              <w:rPr>
                <w:rFonts w:hint="eastAsia"/>
              </w:rPr>
              <w:t>1</w:t>
            </w:r>
            <w:r w:rsidRPr="004546D9">
              <w:t>)</w:t>
            </w:r>
            <w:r w:rsidRPr="004546D9">
              <w:rPr>
                <w:rFonts w:hint="eastAsia"/>
              </w:rPr>
              <w:t>宜描述各產品或投資策略中，用以評估氣候相關風險與機會的指標；如相關，公司得描述其指標隨時間所做的改變，並得考慮產業等因素之差異影響。</w:t>
            </w:r>
          </w:p>
          <w:p w14:paraId="13D98DC9" w14:textId="11361EEA" w:rsidR="00CA61B3" w:rsidRPr="004546D9" w:rsidRDefault="00CA61B3" w:rsidP="00CA61B3">
            <w:pPr>
              <w:spacing w:before="0" w:afterLines="50" w:after="180" w:line="0" w:lineRule="atLeast"/>
              <w:ind w:leftChars="114" w:left="524" w:hangingChars="104" w:hanging="250"/>
              <w:jc w:val="both"/>
            </w:pPr>
            <w:r w:rsidRPr="004546D9">
              <w:rPr>
                <w:rFonts w:hint="eastAsia"/>
              </w:rPr>
              <w:t>(2</w:t>
            </w:r>
            <w:r w:rsidRPr="004546D9">
              <w:t>)</w:t>
            </w:r>
            <w:r w:rsidRPr="004546D9">
              <w:rPr>
                <w:rFonts w:hint="eastAsia"/>
              </w:rPr>
              <w:t>宜提供在投資決策與監視時所考量之指標。</w:t>
            </w:r>
          </w:p>
          <w:p w14:paraId="35B341BC" w14:textId="54705240" w:rsidR="00CA61B3" w:rsidRPr="004546D9" w:rsidRDefault="00CA61B3" w:rsidP="00CA61B3">
            <w:pPr>
              <w:spacing w:before="0" w:afterLines="50" w:after="180" w:line="0" w:lineRule="atLeast"/>
              <w:ind w:leftChars="114" w:left="524" w:hangingChars="104" w:hanging="250"/>
              <w:jc w:val="both"/>
            </w:pPr>
            <w:r w:rsidRPr="004546D9">
              <w:t>(</w:t>
            </w:r>
            <w:r w:rsidRPr="004546D9">
              <w:rPr>
                <w:rFonts w:hint="eastAsia"/>
              </w:rPr>
              <w:t>3</w:t>
            </w:r>
            <w:r w:rsidRPr="004546D9">
              <w:t>)</w:t>
            </w:r>
            <w:r w:rsidRPr="004546D9">
              <w:rPr>
                <w:rFonts w:hint="eastAsia"/>
              </w:rPr>
              <w:t>得揭露採用適合組織脈絡與能力之適當方法及指標。</w:t>
            </w:r>
          </w:p>
          <w:p w14:paraId="6446880F" w14:textId="39F90A86" w:rsidR="00624FCF" w:rsidRPr="004546D9" w:rsidRDefault="00624FCF" w:rsidP="00CA61B3">
            <w:pPr>
              <w:spacing w:before="0" w:afterLines="50" w:after="180" w:line="0" w:lineRule="atLeast"/>
              <w:jc w:val="both"/>
            </w:pPr>
            <w:r w:rsidRPr="004546D9">
              <w:t>M.</w:t>
            </w:r>
            <w:r w:rsidR="00CA61B3" w:rsidRPr="004546D9">
              <w:t>2</w:t>
            </w:r>
            <w:r w:rsidR="00CA61B3" w:rsidRPr="004546D9">
              <w:rPr>
                <w:rFonts w:hint="eastAsia"/>
              </w:rPr>
              <w:t>投信事業應揭露其溫室氣體排放：</w:t>
            </w:r>
          </w:p>
          <w:p w14:paraId="23D9CBCB" w14:textId="28DC3F4A" w:rsidR="00CA61B3" w:rsidRPr="004546D9" w:rsidRDefault="00CA61B3" w:rsidP="00CA61B3">
            <w:pPr>
              <w:pStyle w:val="a4"/>
              <w:spacing w:before="0" w:afterLines="50" w:after="180" w:line="0" w:lineRule="atLeast"/>
              <w:ind w:leftChars="133" w:left="523" w:hangingChars="85" w:hanging="204"/>
              <w:jc w:val="both"/>
            </w:pPr>
            <w:r w:rsidRPr="004546D9">
              <w:t>(</w:t>
            </w:r>
            <w:r w:rsidRPr="004546D9">
              <w:rPr>
                <w:rFonts w:hint="eastAsia"/>
              </w:rPr>
              <w:t>1</w:t>
            </w:r>
            <w:r w:rsidRPr="004546D9">
              <w:t>)</w:t>
            </w:r>
            <w:r w:rsidRPr="004546D9">
              <w:rPr>
                <w:rFonts w:hint="eastAsia"/>
              </w:rPr>
              <w:t>應揭露其組織範疇一與範疇二碳排放。</w:t>
            </w:r>
          </w:p>
          <w:p w14:paraId="756C003D" w14:textId="2DF9BE4B" w:rsidR="00CA61B3" w:rsidRPr="004546D9" w:rsidRDefault="00CA61B3" w:rsidP="00CA61B3">
            <w:pPr>
              <w:pStyle w:val="a4"/>
              <w:spacing w:before="0" w:afterLines="50" w:after="180" w:line="0" w:lineRule="atLeast"/>
              <w:ind w:leftChars="133" w:left="523" w:hangingChars="85" w:hanging="204"/>
              <w:jc w:val="both"/>
            </w:pPr>
            <w:r w:rsidRPr="004546D9">
              <w:rPr>
                <w:rFonts w:hint="eastAsia"/>
              </w:rPr>
              <w:t>(2</w:t>
            </w:r>
            <w:r w:rsidRPr="004546D9">
              <w:t>)</w:t>
            </w:r>
            <w:r w:rsidRPr="004546D9">
              <w:rPr>
                <w:rFonts w:hint="eastAsia"/>
              </w:rPr>
              <w:t>範疇三類別</w:t>
            </w:r>
            <w:r w:rsidRPr="004546D9">
              <w:rPr>
                <w:rFonts w:hint="eastAsia"/>
              </w:rPr>
              <w:t>15</w:t>
            </w:r>
            <w:r w:rsidRPr="004546D9">
              <w:rPr>
                <w:rFonts w:hint="eastAsia"/>
              </w:rPr>
              <w:t>在數據可用或可被合理預估的情況下，公司宜提供各管理的資產、商品或投資的加權平均碳排放強度。溫室氣體排放之計算應依據</w:t>
            </w:r>
            <w:r w:rsidRPr="004546D9">
              <w:rPr>
                <w:rFonts w:hint="eastAsia"/>
              </w:rPr>
              <w:t xml:space="preserve">Partnership for Carbon Accounting Financials </w:t>
            </w:r>
            <w:r w:rsidRPr="004546D9">
              <w:rPr>
                <w:rFonts w:hint="eastAsia"/>
              </w:rPr>
              <w:t>（</w:t>
            </w:r>
            <w:r w:rsidRPr="004546D9">
              <w:rPr>
                <w:rFonts w:hint="eastAsia"/>
              </w:rPr>
              <w:t>PCAF</w:t>
            </w:r>
            <w:r w:rsidRPr="004546D9">
              <w:rPr>
                <w:rFonts w:hint="eastAsia"/>
              </w:rPr>
              <w:t>）</w:t>
            </w:r>
            <w:r w:rsidRPr="004546D9">
              <w:rPr>
                <w:rFonts w:hint="eastAsia"/>
              </w:rPr>
              <w:t xml:space="preserve"> </w:t>
            </w:r>
            <w:r w:rsidRPr="004546D9">
              <w:rPr>
                <w:rFonts w:hint="eastAsia"/>
              </w:rPr>
              <w:t>所制定</w:t>
            </w:r>
            <w:r w:rsidRPr="004546D9">
              <w:rPr>
                <w:rFonts w:hint="eastAsia"/>
              </w:rPr>
              <w:t xml:space="preserve">Global GHG Accounting and Reporting for the Financial Industry </w:t>
            </w:r>
            <w:r w:rsidRPr="004546D9">
              <w:rPr>
                <w:rFonts w:hint="eastAsia"/>
              </w:rPr>
              <w:t>之方法學或其他具可比較性之方法學。</w:t>
            </w:r>
          </w:p>
          <w:p w14:paraId="3283334D" w14:textId="2799A7ED" w:rsidR="00CA61B3" w:rsidRPr="004546D9" w:rsidRDefault="00CA61B3" w:rsidP="00CA61B3">
            <w:pPr>
              <w:pStyle w:val="a4"/>
              <w:spacing w:before="0" w:afterLines="50" w:after="180" w:line="0" w:lineRule="atLeast"/>
              <w:ind w:leftChars="133" w:left="523" w:hangingChars="85" w:hanging="204"/>
              <w:jc w:val="both"/>
            </w:pPr>
            <w:r w:rsidRPr="004546D9">
              <w:rPr>
                <w:rFonts w:hint="eastAsia"/>
              </w:rPr>
              <w:t>(3</w:t>
            </w:r>
            <w:r w:rsidRPr="004546D9">
              <w:t>)</w:t>
            </w:r>
            <w:r w:rsidRPr="004546D9">
              <w:rPr>
                <w:rFonts w:hint="eastAsia"/>
              </w:rPr>
              <w:t>宜提供過去之溫室氣體排放歷史數據，以供資訊使用者進行趨勢分析；亦應說明用以計算溫室氣體排放相關指標之方法學。</w:t>
            </w:r>
          </w:p>
          <w:p w14:paraId="77FB90D7" w14:textId="1BBE7C56" w:rsidR="00624FCF" w:rsidRPr="004546D9" w:rsidRDefault="00624FCF" w:rsidP="00CA61B3">
            <w:pPr>
              <w:spacing w:before="0" w:afterLines="50" w:after="180" w:line="0" w:lineRule="atLeast"/>
              <w:ind w:leftChars="-5" w:left="382" w:hangingChars="164" w:hanging="394"/>
              <w:jc w:val="both"/>
            </w:pPr>
            <w:r w:rsidRPr="004546D9">
              <w:t>M.</w:t>
            </w:r>
            <w:r w:rsidR="00CA61B3" w:rsidRPr="004546D9">
              <w:t>3</w:t>
            </w:r>
            <w:r w:rsidR="00CA61B3" w:rsidRPr="004546D9">
              <w:rPr>
                <w:rFonts w:hint="eastAsia"/>
              </w:rPr>
              <w:t>投信事業宜揭露用以管理氣候相關風險與機會之目標，以及落實該目標之表現；如進度落後得有相關說明及改善措施。</w:t>
            </w:r>
          </w:p>
        </w:tc>
      </w:tr>
    </w:tbl>
    <w:p w14:paraId="570A9891" w14:textId="77777777" w:rsidR="00FB5B4C" w:rsidRDefault="00FB5B4C" w:rsidP="00F0783F">
      <w:pPr>
        <w:widowControl/>
        <w:spacing w:before="0" w:after="0" w:line="240" w:lineRule="auto"/>
      </w:pPr>
    </w:p>
    <w:p w14:paraId="142627BB" w14:textId="77777777" w:rsidR="000D2E98" w:rsidRPr="00471175" w:rsidRDefault="000D2E98" w:rsidP="00F0783F">
      <w:pPr>
        <w:widowControl/>
        <w:spacing w:before="0" w:after="0" w:line="240" w:lineRule="auto"/>
      </w:pPr>
    </w:p>
    <w:p w14:paraId="6A4A4278" w14:textId="594B8D95" w:rsidR="00F0783F" w:rsidRPr="00471175" w:rsidRDefault="00F0783F" w:rsidP="00F415E9">
      <w:pPr>
        <w:widowControl/>
        <w:spacing w:before="0" w:afterLines="50" w:after="180" w:line="0" w:lineRule="atLeast"/>
        <w:ind w:leftChars="60" w:left="567" w:hangingChars="176" w:hanging="423"/>
        <w:jc w:val="both"/>
        <w:rPr>
          <w:b/>
          <w:bCs/>
        </w:rPr>
      </w:pPr>
      <w:r w:rsidRPr="00471175">
        <w:rPr>
          <w:b/>
          <w:bCs/>
        </w:rPr>
        <w:t>一、依循策略和風險管理流程進行評估氣候相關風險與機會所使用的指標</w:t>
      </w:r>
      <w:r w:rsidR="00F415E9" w:rsidRPr="00471175">
        <w:rPr>
          <w:rFonts w:eastAsia="微軟正黑體"/>
          <w:color w:val="0070C0"/>
          <w:sz w:val="16"/>
          <w:szCs w:val="16"/>
        </w:rPr>
        <w:t>【</w:t>
      </w:r>
      <w:r w:rsidR="00624FCF" w:rsidRPr="00624FCF">
        <w:rPr>
          <w:rFonts w:eastAsia="微軟正黑體" w:hint="eastAsia"/>
          <w:color w:val="0070C0"/>
          <w:sz w:val="16"/>
          <w:szCs w:val="16"/>
        </w:rPr>
        <w:t>M.</w:t>
      </w:r>
      <w:r w:rsidR="00EE6FEC">
        <w:rPr>
          <w:rFonts w:eastAsia="微軟正黑體"/>
          <w:color w:val="0070C0"/>
          <w:sz w:val="16"/>
          <w:szCs w:val="16"/>
        </w:rPr>
        <w:t>1</w:t>
      </w:r>
      <w:r w:rsidR="00F415E9" w:rsidRPr="00471175">
        <w:rPr>
          <w:rFonts w:eastAsia="微軟正黑體"/>
          <w:color w:val="0070C0"/>
          <w:sz w:val="16"/>
          <w:szCs w:val="16"/>
        </w:rPr>
        <w:t>】</w:t>
      </w:r>
    </w:p>
    <w:p w14:paraId="3DE4E490" w14:textId="563F675B" w:rsidR="00F0783F" w:rsidRPr="00471175" w:rsidRDefault="00F0783F" w:rsidP="00723D37">
      <w:pPr>
        <w:widowControl/>
        <w:spacing w:before="0" w:afterLines="100" w:after="360" w:line="360" w:lineRule="exact"/>
        <w:ind w:leftChars="236" w:left="566" w:firstLineChars="235" w:firstLine="564"/>
        <w:jc w:val="both"/>
      </w:pPr>
      <w:r w:rsidRPr="00471175">
        <w:t>因應氣候變遷、全球減碳與永續投資等具有多元一體格局之相關議題，</w:t>
      </w:r>
      <w:r w:rsidRPr="00471175">
        <w:t>A</w:t>
      </w:r>
      <w:r w:rsidRPr="00471175">
        <w:t>投信為進一步有效評估與管理氣候與永續相關風險與機會，響應國家能源轉型計畫及減碳政策目標，將以規劃</w:t>
      </w:r>
      <w:r w:rsidRPr="00471175">
        <w:t>2050</w:t>
      </w:r>
      <w:r w:rsidRPr="00471175">
        <w:t>年能達成淨零排放為主要關鍵指標，同時輔以環境永續策略和低碳經濟策略，納入考量具有重大性氣候變遷相關之重要議題，具體規劃自身營運策略與提供永續投資相關金融產品和服務的減碳節能目標與行動方案，以落實低碳經濟之表現，而達成低碳生活與環境永續的願景。</w:t>
      </w:r>
    </w:p>
    <w:p w14:paraId="11214288" w14:textId="77C7DDE0" w:rsidR="00F0783F" w:rsidRPr="00471175" w:rsidRDefault="00F0783F" w:rsidP="0090202B">
      <w:pPr>
        <w:widowControl/>
        <w:spacing w:before="0" w:afterLines="50" w:after="180" w:line="0" w:lineRule="atLeast"/>
        <w:ind w:leftChars="236" w:left="566" w:firstLineChars="235" w:firstLine="564"/>
        <w:jc w:val="both"/>
      </w:pPr>
      <w:r w:rsidRPr="00471175">
        <w:t>A</w:t>
      </w:r>
      <w:r w:rsidRPr="00471175">
        <w:t>投信制定管理氣候相關風險與機會之目標，係以絕對目標為基礎，以</w:t>
      </w:r>
      <w:r w:rsidRPr="00471175">
        <w:t>2020</w:t>
      </w:r>
      <w:r w:rsidRPr="00471175">
        <w:t>年設為基準年，時間範圍為</w:t>
      </w:r>
      <w:r w:rsidRPr="00471175">
        <w:t>2020</w:t>
      </w:r>
      <w:r w:rsidRPr="00471175">
        <w:t>年至</w:t>
      </w:r>
      <w:r w:rsidRPr="00471175">
        <w:t>2050</w:t>
      </w:r>
      <w:r w:rsidRPr="00471175">
        <w:t>年，並劃分中期（</w:t>
      </w:r>
      <w:r w:rsidRPr="00471175">
        <w:t>2025~2030</w:t>
      </w:r>
      <w:r w:rsidRPr="00471175">
        <w:t>年）與長期（</w:t>
      </w:r>
      <w:r w:rsidRPr="00471175">
        <w:t>2031~2050</w:t>
      </w:r>
      <w:r w:rsidRPr="00471175">
        <w:t>年）目標。</w:t>
      </w:r>
      <w:r w:rsidRPr="00471175">
        <w:t>A</w:t>
      </w:r>
      <w:r w:rsidRPr="00471175">
        <w:t>投信將審視目標達成情形，並依外在環境趨勢適當調整，以透過該等目標管理減緩氣候變遷衝擊，維持正常穩定營運。</w:t>
      </w:r>
      <w:r w:rsidR="00C77743" w:rsidRPr="00471175">
        <w:rPr>
          <w:rFonts w:eastAsia="微軟正黑體"/>
          <w:color w:val="0070C0"/>
          <w:sz w:val="16"/>
          <w:szCs w:val="16"/>
        </w:rPr>
        <w:t>【</w:t>
      </w:r>
      <w:r w:rsidR="00C77743" w:rsidRPr="00624FCF">
        <w:rPr>
          <w:rFonts w:eastAsia="微軟正黑體" w:hint="eastAsia"/>
          <w:color w:val="0070C0"/>
          <w:sz w:val="16"/>
          <w:szCs w:val="16"/>
        </w:rPr>
        <w:t>M.</w:t>
      </w:r>
      <w:r w:rsidR="00C77743">
        <w:rPr>
          <w:rFonts w:eastAsia="微軟正黑體"/>
          <w:color w:val="0070C0"/>
          <w:sz w:val="16"/>
          <w:szCs w:val="16"/>
        </w:rPr>
        <w:t>1.(1)</w:t>
      </w:r>
      <w:r w:rsidR="00C77743" w:rsidRPr="00471175">
        <w:rPr>
          <w:rFonts w:eastAsia="微軟正黑體"/>
          <w:color w:val="0070C0"/>
          <w:sz w:val="16"/>
          <w:szCs w:val="16"/>
        </w:rPr>
        <w:t>】</w:t>
      </w:r>
    </w:p>
    <w:p w14:paraId="6E296E59" w14:textId="7D6B56D7" w:rsidR="000D2E98" w:rsidRPr="00407010" w:rsidRDefault="00F0783F" w:rsidP="008D4438">
      <w:pPr>
        <w:widowControl/>
        <w:spacing w:before="0" w:afterLines="50" w:after="180" w:line="0" w:lineRule="atLeast"/>
        <w:ind w:leftChars="236" w:left="566" w:firstLineChars="235" w:firstLine="564"/>
        <w:jc w:val="both"/>
        <w:rPr>
          <w:rFonts w:eastAsia="微軟正黑體"/>
          <w:color w:val="0070C0"/>
          <w:sz w:val="16"/>
          <w:szCs w:val="16"/>
        </w:rPr>
      </w:pPr>
      <w:r w:rsidRPr="00471175">
        <w:t>A</w:t>
      </w:r>
      <w:r w:rsidRPr="00471175">
        <w:t>投信為達成</w:t>
      </w:r>
      <w:r w:rsidRPr="00471175">
        <w:t>2050</w:t>
      </w:r>
      <w:r w:rsidRPr="00471175">
        <w:t>年淨零碳排承諾，就環境永續以及低碳經濟兩大策略設定相關具體指標及中</w:t>
      </w:r>
      <w:r w:rsidRPr="00471175">
        <w:rPr>
          <w:rFonts w:eastAsia="新細明體"/>
        </w:rPr>
        <w:t>、</w:t>
      </w:r>
      <w:r w:rsidRPr="00471175">
        <w:t>長程目標如下。</w:t>
      </w:r>
      <w:r w:rsidR="00EE6FEC" w:rsidRPr="00471175">
        <w:rPr>
          <w:rFonts w:eastAsia="微軟正黑體"/>
          <w:color w:val="0070C0"/>
          <w:sz w:val="16"/>
          <w:szCs w:val="16"/>
        </w:rPr>
        <w:t>【</w:t>
      </w:r>
      <w:r w:rsidR="00EE6FEC" w:rsidRPr="00624FCF">
        <w:rPr>
          <w:rFonts w:eastAsia="微軟正黑體" w:hint="eastAsia"/>
          <w:color w:val="0070C0"/>
          <w:sz w:val="16"/>
          <w:szCs w:val="16"/>
        </w:rPr>
        <w:t>M.</w:t>
      </w:r>
      <w:r w:rsidR="00EE6FEC">
        <w:rPr>
          <w:rFonts w:eastAsia="微軟正黑體"/>
          <w:color w:val="0070C0"/>
          <w:sz w:val="16"/>
          <w:szCs w:val="16"/>
        </w:rPr>
        <w:t>1.(2)</w:t>
      </w:r>
      <w:r w:rsidR="00EE6FEC" w:rsidRPr="00471175">
        <w:rPr>
          <w:rFonts w:eastAsia="微軟正黑體"/>
          <w:color w:val="0070C0"/>
          <w:sz w:val="16"/>
          <w:szCs w:val="16"/>
        </w:rPr>
        <w:t>】</w:t>
      </w:r>
      <w:r w:rsidR="008D4438" w:rsidRPr="00471175">
        <w:rPr>
          <w:rFonts w:eastAsia="微軟正黑體"/>
          <w:color w:val="0070C0"/>
          <w:sz w:val="16"/>
          <w:szCs w:val="16"/>
        </w:rPr>
        <w:t>【</w:t>
      </w:r>
      <w:r w:rsidR="008D4438" w:rsidRPr="00624FCF">
        <w:rPr>
          <w:rFonts w:eastAsia="微軟正黑體" w:hint="eastAsia"/>
          <w:color w:val="0070C0"/>
          <w:sz w:val="16"/>
          <w:szCs w:val="16"/>
        </w:rPr>
        <w:t>M.</w:t>
      </w:r>
      <w:r w:rsidR="008D4438">
        <w:rPr>
          <w:rFonts w:eastAsia="微軟正黑體"/>
          <w:color w:val="0070C0"/>
          <w:sz w:val="16"/>
          <w:szCs w:val="16"/>
        </w:rPr>
        <w:t>1.(3)</w:t>
      </w:r>
      <w:r w:rsidR="008D4438" w:rsidRPr="00471175">
        <w:rPr>
          <w:rFonts w:eastAsia="微軟正黑體"/>
          <w:color w:val="0070C0"/>
          <w:sz w:val="16"/>
          <w:szCs w:val="16"/>
        </w:rPr>
        <w:t>】</w:t>
      </w:r>
      <w:r w:rsidR="000D2E98" w:rsidRPr="00407010">
        <w:rPr>
          <w:rFonts w:eastAsia="微軟正黑體"/>
          <w:color w:val="0070C0"/>
          <w:sz w:val="16"/>
          <w:szCs w:val="16"/>
        </w:rPr>
        <w:br w:type="page"/>
      </w:r>
    </w:p>
    <w:tbl>
      <w:tblPr>
        <w:tblStyle w:val="aa"/>
        <w:tblW w:w="8784" w:type="dxa"/>
        <w:tblLook w:val="04A0" w:firstRow="1" w:lastRow="0" w:firstColumn="1" w:lastColumn="0" w:noHBand="0" w:noVBand="1"/>
      </w:tblPr>
      <w:tblGrid>
        <w:gridCol w:w="562"/>
        <w:gridCol w:w="1276"/>
        <w:gridCol w:w="4253"/>
        <w:gridCol w:w="1275"/>
        <w:gridCol w:w="1418"/>
      </w:tblGrid>
      <w:tr w:rsidR="009B7997" w:rsidRPr="009B7997" w14:paraId="762B83AE" w14:textId="77777777" w:rsidTr="009B7997">
        <w:trPr>
          <w:trHeight w:val="508"/>
        </w:trPr>
        <w:tc>
          <w:tcPr>
            <w:tcW w:w="6091" w:type="dxa"/>
            <w:gridSpan w:val="3"/>
            <w:shd w:val="clear" w:color="auto" w:fill="2F5496" w:themeFill="accent5" w:themeFillShade="BF"/>
            <w:vAlign w:val="center"/>
          </w:tcPr>
          <w:p w14:paraId="12248F61" w14:textId="77777777" w:rsidR="00F0783F" w:rsidRPr="009B7997" w:rsidRDefault="00F0783F" w:rsidP="003400C1">
            <w:pPr>
              <w:adjustRightInd w:val="0"/>
              <w:snapToGrid w:val="0"/>
              <w:spacing w:before="0" w:after="0" w:line="0" w:lineRule="atLeast"/>
              <w:jc w:val="center"/>
              <w:rPr>
                <w:color w:val="FFFFFF" w:themeColor="background1"/>
              </w:rPr>
            </w:pPr>
            <w:r w:rsidRPr="009B7997">
              <w:rPr>
                <w:b/>
                <w:bCs/>
                <w:color w:val="FFFFFF" w:themeColor="background1"/>
              </w:rPr>
              <w:lastRenderedPageBreak/>
              <w:t>指標項目</w:t>
            </w:r>
          </w:p>
        </w:tc>
        <w:tc>
          <w:tcPr>
            <w:tcW w:w="1275" w:type="dxa"/>
            <w:shd w:val="clear" w:color="auto" w:fill="2F5496" w:themeFill="accent5" w:themeFillShade="BF"/>
            <w:vAlign w:val="center"/>
          </w:tcPr>
          <w:p w14:paraId="1F9D3663" w14:textId="77777777" w:rsidR="00F0783F" w:rsidRPr="009B7997" w:rsidRDefault="00F0783F" w:rsidP="003400C1">
            <w:pPr>
              <w:adjustRightInd w:val="0"/>
              <w:snapToGrid w:val="0"/>
              <w:spacing w:before="0" w:after="0" w:line="0" w:lineRule="atLeast"/>
              <w:jc w:val="center"/>
              <w:rPr>
                <w:b/>
                <w:bCs/>
                <w:color w:val="FFFFFF" w:themeColor="background1"/>
              </w:rPr>
            </w:pPr>
            <w:r w:rsidRPr="009B7997">
              <w:rPr>
                <w:b/>
                <w:bCs/>
                <w:color w:val="FFFFFF" w:themeColor="background1"/>
              </w:rPr>
              <w:t>中期目標</w:t>
            </w:r>
          </w:p>
          <w:p w14:paraId="6D3C25A4" w14:textId="77777777" w:rsidR="00F0783F" w:rsidRPr="009B7997" w:rsidRDefault="00F0783F" w:rsidP="003400C1">
            <w:pPr>
              <w:adjustRightInd w:val="0"/>
              <w:snapToGrid w:val="0"/>
              <w:spacing w:before="0" w:after="0" w:line="0" w:lineRule="atLeast"/>
              <w:jc w:val="center"/>
              <w:rPr>
                <w:color w:val="FFFFFF" w:themeColor="background1"/>
              </w:rPr>
            </w:pPr>
            <w:r w:rsidRPr="009B7997">
              <w:rPr>
                <w:b/>
                <w:bCs/>
                <w:color w:val="FFFFFF" w:themeColor="background1"/>
              </w:rPr>
              <w:t>2030</w:t>
            </w:r>
          </w:p>
        </w:tc>
        <w:tc>
          <w:tcPr>
            <w:tcW w:w="1418" w:type="dxa"/>
            <w:shd w:val="clear" w:color="auto" w:fill="2F5496" w:themeFill="accent5" w:themeFillShade="BF"/>
            <w:vAlign w:val="center"/>
          </w:tcPr>
          <w:p w14:paraId="377CEED4" w14:textId="77777777" w:rsidR="00F0783F" w:rsidRPr="009B7997" w:rsidRDefault="00F0783F" w:rsidP="003400C1">
            <w:pPr>
              <w:adjustRightInd w:val="0"/>
              <w:snapToGrid w:val="0"/>
              <w:spacing w:before="0" w:after="0" w:line="0" w:lineRule="atLeast"/>
              <w:jc w:val="center"/>
              <w:rPr>
                <w:b/>
                <w:bCs/>
                <w:color w:val="FFFFFF" w:themeColor="background1"/>
              </w:rPr>
            </w:pPr>
            <w:r w:rsidRPr="009B7997">
              <w:rPr>
                <w:b/>
                <w:bCs/>
                <w:color w:val="FFFFFF" w:themeColor="background1"/>
              </w:rPr>
              <w:t>長期目標</w:t>
            </w:r>
          </w:p>
          <w:p w14:paraId="4EE3045F" w14:textId="77777777" w:rsidR="00F0783F" w:rsidRPr="009B7997" w:rsidRDefault="00F0783F" w:rsidP="003400C1">
            <w:pPr>
              <w:adjustRightInd w:val="0"/>
              <w:snapToGrid w:val="0"/>
              <w:spacing w:before="0" w:after="0" w:line="0" w:lineRule="atLeast"/>
              <w:jc w:val="center"/>
              <w:rPr>
                <w:color w:val="FFFFFF" w:themeColor="background1"/>
              </w:rPr>
            </w:pPr>
            <w:r w:rsidRPr="009B7997">
              <w:rPr>
                <w:b/>
                <w:bCs/>
                <w:color w:val="FFFFFF" w:themeColor="background1"/>
              </w:rPr>
              <w:t>2050</w:t>
            </w:r>
          </w:p>
        </w:tc>
      </w:tr>
      <w:tr w:rsidR="00F0783F" w:rsidRPr="00471175" w14:paraId="6EF504DB" w14:textId="77777777" w:rsidTr="002C40D8">
        <w:tc>
          <w:tcPr>
            <w:tcW w:w="562" w:type="dxa"/>
            <w:vMerge w:val="restart"/>
            <w:shd w:val="clear" w:color="auto" w:fill="C5E0B3" w:themeFill="accent6" w:themeFillTint="66"/>
            <w:vAlign w:val="center"/>
          </w:tcPr>
          <w:p w14:paraId="7E679BE0" w14:textId="77777777" w:rsidR="00F0783F" w:rsidRPr="00471175" w:rsidRDefault="00F0783F" w:rsidP="009B7997">
            <w:pPr>
              <w:adjustRightInd w:val="0"/>
              <w:snapToGrid w:val="0"/>
              <w:spacing w:before="0" w:after="0" w:line="360" w:lineRule="auto"/>
              <w:ind w:leftChars="-48" w:left="-115" w:rightChars="-44" w:right="-106" w:firstLine="2"/>
              <w:jc w:val="center"/>
            </w:pPr>
            <w:r w:rsidRPr="00471175">
              <w:rPr>
                <w:b/>
                <w:bCs/>
              </w:rPr>
              <w:t>環境永續</w:t>
            </w:r>
          </w:p>
        </w:tc>
        <w:tc>
          <w:tcPr>
            <w:tcW w:w="1276" w:type="dxa"/>
            <w:vMerge w:val="restart"/>
            <w:shd w:val="clear" w:color="auto" w:fill="C5E0B3" w:themeFill="accent6" w:themeFillTint="66"/>
            <w:vAlign w:val="center"/>
          </w:tcPr>
          <w:p w14:paraId="67D3CF57" w14:textId="77777777" w:rsidR="00F0783F" w:rsidRPr="00471175" w:rsidRDefault="00F0783F" w:rsidP="009B7997">
            <w:pPr>
              <w:adjustRightInd w:val="0"/>
              <w:snapToGrid w:val="0"/>
              <w:spacing w:before="0" w:after="0" w:line="360" w:lineRule="auto"/>
              <w:jc w:val="center"/>
            </w:pPr>
            <w:r w:rsidRPr="00471175">
              <w:rPr>
                <w:b/>
                <w:bCs/>
              </w:rPr>
              <w:t>綠色能源</w:t>
            </w:r>
          </w:p>
        </w:tc>
        <w:tc>
          <w:tcPr>
            <w:tcW w:w="4253" w:type="dxa"/>
            <w:shd w:val="clear" w:color="auto" w:fill="E2EFD9" w:themeFill="accent6" w:themeFillTint="33"/>
            <w:vAlign w:val="center"/>
          </w:tcPr>
          <w:p w14:paraId="43C63D42" w14:textId="77777777" w:rsidR="00F0783F" w:rsidRPr="00471175" w:rsidRDefault="00F0783F" w:rsidP="009B7997">
            <w:pPr>
              <w:adjustRightInd w:val="0"/>
              <w:snapToGrid w:val="0"/>
              <w:spacing w:before="0" w:after="0" w:line="360" w:lineRule="auto"/>
              <w:jc w:val="center"/>
            </w:pPr>
            <w:r w:rsidRPr="00471175">
              <w:t>能源使用</w:t>
            </w:r>
          </w:p>
        </w:tc>
        <w:tc>
          <w:tcPr>
            <w:tcW w:w="1275" w:type="dxa"/>
            <w:shd w:val="clear" w:color="auto" w:fill="E2EFD9" w:themeFill="accent6" w:themeFillTint="33"/>
            <w:vAlign w:val="center"/>
          </w:tcPr>
          <w:p w14:paraId="2728E219" w14:textId="77777777" w:rsidR="00F0783F" w:rsidRPr="00471175" w:rsidRDefault="00F0783F" w:rsidP="009B7997">
            <w:pPr>
              <w:adjustRightInd w:val="0"/>
              <w:snapToGrid w:val="0"/>
              <w:spacing w:before="0" w:after="0" w:line="360" w:lineRule="auto"/>
              <w:jc w:val="center"/>
            </w:pPr>
            <w:r w:rsidRPr="00471175">
              <w:t>-20%</w:t>
            </w:r>
          </w:p>
        </w:tc>
        <w:tc>
          <w:tcPr>
            <w:tcW w:w="1418" w:type="dxa"/>
            <w:shd w:val="clear" w:color="auto" w:fill="E2EFD9" w:themeFill="accent6" w:themeFillTint="33"/>
            <w:vAlign w:val="center"/>
          </w:tcPr>
          <w:p w14:paraId="667699BE" w14:textId="77777777" w:rsidR="00F0783F" w:rsidRPr="00471175" w:rsidRDefault="00F0783F" w:rsidP="009B7997">
            <w:pPr>
              <w:adjustRightInd w:val="0"/>
              <w:snapToGrid w:val="0"/>
              <w:spacing w:before="0" w:after="0" w:line="360" w:lineRule="auto"/>
              <w:jc w:val="center"/>
            </w:pPr>
            <w:r w:rsidRPr="00471175">
              <w:t>-50%</w:t>
            </w:r>
          </w:p>
        </w:tc>
      </w:tr>
      <w:tr w:rsidR="00F0783F" w:rsidRPr="00471175" w14:paraId="26F18FF9" w14:textId="77777777" w:rsidTr="002C40D8">
        <w:tc>
          <w:tcPr>
            <w:tcW w:w="562" w:type="dxa"/>
            <w:vMerge/>
            <w:shd w:val="clear" w:color="auto" w:fill="C5E0B3" w:themeFill="accent6" w:themeFillTint="66"/>
            <w:vAlign w:val="center"/>
          </w:tcPr>
          <w:p w14:paraId="48C848E8" w14:textId="77777777" w:rsidR="00F0783F" w:rsidRPr="00471175" w:rsidRDefault="00F0783F" w:rsidP="009B7997">
            <w:pPr>
              <w:adjustRightInd w:val="0"/>
              <w:snapToGrid w:val="0"/>
              <w:spacing w:before="0" w:after="0" w:line="360" w:lineRule="auto"/>
            </w:pPr>
          </w:p>
        </w:tc>
        <w:tc>
          <w:tcPr>
            <w:tcW w:w="1276" w:type="dxa"/>
            <w:vMerge/>
            <w:shd w:val="clear" w:color="auto" w:fill="C5E0B3" w:themeFill="accent6" w:themeFillTint="66"/>
            <w:vAlign w:val="center"/>
          </w:tcPr>
          <w:p w14:paraId="46A1D628" w14:textId="77777777" w:rsidR="00F0783F" w:rsidRPr="00471175" w:rsidRDefault="00F0783F" w:rsidP="009B7997">
            <w:pPr>
              <w:adjustRightInd w:val="0"/>
              <w:snapToGrid w:val="0"/>
              <w:spacing w:before="0" w:after="0" w:line="360" w:lineRule="auto"/>
            </w:pPr>
          </w:p>
        </w:tc>
        <w:tc>
          <w:tcPr>
            <w:tcW w:w="4253" w:type="dxa"/>
            <w:shd w:val="clear" w:color="auto" w:fill="E2EFD9" w:themeFill="accent6" w:themeFillTint="33"/>
            <w:vAlign w:val="center"/>
          </w:tcPr>
          <w:p w14:paraId="49A18942" w14:textId="77777777" w:rsidR="00F0783F" w:rsidRPr="00471175" w:rsidRDefault="00F0783F" w:rsidP="009B7997">
            <w:pPr>
              <w:adjustRightInd w:val="0"/>
              <w:snapToGrid w:val="0"/>
              <w:spacing w:before="0" w:after="0" w:line="360" w:lineRule="auto"/>
              <w:jc w:val="center"/>
            </w:pPr>
            <w:r w:rsidRPr="00471175">
              <w:t>使用再生能源</w:t>
            </w:r>
          </w:p>
        </w:tc>
        <w:tc>
          <w:tcPr>
            <w:tcW w:w="1275" w:type="dxa"/>
            <w:shd w:val="clear" w:color="auto" w:fill="E2EFD9" w:themeFill="accent6" w:themeFillTint="33"/>
            <w:vAlign w:val="center"/>
          </w:tcPr>
          <w:p w14:paraId="551B82D1" w14:textId="77777777" w:rsidR="00F0783F" w:rsidRPr="00471175" w:rsidRDefault="00F0783F" w:rsidP="009B7997">
            <w:pPr>
              <w:adjustRightInd w:val="0"/>
              <w:snapToGrid w:val="0"/>
              <w:spacing w:before="0" w:after="0" w:line="360" w:lineRule="auto"/>
              <w:jc w:val="center"/>
            </w:pPr>
            <w:r w:rsidRPr="00471175">
              <w:t>+30%</w:t>
            </w:r>
          </w:p>
        </w:tc>
        <w:tc>
          <w:tcPr>
            <w:tcW w:w="1418" w:type="dxa"/>
            <w:shd w:val="clear" w:color="auto" w:fill="E2EFD9" w:themeFill="accent6" w:themeFillTint="33"/>
            <w:vAlign w:val="center"/>
          </w:tcPr>
          <w:p w14:paraId="1B765D9A" w14:textId="77777777" w:rsidR="00F0783F" w:rsidRPr="00471175" w:rsidRDefault="00F0783F" w:rsidP="009B7997">
            <w:pPr>
              <w:adjustRightInd w:val="0"/>
              <w:snapToGrid w:val="0"/>
              <w:spacing w:before="0" w:after="0" w:line="360" w:lineRule="auto"/>
              <w:jc w:val="center"/>
            </w:pPr>
            <w:r w:rsidRPr="00471175">
              <w:t>+90%</w:t>
            </w:r>
          </w:p>
        </w:tc>
      </w:tr>
      <w:tr w:rsidR="00F0783F" w:rsidRPr="00471175" w14:paraId="746161DD" w14:textId="77777777" w:rsidTr="002C40D8">
        <w:tc>
          <w:tcPr>
            <w:tcW w:w="562" w:type="dxa"/>
            <w:vMerge/>
            <w:shd w:val="clear" w:color="auto" w:fill="C5E0B3" w:themeFill="accent6" w:themeFillTint="66"/>
            <w:vAlign w:val="center"/>
          </w:tcPr>
          <w:p w14:paraId="1C2D11AF" w14:textId="77777777" w:rsidR="00F0783F" w:rsidRPr="00471175" w:rsidRDefault="00F0783F" w:rsidP="009B7997">
            <w:pPr>
              <w:adjustRightInd w:val="0"/>
              <w:snapToGrid w:val="0"/>
              <w:spacing w:before="0" w:after="0" w:line="360" w:lineRule="auto"/>
            </w:pPr>
          </w:p>
        </w:tc>
        <w:tc>
          <w:tcPr>
            <w:tcW w:w="1276" w:type="dxa"/>
            <w:vMerge w:val="restart"/>
            <w:shd w:val="clear" w:color="auto" w:fill="C5E0B3" w:themeFill="accent6" w:themeFillTint="66"/>
            <w:vAlign w:val="center"/>
          </w:tcPr>
          <w:p w14:paraId="080C3255" w14:textId="77777777" w:rsidR="00F0783F" w:rsidRPr="00471175" w:rsidRDefault="00F0783F" w:rsidP="009B7997">
            <w:pPr>
              <w:adjustRightInd w:val="0"/>
              <w:snapToGrid w:val="0"/>
              <w:spacing w:before="0" w:after="0" w:line="360" w:lineRule="auto"/>
              <w:jc w:val="center"/>
            </w:pPr>
            <w:r w:rsidRPr="00471175">
              <w:rPr>
                <w:b/>
                <w:bCs/>
              </w:rPr>
              <w:t>綠色營運</w:t>
            </w:r>
          </w:p>
        </w:tc>
        <w:tc>
          <w:tcPr>
            <w:tcW w:w="4253" w:type="dxa"/>
            <w:shd w:val="clear" w:color="auto" w:fill="E2EFD9" w:themeFill="accent6" w:themeFillTint="33"/>
            <w:vAlign w:val="center"/>
          </w:tcPr>
          <w:p w14:paraId="56F38C7E" w14:textId="77777777" w:rsidR="00F0783F" w:rsidRPr="00471175" w:rsidRDefault="00F0783F" w:rsidP="009B7997">
            <w:pPr>
              <w:adjustRightInd w:val="0"/>
              <w:snapToGrid w:val="0"/>
              <w:spacing w:before="0" w:after="0" w:line="360" w:lineRule="auto"/>
              <w:jc w:val="center"/>
            </w:pPr>
            <w:r w:rsidRPr="00471175">
              <w:t>職場轉型</w:t>
            </w:r>
          </w:p>
        </w:tc>
        <w:tc>
          <w:tcPr>
            <w:tcW w:w="1275" w:type="dxa"/>
            <w:shd w:val="clear" w:color="auto" w:fill="E2EFD9" w:themeFill="accent6" w:themeFillTint="33"/>
            <w:vAlign w:val="center"/>
          </w:tcPr>
          <w:p w14:paraId="58619EA8" w14:textId="77777777" w:rsidR="00F0783F" w:rsidRPr="00471175" w:rsidRDefault="00F0783F" w:rsidP="009B7997">
            <w:pPr>
              <w:adjustRightInd w:val="0"/>
              <w:snapToGrid w:val="0"/>
              <w:spacing w:before="0" w:after="0" w:line="360" w:lineRule="auto"/>
              <w:jc w:val="center"/>
            </w:pPr>
            <w:r w:rsidRPr="00471175">
              <w:t>+50%</w:t>
            </w:r>
          </w:p>
        </w:tc>
        <w:tc>
          <w:tcPr>
            <w:tcW w:w="1418" w:type="dxa"/>
            <w:shd w:val="clear" w:color="auto" w:fill="E2EFD9" w:themeFill="accent6" w:themeFillTint="33"/>
            <w:vAlign w:val="center"/>
          </w:tcPr>
          <w:p w14:paraId="3410678D" w14:textId="77777777" w:rsidR="00F0783F" w:rsidRPr="00471175" w:rsidRDefault="00F0783F" w:rsidP="009B7997">
            <w:pPr>
              <w:adjustRightInd w:val="0"/>
              <w:snapToGrid w:val="0"/>
              <w:spacing w:before="0" w:after="0" w:line="360" w:lineRule="auto"/>
              <w:jc w:val="center"/>
            </w:pPr>
            <w:r w:rsidRPr="00471175">
              <w:t>+90%</w:t>
            </w:r>
          </w:p>
        </w:tc>
      </w:tr>
      <w:tr w:rsidR="00F0783F" w:rsidRPr="00471175" w14:paraId="6FD779AD" w14:textId="77777777" w:rsidTr="002C40D8">
        <w:tc>
          <w:tcPr>
            <w:tcW w:w="562" w:type="dxa"/>
            <w:vMerge/>
            <w:shd w:val="clear" w:color="auto" w:fill="C5E0B3" w:themeFill="accent6" w:themeFillTint="66"/>
            <w:vAlign w:val="center"/>
          </w:tcPr>
          <w:p w14:paraId="56F44CBA" w14:textId="77777777" w:rsidR="00F0783F" w:rsidRPr="00471175" w:rsidRDefault="00F0783F" w:rsidP="009B7997">
            <w:pPr>
              <w:adjustRightInd w:val="0"/>
              <w:snapToGrid w:val="0"/>
              <w:spacing w:before="0" w:after="0" w:line="360" w:lineRule="auto"/>
            </w:pPr>
          </w:p>
        </w:tc>
        <w:tc>
          <w:tcPr>
            <w:tcW w:w="1276" w:type="dxa"/>
            <w:vMerge/>
            <w:shd w:val="clear" w:color="auto" w:fill="C5E0B3" w:themeFill="accent6" w:themeFillTint="66"/>
            <w:vAlign w:val="center"/>
          </w:tcPr>
          <w:p w14:paraId="753055B5" w14:textId="77777777" w:rsidR="00F0783F" w:rsidRPr="00471175" w:rsidRDefault="00F0783F" w:rsidP="009B7997">
            <w:pPr>
              <w:adjustRightInd w:val="0"/>
              <w:snapToGrid w:val="0"/>
              <w:spacing w:before="0" w:after="0" w:line="360" w:lineRule="auto"/>
            </w:pPr>
          </w:p>
        </w:tc>
        <w:tc>
          <w:tcPr>
            <w:tcW w:w="4253" w:type="dxa"/>
            <w:shd w:val="clear" w:color="auto" w:fill="E2EFD9" w:themeFill="accent6" w:themeFillTint="33"/>
            <w:vAlign w:val="center"/>
          </w:tcPr>
          <w:p w14:paraId="5A54EE4C" w14:textId="77777777" w:rsidR="00F0783F" w:rsidRPr="00471175" w:rsidRDefault="00F0783F" w:rsidP="009B7997">
            <w:pPr>
              <w:adjustRightInd w:val="0"/>
              <w:snapToGrid w:val="0"/>
              <w:spacing w:before="0" w:after="0" w:line="360" w:lineRule="auto"/>
              <w:jc w:val="center"/>
            </w:pPr>
            <w:r w:rsidRPr="00471175">
              <w:t>減碳</w:t>
            </w:r>
            <w:r w:rsidRPr="00471175">
              <w:t>(</w:t>
            </w:r>
            <w:r w:rsidRPr="00471175">
              <w:t>範疇一及範疇二</w:t>
            </w:r>
            <w:r w:rsidRPr="00471175">
              <w:t>)</w:t>
            </w:r>
          </w:p>
        </w:tc>
        <w:tc>
          <w:tcPr>
            <w:tcW w:w="1275" w:type="dxa"/>
            <w:shd w:val="clear" w:color="auto" w:fill="E2EFD9" w:themeFill="accent6" w:themeFillTint="33"/>
            <w:vAlign w:val="center"/>
          </w:tcPr>
          <w:p w14:paraId="0746C908" w14:textId="77777777" w:rsidR="00F0783F" w:rsidRPr="00471175" w:rsidRDefault="00F0783F" w:rsidP="009B7997">
            <w:pPr>
              <w:adjustRightInd w:val="0"/>
              <w:snapToGrid w:val="0"/>
              <w:spacing w:before="0" w:after="0" w:line="360" w:lineRule="auto"/>
              <w:jc w:val="center"/>
            </w:pPr>
            <w:r w:rsidRPr="00471175">
              <w:t>-45%</w:t>
            </w:r>
          </w:p>
        </w:tc>
        <w:tc>
          <w:tcPr>
            <w:tcW w:w="1418" w:type="dxa"/>
            <w:shd w:val="clear" w:color="auto" w:fill="E2EFD9" w:themeFill="accent6" w:themeFillTint="33"/>
            <w:vAlign w:val="center"/>
          </w:tcPr>
          <w:p w14:paraId="419AEF34" w14:textId="77777777" w:rsidR="00F0783F" w:rsidRPr="00471175" w:rsidRDefault="00F0783F" w:rsidP="009B7997">
            <w:pPr>
              <w:adjustRightInd w:val="0"/>
              <w:snapToGrid w:val="0"/>
              <w:spacing w:before="0" w:after="0" w:line="360" w:lineRule="auto"/>
              <w:jc w:val="center"/>
            </w:pPr>
            <w:r w:rsidRPr="00471175">
              <w:t>-100%</w:t>
            </w:r>
          </w:p>
        </w:tc>
      </w:tr>
      <w:tr w:rsidR="00F0783F" w:rsidRPr="00471175" w14:paraId="61682D85" w14:textId="77777777" w:rsidTr="002C40D8">
        <w:tc>
          <w:tcPr>
            <w:tcW w:w="562" w:type="dxa"/>
            <w:vMerge/>
            <w:shd w:val="clear" w:color="auto" w:fill="C5E0B3" w:themeFill="accent6" w:themeFillTint="66"/>
            <w:vAlign w:val="center"/>
          </w:tcPr>
          <w:p w14:paraId="3863CF3E" w14:textId="77777777" w:rsidR="00F0783F" w:rsidRPr="00471175" w:rsidRDefault="00F0783F" w:rsidP="009B7997">
            <w:pPr>
              <w:adjustRightInd w:val="0"/>
              <w:snapToGrid w:val="0"/>
              <w:spacing w:before="0" w:after="0" w:line="360" w:lineRule="auto"/>
            </w:pPr>
          </w:p>
        </w:tc>
        <w:tc>
          <w:tcPr>
            <w:tcW w:w="1276" w:type="dxa"/>
            <w:vMerge/>
            <w:shd w:val="clear" w:color="auto" w:fill="C5E0B3" w:themeFill="accent6" w:themeFillTint="66"/>
            <w:vAlign w:val="center"/>
          </w:tcPr>
          <w:p w14:paraId="68125EDA" w14:textId="77777777" w:rsidR="00F0783F" w:rsidRPr="00471175" w:rsidRDefault="00F0783F" w:rsidP="009B7997">
            <w:pPr>
              <w:adjustRightInd w:val="0"/>
              <w:snapToGrid w:val="0"/>
              <w:spacing w:before="0" w:after="0" w:line="360" w:lineRule="auto"/>
            </w:pPr>
          </w:p>
        </w:tc>
        <w:tc>
          <w:tcPr>
            <w:tcW w:w="4253" w:type="dxa"/>
            <w:shd w:val="clear" w:color="auto" w:fill="E2EFD9" w:themeFill="accent6" w:themeFillTint="33"/>
            <w:vAlign w:val="center"/>
          </w:tcPr>
          <w:p w14:paraId="23CDCF87" w14:textId="77777777" w:rsidR="00F0783F" w:rsidRPr="00471175" w:rsidRDefault="00F0783F" w:rsidP="009B7997">
            <w:pPr>
              <w:adjustRightInd w:val="0"/>
              <w:snapToGrid w:val="0"/>
              <w:spacing w:before="0" w:after="0" w:line="360" w:lineRule="auto"/>
              <w:jc w:val="center"/>
            </w:pPr>
            <w:r w:rsidRPr="00471175">
              <w:t>水資源減耗</w:t>
            </w:r>
          </w:p>
        </w:tc>
        <w:tc>
          <w:tcPr>
            <w:tcW w:w="1275" w:type="dxa"/>
            <w:shd w:val="clear" w:color="auto" w:fill="E2EFD9" w:themeFill="accent6" w:themeFillTint="33"/>
            <w:vAlign w:val="center"/>
          </w:tcPr>
          <w:p w14:paraId="299F2AF6" w14:textId="77777777" w:rsidR="00F0783F" w:rsidRPr="00471175" w:rsidRDefault="00F0783F" w:rsidP="009B7997">
            <w:pPr>
              <w:adjustRightInd w:val="0"/>
              <w:snapToGrid w:val="0"/>
              <w:spacing w:before="0" w:after="0" w:line="360" w:lineRule="auto"/>
              <w:jc w:val="center"/>
            </w:pPr>
            <w:r w:rsidRPr="00471175">
              <w:t>-30%</w:t>
            </w:r>
          </w:p>
        </w:tc>
        <w:tc>
          <w:tcPr>
            <w:tcW w:w="1418" w:type="dxa"/>
            <w:shd w:val="clear" w:color="auto" w:fill="E2EFD9" w:themeFill="accent6" w:themeFillTint="33"/>
            <w:vAlign w:val="center"/>
          </w:tcPr>
          <w:p w14:paraId="5A3FECB1" w14:textId="77777777" w:rsidR="00F0783F" w:rsidRPr="00471175" w:rsidRDefault="00F0783F" w:rsidP="009B7997">
            <w:pPr>
              <w:adjustRightInd w:val="0"/>
              <w:snapToGrid w:val="0"/>
              <w:spacing w:before="0" w:after="0" w:line="360" w:lineRule="auto"/>
              <w:jc w:val="center"/>
            </w:pPr>
            <w:r w:rsidRPr="00471175">
              <w:t>-90%</w:t>
            </w:r>
          </w:p>
        </w:tc>
      </w:tr>
      <w:tr w:rsidR="00F0783F" w:rsidRPr="00471175" w14:paraId="22A97BCD" w14:textId="77777777" w:rsidTr="002C40D8">
        <w:tc>
          <w:tcPr>
            <w:tcW w:w="562" w:type="dxa"/>
            <w:vMerge/>
            <w:shd w:val="clear" w:color="auto" w:fill="C5E0B3" w:themeFill="accent6" w:themeFillTint="66"/>
            <w:vAlign w:val="center"/>
          </w:tcPr>
          <w:p w14:paraId="74A744BE" w14:textId="77777777" w:rsidR="00F0783F" w:rsidRPr="00471175" w:rsidRDefault="00F0783F" w:rsidP="009B7997">
            <w:pPr>
              <w:adjustRightInd w:val="0"/>
              <w:snapToGrid w:val="0"/>
              <w:spacing w:before="0" w:after="0" w:line="360" w:lineRule="auto"/>
            </w:pPr>
          </w:p>
        </w:tc>
        <w:tc>
          <w:tcPr>
            <w:tcW w:w="1276" w:type="dxa"/>
            <w:vMerge/>
            <w:shd w:val="clear" w:color="auto" w:fill="C5E0B3" w:themeFill="accent6" w:themeFillTint="66"/>
            <w:vAlign w:val="center"/>
          </w:tcPr>
          <w:p w14:paraId="50052FC6" w14:textId="77777777" w:rsidR="00F0783F" w:rsidRPr="00471175" w:rsidRDefault="00F0783F" w:rsidP="009B7997">
            <w:pPr>
              <w:adjustRightInd w:val="0"/>
              <w:snapToGrid w:val="0"/>
              <w:spacing w:before="0" w:after="0" w:line="360" w:lineRule="auto"/>
            </w:pPr>
          </w:p>
        </w:tc>
        <w:tc>
          <w:tcPr>
            <w:tcW w:w="4253" w:type="dxa"/>
            <w:shd w:val="clear" w:color="auto" w:fill="E2EFD9" w:themeFill="accent6" w:themeFillTint="33"/>
            <w:vAlign w:val="center"/>
          </w:tcPr>
          <w:p w14:paraId="7206976B" w14:textId="77777777" w:rsidR="00F0783F" w:rsidRPr="00471175" w:rsidRDefault="00F0783F" w:rsidP="009B7997">
            <w:pPr>
              <w:adjustRightInd w:val="0"/>
              <w:snapToGrid w:val="0"/>
              <w:spacing w:before="0" w:after="0" w:line="360" w:lineRule="auto"/>
              <w:jc w:val="center"/>
            </w:pPr>
            <w:r w:rsidRPr="00471175">
              <w:t>廢棄物減量</w:t>
            </w:r>
          </w:p>
        </w:tc>
        <w:tc>
          <w:tcPr>
            <w:tcW w:w="1275" w:type="dxa"/>
            <w:shd w:val="clear" w:color="auto" w:fill="E2EFD9" w:themeFill="accent6" w:themeFillTint="33"/>
            <w:vAlign w:val="center"/>
          </w:tcPr>
          <w:p w14:paraId="01EBD192" w14:textId="77777777" w:rsidR="00F0783F" w:rsidRPr="00471175" w:rsidRDefault="00F0783F" w:rsidP="009B7997">
            <w:pPr>
              <w:adjustRightInd w:val="0"/>
              <w:snapToGrid w:val="0"/>
              <w:spacing w:before="0" w:after="0" w:line="360" w:lineRule="auto"/>
              <w:jc w:val="center"/>
            </w:pPr>
            <w:r w:rsidRPr="00471175">
              <w:t>-40%</w:t>
            </w:r>
          </w:p>
        </w:tc>
        <w:tc>
          <w:tcPr>
            <w:tcW w:w="1418" w:type="dxa"/>
            <w:shd w:val="clear" w:color="auto" w:fill="E2EFD9" w:themeFill="accent6" w:themeFillTint="33"/>
            <w:vAlign w:val="center"/>
          </w:tcPr>
          <w:p w14:paraId="4ED37E84" w14:textId="77777777" w:rsidR="00F0783F" w:rsidRPr="00471175" w:rsidRDefault="00F0783F" w:rsidP="009B7997">
            <w:pPr>
              <w:adjustRightInd w:val="0"/>
              <w:snapToGrid w:val="0"/>
              <w:spacing w:before="0" w:after="0" w:line="360" w:lineRule="auto"/>
              <w:jc w:val="center"/>
            </w:pPr>
            <w:r w:rsidRPr="00471175">
              <w:t>-70%</w:t>
            </w:r>
          </w:p>
        </w:tc>
      </w:tr>
      <w:tr w:rsidR="00F0783F" w:rsidRPr="00471175" w14:paraId="1470C097" w14:textId="77777777" w:rsidTr="002C40D8">
        <w:trPr>
          <w:trHeight w:val="650"/>
        </w:trPr>
        <w:tc>
          <w:tcPr>
            <w:tcW w:w="562" w:type="dxa"/>
            <w:shd w:val="clear" w:color="auto" w:fill="FFF2CC" w:themeFill="accent4" w:themeFillTint="33"/>
            <w:vAlign w:val="center"/>
          </w:tcPr>
          <w:p w14:paraId="5AFF3CE4" w14:textId="77777777" w:rsidR="00F0783F" w:rsidRPr="00471175" w:rsidRDefault="00F0783F" w:rsidP="009B7997">
            <w:pPr>
              <w:adjustRightInd w:val="0"/>
              <w:snapToGrid w:val="0"/>
              <w:spacing w:before="0" w:after="0" w:line="360" w:lineRule="auto"/>
              <w:ind w:leftChars="-48" w:left="-115" w:rightChars="-44" w:right="-106" w:firstLine="2"/>
              <w:jc w:val="center"/>
            </w:pPr>
            <w:r w:rsidRPr="00471175">
              <w:rPr>
                <w:b/>
              </w:rPr>
              <w:t>低碳經濟</w:t>
            </w:r>
          </w:p>
        </w:tc>
        <w:tc>
          <w:tcPr>
            <w:tcW w:w="1276" w:type="dxa"/>
            <w:shd w:val="clear" w:color="auto" w:fill="FFF2CC" w:themeFill="accent4" w:themeFillTint="33"/>
            <w:vAlign w:val="center"/>
          </w:tcPr>
          <w:p w14:paraId="0CCFD35E" w14:textId="77777777" w:rsidR="00F0783F" w:rsidRPr="00471175" w:rsidRDefault="00F0783F" w:rsidP="009B7997">
            <w:pPr>
              <w:adjustRightInd w:val="0"/>
              <w:snapToGrid w:val="0"/>
              <w:spacing w:before="0" w:after="0" w:line="360" w:lineRule="auto"/>
              <w:jc w:val="center"/>
              <w:rPr>
                <w:b/>
              </w:rPr>
            </w:pPr>
            <w:r w:rsidRPr="00471175">
              <w:rPr>
                <w:b/>
                <w:bCs/>
              </w:rPr>
              <w:t>金融資產淨零排放</w:t>
            </w:r>
          </w:p>
        </w:tc>
        <w:tc>
          <w:tcPr>
            <w:tcW w:w="4253" w:type="dxa"/>
            <w:shd w:val="clear" w:color="auto" w:fill="FFF2CC" w:themeFill="accent4" w:themeFillTint="33"/>
            <w:vAlign w:val="center"/>
          </w:tcPr>
          <w:p w14:paraId="1BEC7D24" w14:textId="77777777" w:rsidR="00F0783F" w:rsidRPr="00471175" w:rsidRDefault="00F0783F" w:rsidP="009B7997">
            <w:pPr>
              <w:adjustRightInd w:val="0"/>
              <w:snapToGrid w:val="0"/>
              <w:spacing w:before="0" w:after="0" w:line="360" w:lineRule="auto"/>
              <w:jc w:val="center"/>
            </w:pPr>
            <w:r w:rsidRPr="00471175">
              <w:t>科學減碳目標</w:t>
            </w:r>
            <w:r w:rsidRPr="00471175">
              <w:t>-</w:t>
            </w:r>
            <w:r w:rsidRPr="00471175">
              <w:t>投資組合減碳路徑</w:t>
            </w:r>
          </w:p>
        </w:tc>
        <w:tc>
          <w:tcPr>
            <w:tcW w:w="1275" w:type="dxa"/>
            <w:shd w:val="clear" w:color="auto" w:fill="FFF2CC" w:themeFill="accent4" w:themeFillTint="33"/>
            <w:vAlign w:val="center"/>
          </w:tcPr>
          <w:p w14:paraId="5A898633" w14:textId="77777777" w:rsidR="00F0783F" w:rsidRPr="00471175" w:rsidRDefault="00F0783F" w:rsidP="009B7997">
            <w:pPr>
              <w:adjustRightInd w:val="0"/>
              <w:snapToGrid w:val="0"/>
              <w:spacing w:before="0" w:after="0" w:line="360" w:lineRule="auto"/>
              <w:jc w:val="center"/>
            </w:pPr>
            <w:r w:rsidRPr="00471175">
              <w:t>-30%</w:t>
            </w:r>
          </w:p>
        </w:tc>
        <w:tc>
          <w:tcPr>
            <w:tcW w:w="1418" w:type="dxa"/>
            <w:shd w:val="clear" w:color="auto" w:fill="FFF2CC" w:themeFill="accent4" w:themeFillTint="33"/>
            <w:vAlign w:val="center"/>
          </w:tcPr>
          <w:p w14:paraId="68EE2E3D" w14:textId="77777777" w:rsidR="00F0783F" w:rsidRPr="00471175" w:rsidRDefault="00F0783F" w:rsidP="009B7997">
            <w:pPr>
              <w:adjustRightInd w:val="0"/>
              <w:snapToGrid w:val="0"/>
              <w:spacing w:before="0" w:after="0" w:line="360" w:lineRule="auto"/>
              <w:jc w:val="center"/>
            </w:pPr>
            <w:r w:rsidRPr="00471175">
              <w:t>-100%</w:t>
            </w:r>
          </w:p>
        </w:tc>
      </w:tr>
    </w:tbl>
    <w:p w14:paraId="2B1A98CA" w14:textId="77777777" w:rsidR="00FB5B4C" w:rsidRPr="00471175" w:rsidRDefault="00FB5B4C" w:rsidP="00F0783F">
      <w:pPr>
        <w:widowControl/>
        <w:spacing w:before="0" w:afterLines="50" w:after="180" w:line="360" w:lineRule="exact"/>
        <w:ind w:leftChars="60" w:left="240" w:hangingChars="40" w:hanging="96"/>
        <w:jc w:val="both"/>
        <w:rPr>
          <w:b/>
          <w:bCs/>
        </w:rPr>
      </w:pPr>
    </w:p>
    <w:p w14:paraId="416B5E81" w14:textId="15C44701" w:rsidR="00F0783F" w:rsidRPr="00471175" w:rsidRDefault="00F0783F" w:rsidP="00F0783F">
      <w:pPr>
        <w:widowControl/>
        <w:spacing w:before="0" w:afterLines="50" w:after="180" w:line="360" w:lineRule="exact"/>
        <w:ind w:leftChars="60" w:left="240" w:hangingChars="40" w:hanging="96"/>
        <w:jc w:val="both"/>
        <w:rPr>
          <w:b/>
          <w:bCs/>
        </w:rPr>
      </w:pPr>
      <w:r w:rsidRPr="00471175">
        <w:rPr>
          <w:b/>
          <w:bCs/>
        </w:rPr>
        <w:t>二、溫室氣體排放</w:t>
      </w:r>
      <w:r w:rsidR="00723D37" w:rsidRPr="00471175">
        <w:rPr>
          <w:rFonts w:eastAsia="微軟正黑體"/>
          <w:color w:val="0070C0"/>
          <w:sz w:val="16"/>
          <w:szCs w:val="16"/>
        </w:rPr>
        <w:t>【</w:t>
      </w:r>
      <w:r w:rsidR="00624FCF" w:rsidRPr="00624FCF">
        <w:rPr>
          <w:rFonts w:eastAsia="微軟正黑體" w:hint="eastAsia"/>
          <w:color w:val="0070C0"/>
          <w:sz w:val="16"/>
          <w:szCs w:val="16"/>
        </w:rPr>
        <w:t>M.</w:t>
      </w:r>
      <w:r w:rsidR="008D4438">
        <w:rPr>
          <w:rFonts w:eastAsia="微軟正黑體"/>
          <w:color w:val="0070C0"/>
          <w:sz w:val="16"/>
          <w:szCs w:val="16"/>
        </w:rPr>
        <w:t>2</w:t>
      </w:r>
      <w:r w:rsidR="00723D37" w:rsidRPr="00471175">
        <w:rPr>
          <w:rFonts w:eastAsia="微軟正黑體"/>
          <w:color w:val="0070C0"/>
          <w:sz w:val="16"/>
          <w:szCs w:val="16"/>
        </w:rPr>
        <w:t>】</w:t>
      </w:r>
    </w:p>
    <w:p w14:paraId="4F1561AA" w14:textId="77777777" w:rsidR="00F0783F" w:rsidRPr="00471175" w:rsidRDefault="00F0783F" w:rsidP="00723D37">
      <w:pPr>
        <w:widowControl/>
        <w:spacing w:before="0" w:afterLines="50" w:after="180" w:line="360" w:lineRule="exact"/>
        <w:ind w:leftChars="236" w:left="566" w:firstLineChars="235" w:firstLine="564"/>
        <w:jc w:val="both"/>
      </w:pPr>
      <w:r w:rsidRPr="00471175">
        <w:t>A</w:t>
      </w:r>
      <w:r w:rsidRPr="00471175">
        <w:t>投信為落實低碳策略，除完善範疇一直接排放、範疇二來自外購電力等間接排放之盤查與揭露，另考量金融業的投資活動是推動產業低碳轉型的關鍵影響力，因此進一步盤查與揭露所管理資產投資標的相關溫室氣體排放情形，並不斷完善投資組合溫室氣體盤查方法學，參酌碳會計金融聯盟（</w:t>
      </w:r>
      <w:r w:rsidRPr="00471175">
        <w:t>Partnership for Carbon Accounting Financials, PCAF)</w:t>
      </w:r>
      <w:r w:rsidRPr="00471175">
        <w:t>所制定之《金融業全球溫室氣體盤查和報告準則》（</w:t>
      </w:r>
      <w:r w:rsidRPr="00471175">
        <w:t>The Global GHG Accounting and Reporting Standard for the Financial Industry)</w:t>
      </w:r>
      <w:r w:rsidRPr="00471175">
        <w:rPr>
          <w:rFonts w:eastAsia="新細明體"/>
        </w:rPr>
        <w:t>，</w:t>
      </w:r>
      <w:r w:rsidRPr="00471175">
        <w:t>及</w:t>
      </w:r>
      <w:r w:rsidRPr="00471175">
        <w:t>TCFD</w:t>
      </w:r>
      <w:r w:rsidRPr="00471175">
        <w:t>揭露建議，</w:t>
      </w:r>
      <w:r w:rsidRPr="00471175">
        <w:t>2020</w:t>
      </w:r>
      <w:r w:rsidRPr="00471175">
        <w:t>年起完成範疇三類別</w:t>
      </w:r>
      <w:r w:rsidRPr="00471175">
        <w:t>15</w:t>
      </w:r>
      <w:r w:rsidRPr="00471175">
        <w:t>投資資產之溫室氣體排放盤查。</w:t>
      </w:r>
    </w:p>
    <w:p w14:paraId="025098B1" w14:textId="77777777" w:rsidR="00F0783F" w:rsidRPr="00471175" w:rsidRDefault="00F0783F" w:rsidP="00723D37">
      <w:pPr>
        <w:widowControl/>
        <w:spacing w:before="0" w:afterLines="50" w:after="180" w:line="360" w:lineRule="exact"/>
        <w:ind w:leftChars="236" w:left="566" w:firstLineChars="235" w:firstLine="564"/>
        <w:jc w:val="both"/>
      </w:pPr>
      <w:r w:rsidRPr="00471175">
        <w:t>A</w:t>
      </w:r>
      <w:r w:rsidRPr="00471175">
        <w:t>投信之溫室氣體排放統計如下</w:t>
      </w:r>
      <w:r w:rsidRPr="00471175">
        <w:t>(</w:t>
      </w:r>
      <w:r w:rsidRPr="00471175">
        <w:t>尚未經確信</w:t>
      </w:r>
      <w:r w:rsidRPr="00471175">
        <w:t>)</w:t>
      </w:r>
      <w:r w:rsidRPr="00471175">
        <w:t>，範疇一、範疇二及範疇三之溫室氣體排放於</w:t>
      </w:r>
      <w:r w:rsidRPr="00471175">
        <w:t>2020</w:t>
      </w:r>
      <w:r w:rsidRPr="00471175">
        <w:t>年至</w:t>
      </w:r>
      <w:r w:rsidRPr="00471175">
        <w:t>2022</w:t>
      </w:r>
      <w:r w:rsidRPr="00471175">
        <w:t>年有逐年降低的趨勢，故</w:t>
      </w:r>
      <w:r w:rsidRPr="00471175">
        <w:t>A</w:t>
      </w:r>
      <w:r w:rsidRPr="00471175">
        <w:t>投信為降低溫室氣體排放所採取之行動已漸有成效。</w:t>
      </w:r>
    </w:p>
    <w:p w14:paraId="68FE8149" w14:textId="745CD555" w:rsidR="00F0783F" w:rsidRPr="00471175" w:rsidRDefault="00F0783F" w:rsidP="00F533A3">
      <w:pPr>
        <w:adjustRightInd w:val="0"/>
        <w:snapToGrid w:val="0"/>
        <w:spacing w:before="0" w:afterLines="50" w:after="180" w:line="0" w:lineRule="atLeast"/>
        <w:ind w:leftChars="177" w:left="1987" w:hangingChars="650" w:hanging="1562"/>
        <w:rPr>
          <w:b/>
        </w:rPr>
      </w:pPr>
      <w:r w:rsidRPr="00471175">
        <w:rPr>
          <w:b/>
        </w:rPr>
        <w:t>(</w:t>
      </w:r>
      <w:r w:rsidRPr="00471175">
        <w:rPr>
          <w:b/>
        </w:rPr>
        <w:t>一</w:t>
      </w:r>
      <w:r w:rsidRPr="00471175">
        <w:rPr>
          <w:b/>
        </w:rPr>
        <w:t xml:space="preserve">) </w:t>
      </w:r>
      <w:r w:rsidRPr="00471175">
        <w:rPr>
          <w:b/>
        </w:rPr>
        <w:t>公司營運</w:t>
      </w:r>
      <w:r w:rsidR="008D4438" w:rsidRPr="00471175">
        <w:rPr>
          <w:rFonts w:eastAsia="微軟正黑體"/>
          <w:color w:val="0070C0"/>
          <w:sz w:val="16"/>
          <w:szCs w:val="16"/>
        </w:rPr>
        <w:t>【</w:t>
      </w:r>
      <w:r w:rsidR="008D4438" w:rsidRPr="00624FCF">
        <w:rPr>
          <w:rFonts w:eastAsia="微軟正黑體" w:hint="eastAsia"/>
          <w:color w:val="0070C0"/>
          <w:sz w:val="16"/>
          <w:szCs w:val="16"/>
        </w:rPr>
        <w:t>M.</w:t>
      </w:r>
      <w:r w:rsidR="008D4438">
        <w:rPr>
          <w:rFonts w:eastAsia="微軟正黑體"/>
          <w:color w:val="0070C0"/>
          <w:sz w:val="16"/>
          <w:szCs w:val="16"/>
        </w:rPr>
        <w:t>2.</w:t>
      </w:r>
      <w:r w:rsidR="008D4438" w:rsidRPr="00624FCF">
        <w:rPr>
          <w:rFonts w:eastAsia="微軟正黑體" w:hint="eastAsia"/>
          <w:color w:val="0070C0"/>
          <w:sz w:val="16"/>
          <w:szCs w:val="16"/>
        </w:rPr>
        <w:t>(</w:t>
      </w:r>
      <w:r w:rsidR="008D4438">
        <w:rPr>
          <w:rFonts w:eastAsia="微軟正黑體"/>
          <w:color w:val="0070C0"/>
          <w:sz w:val="16"/>
          <w:szCs w:val="16"/>
        </w:rPr>
        <w:t>1</w:t>
      </w:r>
      <w:r w:rsidR="008D4438" w:rsidRPr="00624FCF">
        <w:rPr>
          <w:rFonts w:eastAsia="微軟正黑體" w:hint="eastAsia"/>
          <w:color w:val="0070C0"/>
          <w:sz w:val="16"/>
          <w:szCs w:val="16"/>
        </w:rPr>
        <w:t>)</w:t>
      </w:r>
      <w:r w:rsidR="008D4438" w:rsidRPr="00471175">
        <w:rPr>
          <w:rFonts w:eastAsia="微軟正黑體"/>
          <w:color w:val="0070C0"/>
          <w:sz w:val="16"/>
          <w:szCs w:val="16"/>
        </w:rPr>
        <w:t>】【</w:t>
      </w:r>
      <w:r w:rsidR="008D4438" w:rsidRPr="00624FCF">
        <w:rPr>
          <w:rFonts w:eastAsia="微軟正黑體" w:hint="eastAsia"/>
          <w:color w:val="0070C0"/>
          <w:sz w:val="16"/>
          <w:szCs w:val="16"/>
        </w:rPr>
        <w:t>M.</w:t>
      </w:r>
      <w:r w:rsidR="008D4438">
        <w:rPr>
          <w:rFonts w:eastAsia="微軟正黑體"/>
          <w:color w:val="0070C0"/>
          <w:sz w:val="16"/>
          <w:szCs w:val="16"/>
        </w:rPr>
        <w:t>2.</w:t>
      </w:r>
      <w:r w:rsidR="008D4438" w:rsidRPr="00624FCF">
        <w:rPr>
          <w:rFonts w:eastAsia="微軟正黑體" w:hint="eastAsia"/>
          <w:color w:val="0070C0"/>
          <w:sz w:val="16"/>
          <w:szCs w:val="16"/>
        </w:rPr>
        <w:t>(</w:t>
      </w:r>
      <w:r w:rsidR="008D4438">
        <w:rPr>
          <w:rFonts w:eastAsia="微軟正黑體"/>
          <w:color w:val="0070C0"/>
          <w:sz w:val="16"/>
          <w:szCs w:val="16"/>
        </w:rPr>
        <w:t>3</w:t>
      </w:r>
      <w:r w:rsidR="008D4438" w:rsidRPr="00624FCF">
        <w:rPr>
          <w:rFonts w:eastAsia="微軟正黑體" w:hint="eastAsia"/>
          <w:color w:val="0070C0"/>
          <w:sz w:val="16"/>
          <w:szCs w:val="16"/>
        </w:rPr>
        <w:t>)</w:t>
      </w:r>
      <w:r w:rsidR="008D4438" w:rsidRPr="00471175">
        <w:rPr>
          <w:rFonts w:eastAsia="微軟正黑體"/>
          <w:color w:val="0070C0"/>
          <w:sz w:val="16"/>
          <w:szCs w:val="16"/>
        </w:rPr>
        <w:t>】</w:t>
      </w:r>
    </w:p>
    <w:tbl>
      <w:tblPr>
        <w:tblStyle w:val="aa"/>
        <w:tblW w:w="0" w:type="auto"/>
        <w:tblInd w:w="1129" w:type="dxa"/>
        <w:tblLook w:val="04A0" w:firstRow="1" w:lastRow="0" w:firstColumn="1" w:lastColumn="0" w:noHBand="0" w:noVBand="1"/>
      </w:tblPr>
      <w:tblGrid>
        <w:gridCol w:w="1923"/>
        <w:gridCol w:w="1924"/>
        <w:gridCol w:w="1923"/>
        <w:gridCol w:w="1924"/>
      </w:tblGrid>
      <w:tr w:rsidR="009B7997" w:rsidRPr="009B7997" w14:paraId="47EFB631" w14:textId="77777777" w:rsidTr="009B7997">
        <w:tc>
          <w:tcPr>
            <w:tcW w:w="1923" w:type="dxa"/>
            <w:shd w:val="clear" w:color="auto" w:fill="2F5496" w:themeFill="accent5" w:themeFillShade="BF"/>
            <w:vAlign w:val="bottom"/>
          </w:tcPr>
          <w:p w14:paraId="06B2B633" w14:textId="77777777" w:rsidR="00F0783F" w:rsidRPr="009B7997" w:rsidRDefault="00F0783F" w:rsidP="009B7997">
            <w:pPr>
              <w:adjustRightInd w:val="0"/>
              <w:snapToGrid w:val="0"/>
              <w:spacing w:before="0" w:after="0" w:line="360" w:lineRule="auto"/>
              <w:jc w:val="center"/>
              <w:rPr>
                <w:color w:val="FFFFFF" w:themeColor="background1"/>
              </w:rPr>
            </w:pPr>
            <w:r w:rsidRPr="009B7997">
              <w:rPr>
                <w:b/>
                <w:bCs/>
                <w:color w:val="FFFFFF" w:themeColor="background1"/>
              </w:rPr>
              <w:t>項目</w:t>
            </w:r>
          </w:p>
        </w:tc>
        <w:tc>
          <w:tcPr>
            <w:tcW w:w="1924" w:type="dxa"/>
            <w:shd w:val="clear" w:color="auto" w:fill="2F5496" w:themeFill="accent5" w:themeFillShade="BF"/>
            <w:vAlign w:val="bottom"/>
          </w:tcPr>
          <w:p w14:paraId="1104837E" w14:textId="77777777" w:rsidR="00F0783F" w:rsidRPr="009B7997" w:rsidRDefault="00F0783F" w:rsidP="009B7997">
            <w:pPr>
              <w:adjustRightInd w:val="0"/>
              <w:snapToGrid w:val="0"/>
              <w:spacing w:before="0" w:after="0" w:line="360" w:lineRule="auto"/>
              <w:jc w:val="center"/>
              <w:rPr>
                <w:b/>
                <w:bCs/>
                <w:color w:val="FFFFFF" w:themeColor="background1"/>
              </w:rPr>
            </w:pPr>
            <w:r w:rsidRPr="009B7997">
              <w:rPr>
                <w:b/>
                <w:bCs/>
                <w:color w:val="FFFFFF" w:themeColor="background1"/>
              </w:rPr>
              <w:t>2020</w:t>
            </w:r>
          </w:p>
        </w:tc>
        <w:tc>
          <w:tcPr>
            <w:tcW w:w="1923" w:type="dxa"/>
            <w:shd w:val="clear" w:color="auto" w:fill="2F5496" w:themeFill="accent5" w:themeFillShade="BF"/>
            <w:vAlign w:val="bottom"/>
          </w:tcPr>
          <w:p w14:paraId="75353EC1" w14:textId="77777777" w:rsidR="00F0783F" w:rsidRPr="009B7997" w:rsidRDefault="00F0783F" w:rsidP="009B7997">
            <w:pPr>
              <w:adjustRightInd w:val="0"/>
              <w:snapToGrid w:val="0"/>
              <w:spacing w:before="0" w:after="0" w:line="360" w:lineRule="auto"/>
              <w:jc w:val="center"/>
              <w:rPr>
                <w:b/>
                <w:bCs/>
                <w:color w:val="FFFFFF" w:themeColor="background1"/>
              </w:rPr>
            </w:pPr>
            <w:r w:rsidRPr="009B7997">
              <w:rPr>
                <w:b/>
                <w:bCs/>
                <w:color w:val="FFFFFF" w:themeColor="background1"/>
              </w:rPr>
              <w:t>2021</w:t>
            </w:r>
          </w:p>
        </w:tc>
        <w:tc>
          <w:tcPr>
            <w:tcW w:w="1924" w:type="dxa"/>
            <w:shd w:val="clear" w:color="auto" w:fill="2F5496" w:themeFill="accent5" w:themeFillShade="BF"/>
            <w:vAlign w:val="bottom"/>
          </w:tcPr>
          <w:p w14:paraId="16B564FB" w14:textId="77777777" w:rsidR="00F0783F" w:rsidRPr="009B7997" w:rsidRDefault="00F0783F" w:rsidP="009B7997">
            <w:pPr>
              <w:adjustRightInd w:val="0"/>
              <w:snapToGrid w:val="0"/>
              <w:spacing w:before="0" w:after="0" w:line="360" w:lineRule="auto"/>
              <w:jc w:val="center"/>
              <w:rPr>
                <w:b/>
                <w:bCs/>
                <w:color w:val="FFFFFF" w:themeColor="background1"/>
              </w:rPr>
            </w:pPr>
            <w:r w:rsidRPr="009B7997">
              <w:rPr>
                <w:b/>
                <w:bCs/>
                <w:color w:val="FFFFFF" w:themeColor="background1"/>
              </w:rPr>
              <w:t>2022</w:t>
            </w:r>
          </w:p>
        </w:tc>
      </w:tr>
      <w:tr w:rsidR="00F0783F" w:rsidRPr="00471175" w14:paraId="747AA991" w14:textId="77777777" w:rsidTr="009B7997">
        <w:tc>
          <w:tcPr>
            <w:tcW w:w="1923" w:type="dxa"/>
            <w:shd w:val="clear" w:color="auto" w:fill="E2EFD9" w:themeFill="accent6" w:themeFillTint="33"/>
            <w:vAlign w:val="bottom"/>
          </w:tcPr>
          <w:p w14:paraId="522D5ACE" w14:textId="77777777" w:rsidR="00F0783F" w:rsidRPr="00471175" w:rsidRDefault="00F0783F" w:rsidP="009B7997">
            <w:pPr>
              <w:adjustRightInd w:val="0"/>
              <w:snapToGrid w:val="0"/>
              <w:spacing w:before="0" w:after="0" w:line="360" w:lineRule="auto"/>
              <w:jc w:val="center"/>
            </w:pPr>
            <w:r w:rsidRPr="00471175">
              <w:rPr>
                <w:b/>
              </w:rPr>
              <w:t>範疇一</w:t>
            </w:r>
          </w:p>
        </w:tc>
        <w:tc>
          <w:tcPr>
            <w:tcW w:w="1924" w:type="dxa"/>
            <w:shd w:val="clear" w:color="auto" w:fill="E2EFD9" w:themeFill="accent6" w:themeFillTint="33"/>
            <w:vAlign w:val="bottom"/>
          </w:tcPr>
          <w:p w14:paraId="310164FB" w14:textId="77777777" w:rsidR="00F0783F" w:rsidRPr="00471175" w:rsidRDefault="00F0783F" w:rsidP="009B7997">
            <w:pPr>
              <w:adjustRightInd w:val="0"/>
              <w:snapToGrid w:val="0"/>
              <w:spacing w:before="0" w:after="0" w:line="360" w:lineRule="auto"/>
              <w:jc w:val="center"/>
              <w:rPr>
                <w:i/>
                <w:iCs/>
              </w:rPr>
            </w:pPr>
            <w:r w:rsidRPr="00471175">
              <w:rPr>
                <w:i/>
                <w:iCs/>
                <w:color w:val="000000"/>
              </w:rPr>
              <w:t>10.5</w:t>
            </w:r>
          </w:p>
        </w:tc>
        <w:tc>
          <w:tcPr>
            <w:tcW w:w="1923" w:type="dxa"/>
            <w:shd w:val="clear" w:color="auto" w:fill="E2EFD9" w:themeFill="accent6" w:themeFillTint="33"/>
            <w:vAlign w:val="bottom"/>
          </w:tcPr>
          <w:p w14:paraId="1D8BCA5A" w14:textId="77777777" w:rsidR="00F0783F" w:rsidRPr="00471175" w:rsidRDefault="00F0783F" w:rsidP="009B7997">
            <w:pPr>
              <w:adjustRightInd w:val="0"/>
              <w:snapToGrid w:val="0"/>
              <w:spacing w:before="0" w:after="0" w:line="360" w:lineRule="auto"/>
              <w:jc w:val="center"/>
              <w:rPr>
                <w:i/>
                <w:iCs/>
              </w:rPr>
            </w:pPr>
            <w:r w:rsidRPr="00471175">
              <w:rPr>
                <w:i/>
                <w:iCs/>
                <w:color w:val="000000"/>
              </w:rPr>
              <w:t>9.1</w:t>
            </w:r>
          </w:p>
        </w:tc>
        <w:tc>
          <w:tcPr>
            <w:tcW w:w="1924" w:type="dxa"/>
            <w:shd w:val="clear" w:color="auto" w:fill="E2EFD9" w:themeFill="accent6" w:themeFillTint="33"/>
            <w:vAlign w:val="bottom"/>
          </w:tcPr>
          <w:p w14:paraId="16DE9805" w14:textId="77777777" w:rsidR="00F0783F" w:rsidRPr="00471175" w:rsidRDefault="00F0783F" w:rsidP="009B7997">
            <w:pPr>
              <w:adjustRightInd w:val="0"/>
              <w:snapToGrid w:val="0"/>
              <w:spacing w:before="0" w:after="0" w:line="360" w:lineRule="auto"/>
              <w:jc w:val="center"/>
              <w:rPr>
                <w:i/>
                <w:iCs/>
              </w:rPr>
            </w:pPr>
            <w:r w:rsidRPr="00471175">
              <w:rPr>
                <w:i/>
                <w:iCs/>
                <w:color w:val="000000"/>
              </w:rPr>
              <w:t>10.2</w:t>
            </w:r>
          </w:p>
        </w:tc>
      </w:tr>
      <w:tr w:rsidR="00F0783F" w:rsidRPr="00471175" w14:paraId="42CDEACB" w14:textId="77777777" w:rsidTr="009B7997">
        <w:tc>
          <w:tcPr>
            <w:tcW w:w="1923" w:type="dxa"/>
            <w:shd w:val="clear" w:color="auto" w:fill="D9E2F3" w:themeFill="accent5" w:themeFillTint="33"/>
            <w:vAlign w:val="bottom"/>
          </w:tcPr>
          <w:p w14:paraId="20C810E5" w14:textId="77777777" w:rsidR="00F0783F" w:rsidRPr="00471175" w:rsidRDefault="00F0783F" w:rsidP="009B7997">
            <w:pPr>
              <w:adjustRightInd w:val="0"/>
              <w:snapToGrid w:val="0"/>
              <w:spacing w:before="0" w:after="0" w:line="360" w:lineRule="auto"/>
              <w:jc w:val="center"/>
            </w:pPr>
            <w:r w:rsidRPr="00471175">
              <w:rPr>
                <w:b/>
              </w:rPr>
              <w:t>範疇二</w:t>
            </w:r>
          </w:p>
        </w:tc>
        <w:tc>
          <w:tcPr>
            <w:tcW w:w="1924" w:type="dxa"/>
            <w:shd w:val="clear" w:color="auto" w:fill="D9E2F3" w:themeFill="accent5" w:themeFillTint="33"/>
            <w:vAlign w:val="bottom"/>
          </w:tcPr>
          <w:p w14:paraId="363CE65A" w14:textId="77777777" w:rsidR="00F0783F" w:rsidRPr="00471175" w:rsidRDefault="00F0783F" w:rsidP="009B7997">
            <w:pPr>
              <w:adjustRightInd w:val="0"/>
              <w:snapToGrid w:val="0"/>
              <w:spacing w:before="0" w:after="0" w:line="360" w:lineRule="auto"/>
              <w:jc w:val="center"/>
              <w:rPr>
                <w:i/>
                <w:iCs/>
              </w:rPr>
            </w:pPr>
            <w:r w:rsidRPr="00471175">
              <w:rPr>
                <w:i/>
                <w:iCs/>
                <w:color w:val="000000"/>
              </w:rPr>
              <w:t>455.8</w:t>
            </w:r>
          </w:p>
        </w:tc>
        <w:tc>
          <w:tcPr>
            <w:tcW w:w="1923" w:type="dxa"/>
            <w:shd w:val="clear" w:color="auto" w:fill="D9E2F3" w:themeFill="accent5" w:themeFillTint="33"/>
            <w:vAlign w:val="bottom"/>
          </w:tcPr>
          <w:p w14:paraId="595DD745" w14:textId="77777777" w:rsidR="00F0783F" w:rsidRPr="00471175" w:rsidRDefault="00F0783F" w:rsidP="009B7997">
            <w:pPr>
              <w:adjustRightInd w:val="0"/>
              <w:snapToGrid w:val="0"/>
              <w:spacing w:before="0" w:after="0" w:line="360" w:lineRule="auto"/>
              <w:jc w:val="center"/>
              <w:rPr>
                <w:i/>
                <w:iCs/>
              </w:rPr>
            </w:pPr>
            <w:r w:rsidRPr="00471175">
              <w:rPr>
                <w:i/>
                <w:iCs/>
                <w:color w:val="000000"/>
              </w:rPr>
              <w:t>423.3</w:t>
            </w:r>
          </w:p>
        </w:tc>
        <w:tc>
          <w:tcPr>
            <w:tcW w:w="1924" w:type="dxa"/>
            <w:shd w:val="clear" w:color="auto" w:fill="D9E2F3" w:themeFill="accent5" w:themeFillTint="33"/>
            <w:vAlign w:val="bottom"/>
          </w:tcPr>
          <w:p w14:paraId="00186456" w14:textId="77777777" w:rsidR="00F0783F" w:rsidRPr="00471175" w:rsidRDefault="00F0783F" w:rsidP="009B7997">
            <w:pPr>
              <w:adjustRightInd w:val="0"/>
              <w:snapToGrid w:val="0"/>
              <w:spacing w:before="0" w:after="0" w:line="360" w:lineRule="auto"/>
              <w:jc w:val="center"/>
              <w:rPr>
                <w:i/>
                <w:iCs/>
              </w:rPr>
            </w:pPr>
            <w:r w:rsidRPr="00471175">
              <w:rPr>
                <w:i/>
                <w:iCs/>
                <w:color w:val="000000"/>
              </w:rPr>
              <w:t>403.8</w:t>
            </w:r>
          </w:p>
        </w:tc>
      </w:tr>
      <w:tr w:rsidR="00F0783F" w:rsidRPr="00471175" w14:paraId="50178907" w14:textId="77777777" w:rsidTr="009B7997">
        <w:tc>
          <w:tcPr>
            <w:tcW w:w="1923" w:type="dxa"/>
            <w:shd w:val="clear" w:color="auto" w:fill="E2EFD9" w:themeFill="accent6" w:themeFillTint="33"/>
            <w:vAlign w:val="bottom"/>
          </w:tcPr>
          <w:p w14:paraId="70B54663" w14:textId="77777777" w:rsidR="00F0783F" w:rsidRPr="00471175" w:rsidRDefault="00F0783F" w:rsidP="009B7997">
            <w:pPr>
              <w:adjustRightInd w:val="0"/>
              <w:snapToGrid w:val="0"/>
              <w:spacing w:before="0" w:after="0" w:line="360" w:lineRule="auto"/>
              <w:jc w:val="center"/>
            </w:pPr>
            <w:r w:rsidRPr="00471175">
              <w:rPr>
                <w:b/>
              </w:rPr>
              <w:t>範疇一、</w:t>
            </w:r>
            <w:r w:rsidRPr="00471175">
              <w:rPr>
                <w:b/>
                <w:color w:val="000000"/>
              </w:rPr>
              <w:t>二</w:t>
            </w:r>
          </w:p>
        </w:tc>
        <w:tc>
          <w:tcPr>
            <w:tcW w:w="1924" w:type="dxa"/>
            <w:shd w:val="clear" w:color="auto" w:fill="E2EFD9" w:themeFill="accent6" w:themeFillTint="33"/>
            <w:vAlign w:val="bottom"/>
          </w:tcPr>
          <w:p w14:paraId="755A26DE" w14:textId="77777777" w:rsidR="00F0783F" w:rsidRPr="00471175" w:rsidRDefault="00F0783F" w:rsidP="009B7997">
            <w:pPr>
              <w:adjustRightInd w:val="0"/>
              <w:snapToGrid w:val="0"/>
              <w:spacing w:before="0" w:after="0" w:line="360" w:lineRule="auto"/>
              <w:jc w:val="center"/>
              <w:rPr>
                <w:i/>
                <w:iCs/>
              </w:rPr>
            </w:pPr>
            <w:r w:rsidRPr="00471175">
              <w:rPr>
                <w:i/>
                <w:iCs/>
                <w:color w:val="000000"/>
              </w:rPr>
              <w:t>466.3</w:t>
            </w:r>
          </w:p>
        </w:tc>
        <w:tc>
          <w:tcPr>
            <w:tcW w:w="1923" w:type="dxa"/>
            <w:shd w:val="clear" w:color="auto" w:fill="E2EFD9" w:themeFill="accent6" w:themeFillTint="33"/>
            <w:vAlign w:val="bottom"/>
          </w:tcPr>
          <w:p w14:paraId="1E9209DD" w14:textId="77777777" w:rsidR="00F0783F" w:rsidRPr="00471175" w:rsidRDefault="00F0783F" w:rsidP="009B7997">
            <w:pPr>
              <w:adjustRightInd w:val="0"/>
              <w:snapToGrid w:val="0"/>
              <w:spacing w:before="0" w:after="0" w:line="360" w:lineRule="auto"/>
              <w:jc w:val="center"/>
              <w:rPr>
                <w:i/>
                <w:iCs/>
              </w:rPr>
            </w:pPr>
            <w:r w:rsidRPr="00471175">
              <w:rPr>
                <w:i/>
                <w:iCs/>
                <w:color w:val="000000"/>
              </w:rPr>
              <w:t>432.4</w:t>
            </w:r>
          </w:p>
        </w:tc>
        <w:tc>
          <w:tcPr>
            <w:tcW w:w="1924" w:type="dxa"/>
            <w:shd w:val="clear" w:color="auto" w:fill="E2EFD9" w:themeFill="accent6" w:themeFillTint="33"/>
            <w:vAlign w:val="bottom"/>
          </w:tcPr>
          <w:p w14:paraId="63911676" w14:textId="77777777" w:rsidR="00F0783F" w:rsidRPr="00471175" w:rsidRDefault="00F0783F" w:rsidP="009B7997">
            <w:pPr>
              <w:adjustRightInd w:val="0"/>
              <w:snapToGrid w:val="0"/>
              <w:spacing w:before="0" w:after="0" w:line="360" w:lineRule="auto"/>
              <w:jc w:val="center"/>
              <w:rPr>
                <w:i/>
                <w:iCs/>
                <w:color w:val="000000"/>
              </w:rPr>
            </w:pPr>
            <w:r w:rsidRPr="00471175">
              <w:rPr>
                <w:i/>
                <w:iCs/>
                <w:color w:val="000000"/>
              </w:rPr>
              <w:t>414</w:t>
            </w:r>
          </w:p>
        </w:tc>
      </w:tr>
      <w:tr w:rsidR="00F0783F" w:rsidRPr="00471175" w14:paraId="127B908B" w14:textId="77777777" w:rsidTr="009B7997">
        <w:tc>
          <w:tcPr>
            <w:tcW w:w="1923" w:type="dxa"/>
            <w:shd w:val="clear" w:color="auto" w:fill="FFF2CC" w:themeFill="accent4" w:themeFillTint="33"/>
            <w:vAlign w:val="bottom"/>
          </w:tcPr>
          <w:p w14:paraId="31F0BB6B" w14:textId="77777777" w:rsidR="00F0783F" w:rsidRPr="00471175" w:rsidRDefault="00F0783F" w:rsidP="009B7997">
            <w:pPr>
              <w:adjustRightInd w:val="0"/>
              <w:snapToGrid w:val="0"/>
              <w:spacing w:before="0" w:after="0" w:line="360" w:lineRule="auto"/>
              <w:jc w:val="center"/>
              <w:rPr>
                <w:b/>
              </w:rPr>
            </w:pPr>
            <w:r w:rsidRPr="00471175">
              <w:rPr>
                <w:b/>
              </w:rPr>
              <w:t>盤查完整度</w:t>
            </w:r>
          </w:p>
        </w:tc>
        <w:tc>
          <w:tcPr>
            <w:tcW w:w="1924" w:type="dxa"/>
            <w:shd w:val="clear" w:color="auto" w:fill="FFF2CC" w:themeFill="accent4" w:themeFillTint="33"/>
            <w:vAlign w:val="bottom"/>
          </w:tcPr>
          <w:p w14:paraId="7B52C498" w14:textId="77777777" w:rsidR="00F0783F" w:rsidRPr="00471175" w:rsidRDefault="00F0783F" w:rsidP="009B7997">
            <w:pPr>
              <w:adjustRightInd w:val="0"/>
              <w:snapToGrid w:val="0"/>
              <w:spacing w:before="0" w:after="0" w:line="360" w:lineRule="auto"/>
              <w:jc w:val="center"/>
              <w:rPr>
                <w:i/>
                <w:iCs/>
                <w:color w:val="000000"/>
              </w:rPr>
            </w:pPr>
            <w:r w:rsidRPr="00471175">
              <w:rPr>
                <w:i/>
                <w:iCs/>
                <w:color w:val="000000"/>
              </w:rPr>
              <w:t>100%</w:t>
            </w:r>
          </w:p>
        </w:tc>
        <w:tc>
          <w:tcPr>
            <w:tcW w:w="1923" w:type="dxa"/>
            <w:shd w:val="clear" w:color="auto" w:fill="FFF2CC" w:themeFill="accent4" w:themeFillTint="33"/>
            <w:vAlign w:val="bottom"/>
          </w:tcPr>
          <w:p w14:paraId="314CFB6C" w14:textId="77777777" w:rsidR="00F0783F" w:rsidRPr="00471175" w:rsidRDefault="00F0783F" w:rsidP="009B7997">
            <w:pPr>
              <w:adjustRightInd w:val="0"/>
              <w:snapToGrid w:val="0"/>
              <w:spacing w:before="0" w:after="0" w:line="360" w:lineRule="auto"/>
              <w:jc w:val="center"/>
              <w:rPr>
                <w:i/>
                <w:iCs/>
                <w:color w:val="000000"/>
              </w:rPr>
            </w:pPr>
            <w:r w:rsidRPr="00471175">
              <w:rPr>
                <w:i/>
                <w:iCs/>
                <w:color w:val="000000"/>
              </w:rPr>
              <w:t>100%</w:t>
            </w:r>
          </w:p>
        </w:tc>
        <w:tc>
          <w:tcPr>
            <w:tcW w:w="1924" w:type="dxa"/>
            <w:shd w:val="clear" w:color="auto" w:fill="FFF2CC" w:themeFill="accent4" w:themeFillTint="33"/>
            <w:vAlign w:val="bottom"/>
          </w:tcPr>
          <w:p w14:paraId="71562FFA" w14:textId="77777777" w:rsidR="00F0783F" w:rsidRPr="00471175" w:rsidRDefault="00F0783F" w:rsidP="009B7997">
            <w:pPr>
              <w:adjustRightInd w:val="0"/>
              <w:snapToGrid w:val="0"/>
              <w:spacing w:before="0" w:after="0" w:line="360" w:lineRule="auto"/>
              <w:jc w:val="center"/>
              <w:rPr>
                <w:i/>
                <w:iCs/>
                <w:color w:val="000000"/>
              </w:rPr>
            </w:pPr>
            <w:r w:rsidRPr="00471175">
              <w:rPr>
                <w:i/>
                <w:iCs/>
                <w:color w:val="000000"/>
              </w:rPr>
              <w:t>100%</w:t>
            </w:r>
          </w:p>
        </w:tc>
      </w:tr>
    </w:tbl>
    <w:p w14:paraId="2964EEC0" w14:textId="77777777" w:rsidR="00F0783F" w:rsidRPr="00471175" w:rsidRDefault="00F0783F" w:rsidP="009B7997">
      <w:pPr>
        <w:widowControl/>
        <w:spacing w:beforeLines="50" w:before="180" w:after="0" w:line="0" w:lineRule="atLeast"/>
        <w:ind w:leftChars="472" w:left="1133"/>
        <w:rPr>
          <w:sz w:val="20"/>
          <w:szCs w:val="20"/>
        </w:rPr>
      </w:pPr>
      <w:r w:rsidRPr="00471175">
        <w:rPr>
          <w:sz w:val="20"/>
          <w:szCs w:val="20"/>
        </w:rPr>
        <w:t>註</w:t>
      </w:r>
      <w:r w:rsidRPr="00471175">
        <w:rPr>
          <w:sz w:val="20"/>
          <w:szCs w:val="20"/>
        </w:rPr>
        <w:t>1</w:t>
      </w:r>
      <w:r w:rsidRPr="00471175">
        <w:rPr>
          <w:sz w:val="20"/>
          <w:szCs w:val="20"/>
        </w:rPr>
        <w:t>：</w:t>
      </w:r>
      <w:r w:rsidRPr="00471175">
        <w:rPr>
          <w:color w:val="000000"/>
          <w:sz w:val="20"/>
          <w:szCs w:val="20"/>
        </w:rPr>
        <w:t>單位：</w:t>
      </w:r>
      <w:r w:rsidRPr="00471175">
        <w:rPr>
          <w:sz w:val="20"/>
          <w:szCs w:val="20"/>
        </w:rPr>
        <w:t>公噸二氧化碳當量</w:t>
      </w:r>
      <w:r w:rsidRPr="00471175">
        <w:rPr>
          <w:sz w:val="20"/>
          <w:szCs w:val="20"/>
        </w:rPr>
        <w:t>(</w:t>
      </w:r>
      <w:bookmarkStart w:id="12" w:name="_Hlk141450152"/>
      <w:r w:rsidRPr="00471175">
        <w:rPr>
          <w:sz w:val="20"/>
          <w:szCs w:val="20"/>
        </w:rPr>
        <w:t>tCO2e</w:t>
      </w:r>
      <w:bookmarkEnd w:id="12"/>
      <w:r w:rsidRPr="00471175">
        <w:rPr>
          <w:sz w:val="20"/>
          <w:szCs w:val="20"/>
        </w:rPr>
        <w:t>)</w:t>
      </w:r>
    </w:p>
    <w:p w14:paraId="202815D1" w14:textId="77777777" w:rsidR="00F0783F" w:rsidRPr="00471175" w:rsidRDefault="00F0783F" w:rsidP="009B7997">
      <w:pPr>
        <w:widowControl/>
        <w:spacing w:before="0" w:afterLines="50" w:after="180" w:line="0" w:lineRule="atLeast"/>
        <w:ind w:leftChars="472" w:left="1133"/>
        <w:rPr>
          <w:sz w:val="20"/>
          <w:szCs w:val="20"/>
        </w:rPr>
      </w:pPr>
      <w:r w:rsidRPr="00471175">
        <w:rPr>
          <w:sz w:val="20"/>
          <w:szCs w:val="20"/>
        </w:rPr>
        <w:t>註</w:t>
      </w:r>
      <w:r w:rsidRPr="00471175">
        <w:rPr>
          <w:sz w:val="20"/>
          <w:szCs w:val="20"/>
        </w:rPr>
        <w:t>2</w:t>
      </w:r>
      <w:r w:rsidRPr="00471175">
        <w:rPr>
          <w:sz w:val="20"/>
          <w:szCs w:val="20"/>
        </w:rPr>
        <w:t>：盤查完整度＝已盤查範疇</w:t>
      </w:r>
      <w:r w:rsidRPr="00471175">
        <w:rPr>
          <w:sz w:val="20"/>
          <w:szCs w:val="20"/>
        </w:rPr>
        <w:t>(</w:t>
      </w:r>
      <w:r w:rsidRPr="00471175">
        <w:rPr>
          <w:sz w:val="20"/>
          <w:szCs w:val="20"/>
        </w:rPr>
        <w:t>公司據點數</w:t>
      </w:r>
      <w:r w:rsidRPr="00471175">
        <w:rPr>
          <w:sz w:val="20"/>
          <w:szCs w:val="20"/>
        </w:rPr>
        <w:t>)</w:t>
      </w:r>
      <w:r w:rsidRPr="00471175">
        <w:rPr>
          <w:sz w:val="20"/>
          <w:szCs w:val="20"/>
        </w:rPr>
        <w:t>／合併財務報表範疇</w:t>
      </w:r>
      <w:r w:rsidRPr="00471175">
        <w:rPr>
          <w:sz w:val="20"/>
          <w:szCs w:val="20"/>
        </w:rPr>
        <w:t>(</w:t>
      </w:r>
      <w:r w:rsidRPr="00471175">
        <w:rPr>
          <w:sz w:val="20"/>
          <w:szCs w:val="20"/>
        </w:rPr>
        <w:t>公司據點數</w:t>
      </w:r>
      <w:r w:rsidRPr="00471175">
        <w:rPr>
          <w:sz w:val="20"/>
          <w:szCs w:val="20"/>
        </w:rPr>
        <w:t>)</w:t>
      </w:r>
    </w:p>
    <w:p w14:paraId="3CD9B324" w14:textId="77777777" w:rsidR="00F0783F" w:rsidRPr="00471175" w:rsidRDefault="00F0783F" w:rsidP="00F0783F">
      <w:pPr>
        <w:adjustRightInd w:val="0"/>
        <w:snapToGrid w:val="0"/>
        <w:spacing w:line="240" w:lineRule="exact"/>
        <w:ind w:firstLineChars="177" w:firstLine="425"/>
      </w:pPr>
      <w:r w:rsidRPr="00471175">
        <w:rPr>
          <w:noProof/>
        </w:rPr>
        <w:lastRenderedPageBreak/>
        <w:drawing>
          <wp:anchor distT="0" distB="0" distL="114300" distR="114300" simplePos="0" relativeHeight="251662336" behindDoc="0" locked="0" layoutInCell="1" allowOverlap="1" wp14:anchorId="40E9F6EC" wp14:editId="6AB29DE3">
            <wp:simplePos x="0" y="0"/>
            <wp:positionH relativeFrom="column">
              <wp:posOffset>922932</wp:posOffset>
            </wp:positionH>
            <wp:positionV relativeFrom="paragraph">
              <wp:posOffset>8255</wp:posOffset>
            </wp:positionV>
            <wp:extent cx="4173855" cy="2329180"/>
            <wp:effectExtent l="0" t="0" r="17145" b="13970"/>
            <wp:wrapSquare wrapText="bothSides"/>
            <wp:docPr id="1823275351" name="圖表 1">
              <a:extLst xmlns:a="http://schemas.openxmlformats.org/drawingml/2006/main">
                <a:ext uri="{FF2B5EF4-FFF2-40B4-BE49-F238E27FC236}">
                  <a16:creationId xmlns:a16="http://schemas.microsoft.com/office/drawing/2014/main" id="{7E1794D5-A38B-2D68-2107-59F70998F0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06BA391C" w14:textId="77777777" w:rsidR="00F0783F" w:rsidRPr="00471175" w:rsidRDefault="00F0783F" w:rsidP="00F0783F">
      <w:pPr>
        <w:adjustRightInd w:val="0"/>
        <w:snapToGrid w:val="0"/>
        <w:spacing w:line="240" w:lineRule="exact"/>
        <w:ind w:firstLineChars="177" w:firstLine="425"/>
      </w:pPr>
    </w:p>
    <w:p w14:paraId="312D9029" w14:textId="77777777" w:rsidR="00F0783F" w:rsidRPr="00471175" w:rsidRDefault="00F0783F" w:rsidP="00F0783F">
      <w:pPr>
        <w:adjustRightInd w:val="0"/>
        <w:snapToGrid w:val="0"/>
        <w:spacing w:line="240" w:lineRule="exact"/>
        <w:ind w:firstLineChars="177" w:firstLine="425"/>
      </w:pPr>
    </w:p>
    <w:p w14:paraId="3C003615" w14:textId="77777777" w:rsidR="00F0783F" w:rsidRPr="00471175" w:rsidRDefault="00F0783F" w:rsidP="00F0783F">
      <w:pPr>
        <w:adjustRightInd w:val="0"/>
        <w:snapToGrid w:val="0"/>
        <w:spacing w:line="240" w:lineRule="exact"/>
        <w:ind w:firstLineChars="177" w:firstLine="425"/>
      </w:pPr>
    </w:p>
    <w:p w14:paraId="6F279E84" w14:textId="77777777" w:rsidR="00F0783F" w:rsidRPr="00471175" w:rsidRDefault="00F0783F" w:rsidP="00F0783F">
      <w:pPr>
        <w:adjustRightInd w:val="0"/>
        <w:snapToGrid w:val="0"/>
        <w:spacing w:line="240" w:lineRule="exact"/>
        <w:ind w:firstLineChars="177" w:firstLine="425"/>
      </w:pPr>
    </w:p>
    <w:p w14:paraId="5DF91474" w14:textId="77777777" w:rsidR="00F0783F" w:rsidRPr="00471175" w:rsidRDefault="00F0783F" w:rsidP="00F0783F">
      <w:pPr>
        <w:adjustRightInd w:val="0"/>
        <w:snapToGrid w:val="0"/>
        <w:spacing w:line="240" w:lineRule="exact"/>
        <w:ind w:firstLineChars="177" w:firstLine="425"/>
      </w:pPr>
    </w:p>
    <w:p w14:paraId="37929290" w14:textId="77777777" w:rsidR="00F0783F" w:rsidRPr="00471175" w:rsidRDefault="00F0783F" w:rsidP="00F0783F">
      <w:pPr>
        <w:adjustRightInd w:val="0"/>
        <w:snapToGrid w:val="0"/>
        <w:spacing w:line="240" w:lineRule="exact"/>
        <w:ind w:firstLineChars="177" w:firstLine="425"/>
      </w:pPr>
    </w:p>
    <w:p w14:paraId="3C319B53" w14:textId="77777777" w:rsidR="00B06A7B" w:rsidRDefault="00B06A7B" w:rsidP="004B09B1">
      <w:pPr>
        <w:adjustRightInd w:val="0"/>
        <w:snapToGrid w:val="0"/>
        <w:spacing w:after="120" w:line="240" w:lineRule="exact"/>
        <w:ind w:leftChars="177" w:left="992" w:hangingChars="236" w:hanging="567"/>
        <w:rPr>
          <w:b/>
        </w:rPr>
      </w:pPr>
      <w:bookmarkStart w:id="13" w:name="_Hlk141446587"/>
    </w:p>
    <w:p w14:paraId="611D6B20" w14:textId="15BEFA00" w:rsidR="00F0783F" w:rsidRPr="00471175" w:rsidRDefault="00F0783F" w:rsidP="009B7997">
      <w:pPr>
        <w:adjustRightInd w:val="0"/>
        <w:snapToGrid w:val="0"/>
        <w:spacing w:before="480" w:after="120" w:line="240" w:lineRule="exact"/>
        <w:ind w:leftChars="177" w:left="992" w:hangingChars="236" w:hanging="567"/>
      </w:pPr>
      <w:r w:rsidRPr="00471175">
        <w:rPr>
          <w:b/>
        </w:rPr>
        <w:t>(</w:t>
      </w:r>
      <w:r w:rsidRPr="00471175">
        <w:rPr>
          <w:b/>
        </w:rPr>
        <w:t>二</w:t>
      </w:r>
      <w:r w:rsidRPr="00471175">
        <w:rPr>
          <w:b/>
        </w:rPr>
        <w:t xml:space="preserve">) </w:t>
      </w:r>
      <w:r w:rsidRPr="00471175">
        <w:rPr>
          <w:b/>
        </w:rPr>
        <w:t>投資組合（範疇三類別</w:t>
      </w:r>
      <w:r w:rsidRPr="00471175">
        <w:rPr>
          <w:b/>
        </w:rPr>
        <w:t>15</w:t>
      </w:r>
      <w:r w:rsidRPr="00471175">
        <w:rPr>
          <w:b/>
        </w:rPr>
        <w:t>）</w:t>
      </w:r>
      <w:bookmarkEnd w:id="13"/>
      <w:r w:rsidR="008D4438" w:rsidRPr="00471175">
        <w:rPr>
          <w:rFonts w:eastAsia="微軟正黑體"/>
          <w:color w:val="0070C0"/>
          <w:sz w:val="16"/>
          <w:szCs w:val="16"/>
        </w:rPr>
        <w:t>【</w:t>
      </w:r>
      <w:r w:rsidR="008D4438" w:rsidRPr="00624FCF">
        <w:rPr>
          <w:rFonts w:eastAsia="微軟正黑體" w:hint="eastAsia"/>
          <w:color w:val="0070C0"/>
          <w:sz w:val="16"/>
          <w:szCs w:val="16"/>
        </w:rPr>
        <w:t>M.</w:t>
      </w:r>
      <w:r w:rsidR="008D4438">
        <w:rPr>
          <w:rFonts w:eastAsia="微軟正黑體"/>
          <w:color w:val="0070C0"/>
          <w:sz w:val="16"/>
          <w:szCs w:val="16"/>
        </w:rPr>
        <w:t>2.</w:t>
      </w:r>
      <w:r w:rsidR="008D4438" w:rsidRPr="00624FCF">
        <w:rPr>
          <w:rFonts w:eastAsia="微軟正黑體" w:hint="eastAsia"/>
          <w:color w:val="0070C0"/>
          <w:sz w:val="16"/>
          <w:szCs w:val="16"/>
        </w:rPr>
        <w:t>(</w:t>
      </w:r>
      <w:r w:rsidR="008D4438">
        <w:rPr>
          <w:rFonts w:eastAsia="微軟正黑體"/>
          <w:color w:val="0070C0"/>
          <w:sz w:val="16"/>
          <w:szCs w:val="16"/>
        </w:rPr>
        <w:t>2</w:t>
      </w:r>
      <w:r w:rsidR="008D4438" w:rsidRPr="00624FCF">
        <w:rPr>
          <w:rFonts w:eastAsia="微軟正黑體" w:hint="eastAsia"/>
          <w:color w:val="0070C0"/>
          <w:sz w:val="16"/>
          <w:szCs w:val="16"/>
        </w:rPr>
        <w:t>)</w:t>
      </w:r>
      <w:r w:rsidR="008D4438" w:rsidRPr="00471175">
        <w:rPr>
          <w:rFonts w:eastAsia="微軟正黑體"/>
          <w:color w:val="0070C0"/>
          <w:sz w:val="16"/>
          <w:szCs w:val="16"/>
        </w:rPr>
        <w:t>】</w:t>
      </w:r>
      <w:r w:rsidR="00284C63" w:rsidRPr="00471175">
        <w:rPr>
          <w:rFonts w:eastAsia="微軟正黑體"/>
          <w:color w:val="0070C0"/>
          <w:sz w:val="16"/>
          <w:szCs w:val="16"/>
        </w:rPr>
        <w:t>【</w:t>
      </w:r>
      <w:r w:rsidR="00284C63" w:rsidRPr="00624FCF">
        <w:rPr>
          <w:rFonts w:eastAsia="微軟正黑體" w:hint="eastAsia"/>
          <w:color w:val="0070C0"/>
          <w:sz w:val="16"/>
          <w:szCs w:val="16"/>
        </w:rPr>
        <w:t>M.</w:t>
      </w:r>
      <w:r w:rsidR="008D4438">
        <w:rPr>
          <w:rFonts w:eastAsia="微軟正黑體"/>
          <w:color w:val="0070C0"/>
          <w:sz w:val="16"/>
          <w:szCs w:val="16"/>
        </w:rPr>
        <w:t>2.</w:t>
      </w:r>
      <w:r w:rsidR="00284C63" w:rsidRPr="00624FCF">
        <w:rPr>
          <w:rFonts w:eastAsia="微軟正黑體" w:hint="eastAsia"/>
          <w:color w:val="0070C0"/>
          <w:sz w:val="16"/>
          <w:szCs w:val="16"/>
        </w:rPr>
        <w:t>(</w:t>
      </w:r>
      <w:r w:rsidR="008D4438">
        <w:rPr>
          <w:rFonts w:eastAsia="微軟正黑體"/>
          <w:color w:val="0070C0"/>
          <w:sz w:val="16"/>
          <w:szCs w:val="16"/>
        </w:rPr>
        <w:t>3</w:t>
      </w:r>
      <w:r w:rsidR="00284C63" w:rsidRPr="00624FCF">
        <w:rPr>
          <w:rFonts w:eastAsia="微軟正黑體" w:hint="eastAsia"/>
          <w:color w:val="0070C0"/>
          <w:sz w:val="16"/>
          <w:szCs w:val="16"/>
        </w:rPr>
        <w:t>)</w:t>
      </w:r>
      <w:r w:rsidR="00284C63" w:rsidRPr="00471175">
        <w:rPr>
          <w:rFonts w:eastAsia="微軟正黑體"/>
          <w:color w:val="0070C0"/>
          <w:sz w:val="16"/>
          <w:szCs w:val="16"/>
        </w:rPr>
        <w:t>】</w:t>
      </w:r>
    </w:p>
    <w:tbl>
      <w:tblPr>
        <w:tblpPr w:leftFromText="180" w:rightFromText="180" w:vertAnchor="text" w:horzAnchor="margin" w:tblpY="39"/>
        <w:tblW w:w="9400" w:type="dxa"/>
        <w:tblCellMar>
          <w:left w:w="28" w:type="dxa"/>
          <w:right w:w="28" w:type="dxa"/>
        </w:tblCellMar>
        <w:tblLook w:val="04A0" w:firstRow="1" w:lastRow="0" w:firstColumn="1" w:lastColumn="0" w:noHBand="0" w:noVBand="1"/>
      </w:tblPr>
      <w:tblGrid>
        <w:gridCol w:w="704"/>
        <w:gridCol w:w="2516"/>
        <w:gridCol w:w="2580"/>
        <w:gridCol w:w="1200"/>
        <w:gridCol w:w="1200"/>
        <w:gridCol w:w="1200"/>
      </w:tblGrid>
      <w:tr w:rsidR="00F0783F" w:rsidRPr="00471175" w14:paraId="3457CA0E" w14:textId="77777777" w:rsidTr="009B7997">
        <w:trPr>
          <w:trHeight w:val="345"/>
        </w:trPr>
        <w:tc>
          <w:tcPr>
            <w:tcW w:w="704" w:type="dxa"/>
            <w:tcBorders>
              <w:top w:val="single" w:sz="4" w:space="0" w:color="auto"/>
              <w:left w:val="single" w:sz="4" w:space="0" w:color="auto"/>
              <w:bottom w:val="single" w:sz="4" w:space="0" w:color="auto"/>
              <w:right w:val="nil"/>
            </w:tcBorders>
            <w:shd w:val="clear" w:color="auto" w:fill="2F5496" w:themeFill="accent5" w:themeFillShade="BF"/>
            <w:noWrap/>
            <w:vAlign w:val="center"/>
            <w:hideMark/>
          </w:tcPr>
          <w:p w14:paraId="40A3952C" w14:textId="7C1CB479" w:rsidR="00F0783F" w:rsidRPr="009B7997" w:rsidRDefault="003400C1" w:rsidP="00E758EC">
            <w:pPr>
              <w:widowControl/>
              <w:spacing w:before="0" w:after="0" w:line="0" w:lineRule="atLeast"/>
              <w:jc w:val="center"/>
              <w:rPr>
                <w:b/>
                <w:bCs/>
                <w:color w:val="FFFFFF" w:themeColor="background1"/>
              </w:rPr>
            </w:pPr>
            <w:bookmarkStart w:id="14" w:name="_Hlk156832993"/>
            <w:r w:rsidRPr="009B7997">
              <w:rPr>
                <w:rFonts w:hint="eastAsia"/>
                <w:b/>
                <w:bCs/>
                <w:color w:val="FFFFFF" w:themeColor="background1"/>
              </w:rPr>
              <w:t>項目</w:t>
            </w:r>
          </w:p>
        </w:tc>
        <w:tc>
          <w:tcPr>
            <w:tcW w:w="2516" w:type="dxa"/>
            <w:tcBorders>
              <w:top w:val="single" w:sz="4" w:space="0" w:color="auto"/>
              <w:left w:val="nil"/>
              <w:bottom w:val="single" w:sz="4" w:space="0" w:color="auto"/>
              <w:right w:val="nil"/>
            </w:tcBorders>
            <w:shd w:val="clear" w:color="auto" w:fill="2F5496" w:themeFill="accent5" w:themeFillShade="BF"/>
            <w:noWrap/>
            <w:vAlign w:val="center"/>
            <w:hideMark/>
          </w:tcPr>
          <w:p w14:paraId="5E9E9E10" w14:textId="77777777" w:rsidR="00F0783F" w:rsidRPr="009B7997" w:rsidRDefault="00F0783F" w:rsidP="00E758EC">
            <w:pPr>
              <w:widowControl/>
              <w:spacing w:before="0" w:after="0" w:line="0" w:lineRule="atLeast"/>
              <w:jc w:val="center"/>
              <w:rPr>
                <w:b/>
                <w:bCs/>
                <w:color w:val="FFFFFF" w:themeColor="background1"/>
              </w:rPr>
            </w:pPr>
            <w:r w:rsidRPr="009B7997">
              <w:rPr>
                <w:b/>
                <w:bCs/>
                <w:color w:val="FFFFFF" w:themeColor="background1"/>
              </w:rPr>
              <w:t>指標</w:t>
            </w:r>
          </w:p>
        </w:tc>
        <w:tc>
          <w:tcPr>
            <w:tcW w:w="2580" w:type="dxa"/>
            <w:tcBorders>
              <w:top w:val="single" w:sz="4" w:space="0" w:color="auto"/>
              <w:left w:val="nil"/>
              <w:bottom w:val="single" w:sz="4" w:space="0" w:color="auto"/>
              <w:right w:val="nil"/>
            </w:tcBorders>
            <w:shd w:val="clear" w:color="auto" w:fill="2F5496" w:themeFill="accent5" w:themeFillShade="BF"/>
            <w:noWrap/>
            <w:vAlign w:val="center"/>
            <w:hideMark/>
          </w:tcPr>
          <w:p w14:paraId="0622A6EE" w14:textId="77777777" w:rsidR="00F0783F" w:rsidRPr="009B7997" w:rsidRDefault="00F0783F" w:rsidP="00E758EC">
            <w:pPr>
              <w:widowControl/>
              <w:spacing w:before="0" w:after="0" w:line="0" w:lineRule="atLeast"/>
              <w:jc w:val="center"/>
              <w:rPr>
                <w:b/>
                <w:bCs/>
                <w:color w:val="FFFFFF" w:themeColor="background1"/>
              </w:rPr>
            </w:pPr>
            <w:r w:rsidRPr="009B7997">
              <w:rPr>
                <w:b/>
                <w:bCs/>
                <w:color w:val="FFFFFF" w:themeColor="background1"/>
              </w:rPr>
              <w:t>單位</w:t>
            </w:r>
          </w:p>
        </w:tc>
        <w:tc>
          <w:tcPr>
            <w:tcW w:w="1200" w:type="dxa"/>
            <w:tcBorders>
              <w:top w:val="single" w:sz="4" w:space="0" w:color="auto"/>
              <w:left w:val="single" w:sz="4" w:space="0" w:color="auto"/>
              <w:bottom w:val="single" w:sz="4" w:space="0" w:color="auto"/>
              <w:right w:val="single" w:sz="4" w:space="0" w:color="auto"/>
            </w:tcBorders>
            <w:shd w:val="clear" w:color="auto" w:fill="2F5496" w:themeFill="accent5" w:themeFillShade="BF"/>
            <w:noWrap/>
            <w:vAlign w:val="center"/>
            <w:hideMark/>
          </w:tcPr>
          <w:p w14:paraId="7A6AA723" w14:textId="77777777" w:rsidR="00F0783F" w:rsidRPr="009B7997" w:rsidRDefault="00F0783F" w:rsidP="00E758EC">
            <w:pPr>
              <w:widowControl/>
              <w:spacing w:before="0" w:after="0" w:line="0" w:lineRule="atLeast"/>
              <w:jc w:val="center"/>
              <w:rPr>
                <w:b/>
                <w:bCs/>
                <w:color w:val="FFFFFF" w:themeColor="background1"/>
              </w:rPr>
            </w:pPr>
            <w:r w:rsidRPr="009B7997">
              <w:rPr>
                <w:b/>
                <w:bCs/>
                <w:color w:val="FFFFFF" w:themeColor="background1"/>
              </w:rPr>
              <w:t>2020</w:t>
            </w:r>
          </w:p>
        </w:tc>
        <w:tc>
          <w:tcPr>
            <w:tcW w:w="1200" w:type="dxa"/>
            <w:tcBorders>
              <w:top w:val="single" w:sz="4" w:space="0" w:color="auto"/>
              <w:left w:val="nil"/>
              <w:bottom w:val="single" w:sz="4" w:space="0" w:color="auto"/>
              <w:right w:val="single" w:sz="4" w:space="0" w:color="auto"/>
            </w:tcBorders>
            <w:shd w:val="clear" w:color="auto" w:fill="2F5496" w:themeFill="accent5" w:themeFillShade="BF"/>
            <w:noWrap/>
            <w:vAlign w:val="center"/>
            <w:hideMark/>
          </w:tcPr>
          <w:p w14:paraId="689AF022" w14:textId="77777777" w:rsidR="00F0783F" w:rsidRPr="009B7997" w:rsidRDefault="00F0783F" w:rsidP="00E758EC">
            <w:pPr>
              <w:widowControl/>
              <w:spacing w:before="0" w:after="0" w:line="0" w:lineRule="atLeast"/>
              <w:jc w:val="center"/>
              <w:rPr>
                <w:b/>
                <w:bCs/>
                <w:color w:val="FFFFFF" w:themeColor="background1"/>
              </w:rPr>
            </w:pPr>
            <w:r w:rsidRPr="009B7997">
              <w:rPr>
                <w:b/>
                <w:bCs/>
                <w:color w:val="FFFFFF" w:themeColor="background1"/>
              </w:rPr>
              <w:t>2021</w:t>
            </w:r>
          </w:p>
        </w:tc>
        <w:tc>
          <w:tcPr>
            <w:tcW w:w="1200" w:type="dxa"/>
            <w:tcBorders>
              <w:top w:val="single" w:sz="4" w:space="0" w:color="auto"/>
              <w:left w:val="nil"/>
              <w:bottom w:val="single" w:sz="4" w:space="0" w:color="auto"/>
              <w:right w:val="single" w:sz="4" w:space="0" w:color="auto"/>
            </w:tcBorders>
            <w:shd w:val="clear" w:color="auto" w:fill="2F5496" w:themeFill="accent5" w:themeFillShade="BF"/>
            <w:noWrap/>
            <w:vAlign w:val="center"/>
            <w:hideMark/>
          </w:tcPr>
          <w:p w14:paraId="1AFB4376" w14:textId="77777777" w:rsidR="00F0783F" w:rsidRPr="009B7997" w:rsidRDefault="00F0783F" w:rsidP="00E758EC">
            <w:pPr>
              <w:widowControl/>
              <w:spacing w:before="0" w:after="0" w:line="0" w:lineRule="atLeast"/>
              <w:jc w:val="center"/>
              <w:rPr>
                <w:b/>
                <w:bCs/>
                <w:color w:val="FFFFFF" w:themeColor="background1"/>
              </w:rPr>
            </w:pPr>
            <w:r w:rsidRPr="009B7997">
              <w:rPr>
                <w:b/>
                <w:bCs/>
                <w:color w:val="FFFFFF" w:themeColor="background1"/>
              </w:rPr>
              <w:t>2022</w:t>
            </w:r>
          </w:p>
        </w:tc>
      </w:tr>
      <w:tr w:rsidR="00B27886" w:rsidRPr="00471175" w14:paraId="5DFC2B7A" w14:textId="77777777" w:rsidTr="00B27886">
        <w:trPr>
          <w:trHeight w:val="342"/>
        </w:trPr>
        <w:tc>
          <w:tcPr>
            <w:tcW w:w="704" w:type="dxa"/>
            <w:vMerge w:val="restart"/>
            <w:tcBorders>
              <w:top w:val="nil"/>
              <w:left w:val="single" w:sz="4" w:space="0" w:color="auto"/>
              <w:bottom w:val="single" w:sz="4" w:space="0" w:color="auto"/>
              <w:right w:val="single" w:sz="4" w:space="0" w:color="auto"/>
            </w:tcBorders>
            <w:shd w:val="clear" w:color="000000" w:fill="E2EFDA"/>
            <w:vAlign w:val="center"/>
            <w:hideMark/>
          </w:tcPr>
          <w:p w14:paraId="26EF39CE" w14:textId="77777777" w:rsidR="00B27886" w:rsidRPr="002C40D8" w:rsidRDefault="00B27886" w:rsidP="00B27886">
            <w:pPr>
              <w:widowControl/>
              <w:spacing w:before="0" w:after="0" w:line="0" w:lineRule="atLeast"/>
              <w:jc w:val="center"/>
              <w:rPr>
                <w:b/>
                <w:bCs/>
              </w:rPr>
            </w:pPr>
            <w:r w:rsidRPr="002C40D8">
              <w:rPr>
                <w:b/>
                <w:bCs/>
              </w:rPr>
              <w:t>股票</w:t>
            </w:r>
          </w:p>
        </w:tc>
        <w:tc>
          <w:tcPr>
            <w:tcW w:w="2516" w:type="dxa"/>
            <w:tcBorders>
              <w:top w:val="single" w:sz="4" w:space="0" w:color="auto"/>
              <w:left w:val="nil"/>
              <w:bottom w:val="single" w:sz="4" w:space="0" w:color="auto"/>
              <w:right w:val="single" w:sz="4" w:space="0" w:color="auto"/>
            </w:tcBorders>
            <w:shd w:val="clear" w:color="000000" w:fill="E2EFDA"/>
            <w:noWrap/>
            <w:vAlign w:val="center"/>
          </w:tcPr>
          <w:p w14:paraId="42894896" w14:textId="74AD4856" w:rsidR="00B27886" w:rsidRPr="002C40D8" w:rsidRDefault="00B27886" w:rsidP="00B27886">
            <w:pPr>
              <w:widowControl/>
              <w:spacing w:before="0" w:after="0" w:line="0" w:lineRule="atLeast"/>
              <w:jc w:val="center"/>
              <w:rPr>
                <w:b/>
                <w:bCs/>
              </w:rPr>
            </w:pPr>
            <w:bookmarkStart w:id="15" w:name="_Hlk156896024"/>
            <w:r w:rsidRPr="002C40D8">
              <w:rPr>
                <w:rFonts w:hint="eastAsia"/>
                <w:b/>
                <w:bCs/>
              </w:rPr>
              <w:t>已盤查</w:t>
            </w:r>
            <w:r w:rsidRPr="002C40D8">
              <w:rPr>
                <w:b/>
                <w:bCs/>
              </w:rPr>
              <w:t>資產</w:t>
            </w:r>
            <w:r w:rsidRPr="002C40D8">
              <w:rPr>
                <w:rFonts w:hint="eastAsia"/>
                <w:b/>
                <w:bCs/>
              </w:rPr>
              <w:t>巿值</w:t>
            </w:r>
            <w:r w:rsidRPr="002C40D8">
              <w:rPr>
                <w:rFonts w:hint="eastAsia"/>
                <w:b/>
                <w:bCs/>
              </w:rPr>
              <w:t>(</w:t>
            </w:r>
            <w:r w:rsidRPr="002C40D8">
              <w:rPr>
                <w:b/>
                <w:bCs/>
              </w:rPr>
              <w:t>A1)</w:t>
            </w:r>
            <w:bookmarkEnd w:id="15"/>
          </w:p>
        </w:tc>
        <w:tc>
          <w:tcPr>
            <w:tcW w:w="2580" w:type="dxa"/>
            <w:tcBorders>
              <w:top w:val="single" w:sz="4" w:space="0" w:color="auto"/>
              <w:left w:val="nil"/>
              <w:bottom w:val="single" w:sz="4" w:space="0" w:color="auto"/>
              <w:right w:val="single" w:sz="4" w:space="0" w:color="auto"/>
            </w:tcBorders>
            <w:shd w:val="clear" w:color="000000" w:fill="E2EFDA"/>
            <w:noWrap/>
            <w:vAlign w:val="center"/>
          </w:tcPr>
          <w:p w14:paraId="27B2778A" w14:textId="36BD1410" w:rsidR="00B27886" w:rsidRPr="002C40D8" w:rsidRDefault="00B27886" w:rsidP="00B27886">
            <w:pPr>
              <w:widowControl/>
              <w:spacing w:before="0" w:after="0" w:line="0" w:lineRule="atLeast"/>
              <w:jc w:val="center"/>
            </w:pPr>
            <w:r w:rsidRPr="002C40D8">
              <w:t>百萬元</w:t>
            </w:r>
          </w:p>
        </w:tc>
        <w:tc>
          <w:tcPr>
            <w:tcW w:w="1200" w:type="dxa"/>
            <w:tcBorders>
              <w:top w:val="single" w:sz="4" w:space="0" w:color="auto"/>
              <w:left w:val="nil"/>
              <w:bottom w:val="single" w:sz="4" w:space="0" w:color="auto"/>
              <w:right w:val="single" w:sz="4" w:space="0" w:color="auto"/>
            </w:tcBorders>
            <w:shd w:val="clear" w:color="000000" w:fill="E2EFDA"/>
            <w:noWrap/>
            <w:vAlign w:val="center"/>
          </w:tcPr>
          <w:p w14:paraId="04A0A2D5" w14:textId="0EB7775E" w:rsidR="00B27886" w:rsidRPr="002C40D8" w:rsidRDefault="00B27886" w:rsidP="00B27886">
            <w:pPr>
              <w:widowControl/>
              <w:spacing w:before="0" w:after="0" w:line="0" w:lineRule="atLeast"/>
              <w:jc w:val="center"/>
              <w:rPr>
                <w:i/>
                <w:iCs/>
              </w:rPr>
            </w:pPr>
            <w:r w:rsidRPr="002C40D8">
              <w:rPr>
                <w:rFonts w:hint="eastAsia"/>
                <w:i/>
                <w:iCs/>
              </w:rPr>
              <w:t>2</w:t>
            </w:r>
            <w:r w:rsidRPr="002C40D8">
              <w:rPr>
                <w:i/>
                <w:iCs/>
              </w:rPr>
              <w:t>17,290</w:t>
            </w:r>
          </w:p>
        </w:tc>
        <w:tc>
          <w:tcPr>
            <w:tcW w:w="1200" w:type="dxa"/>
            <w:tcBorders>
              <w:top w:val="single" w:sz="4" w:space="0" w:color="auto"/>
              <w:left w:val="nil"/>
              <w:bottom w:val="single" w:sz="4" w:space="0" w:color="auto"/>
              <w:right w:val="single" w:sz="4" w:space="0" w:color="auto"/>
            </w:tcBorders>
            <w:shd w:val="clear" w:color="000000" w:fill="E2EFDA"/>
            <w:noWrap/>
            <w:vAlign w:val="center"/>
          </w:tcPr>
          <w:p w14:paraId="2193739D" w14:textId="2F6B048D" w:rsidR="00B27886" w:rsidRPr="002C40D8" w:rsidRDefault="00B27886" w:rsidP="00B27886">
            <w:pPr>
              <w:widowControl/>
              <w:spacing w:before="0" w:after="0" w:line="0" w:lineRule="atLeast"/>
              <w:jc w:val="center"/>
              <w:rPr>
                <w:i/>
                <w:iCs/>
              </w:rPr>
            </w:pPr>
            <w:r w:rsidRPr="002C40D8">
              <w:rPr>
                <w:rFonts w:hint="eastAsia"/>
                <w:i/>
                <w:iCs/>
              </w:rPr>
              <w:t>2</w:t>
            </w:r>
            <w:r w:rsidRPr="002C40D8">
              <w:rPr>
                <w:i/>
                <w:iCs/>
              </w:rPr>
              <w:t>61,432</w:t>
            </w:r>
          </w:p>
        </w:tc>
        <w:tc>
          <w:tcPr>
            <w:tcW w:w="1200" w:type="dxa"/>
            <w:tcBorders>
              <w:top w:val="single" w:sz="4" w:space="0" w:color="auto"/>
              <w:left w:val="nil"/>
              <w:bottom w:val="single" w:sz="4" w:space="0" w:color="auto"/>
              <w:right w:val="single" w:sz="4" w:space="0" w:color="auto"/>
            </w:tcBorders>
            <w:shd w:val="clear" w:color="000000" w:fill="E2EFDA"/>
            <w:noWrap/>
            <w:vAlign w:val="center"/>
          </w:tcPr>
          <w:p w14:paraId="30C70449" w14:textId="379A5FED" w:rsidR="00B27886" w:rsidRPr="002C40D8" w:rsidRDefault="00B27886" w:rsidP="00B27886">
            <w:pPr>
              <w:widowControl/>
              <w:spacing w:before="0" w:after="0" w:line="0" w:lineRule="atLeast"/>
              <w:jc w:val="center"/>
              <w:rPr>
                <w:i/>
                <w:iCs/>
              </w:rPr>
            </w:pPr>
            <w:r w:rsidRPr="002C40D8">
              <w:rPr>
                <w:rFonts w:hint="eastAsia"/>
                <w:i/>
                <w:iCs/>
              </w:rPr>
              <w:t>2</w:t>
            </w:r>
            <w:r w:rsidRPr="002C40D8">
              <w:rPr>
                <w:i/>
                <w:iCs/>
              </w:rPr>
              <w:t>46,563</w:t>
            </w:r>
          </w:p>
        </w:tc>
      </w:tr>
      <w:tr w:rsidR="00B27886" w:rsidRPr="00471175" w14:paraId="6D773612" w14:textId="77777777" w:rsidTr="00B27886">
        <w:trPr>
          <w:trHeight w:val="345"/>
        </w:trPr>
        <w:tc>
          <w:tcPr>
            <w:tcW w:w="704" w:type="dxa"/>
            <w:vMerge/>
            <w:tcBorders>
              <w:top w:val="nil"/>
              <w:left w:val="single" w:sz="4" w:space="0" w:color="auto"/>
              <w:bottom w:val="single" w:sz="4" w:space="0" w:color="auto"/>
              <w:right w:val="single" w:sz="4" w:space="0" w:color="auto"/>
            </w:tcBorders>
            <w:vAlign w:val="center"/>
            <w:hideMark/>
          </w:tcPr>
          <w:p w14:paraId="2E1CC1AF" w14:textId="77777777" w:rsidR="00B27886" w:rsidRPr="002C40D8" w:rsidRDefault="00B27886" w:rsidP="00B27886">
            <w:pPr>
              <w:widowControl/>
              <w:spacing w:before="0" w:after="0" w:line="0" w:lineRule="atLeast"/>
              <w:rPr>
                <w:b/>
                <w:bCs/>
              </w:rPr>
            </w:pPr>
          </w:p>
        </w:tc>
        <w:tc>
          <w:tcPr>
            <w:tcW w:w="2516" w:type="dxa"/>
            <w:tcBorders>
              <w:top w:val="single" w:sz="4" w:space="0" w:color="auto"/>
              <w:left w:val="nil"/>
              <w:bottom w:val="single" w:sz="4" w:space="0" w:color="auto"/>
              <w:right w:val="single" w:sz="4" w:space="0" w:color="auto"/>
            </w:tcBorders>
            <w:shd w:val="clear" w:color="000000" w:fill="E2EFDA"/>
            <w:noWrap/>
            <w:vAlign w:val="center"/>
            <w:hideMark/>
          </w:tcPr>
          <w:p w14:paraId="203F32AA" w14:textId="77777777" w:rsidR="00B27886" w:rsidRPr="002C40D8" w:rsidRDefault="00B27886" w:rsidP="00B27886">
            <w:pPr>
              <w:widowControl/>
              <w:spacing w:before="0" w:after="0" w:line="0" w:lineRule="atLeast"/>
              <w:jc w:val="center"/>
              <w:rPr>
                <w:b/>
                <w:bCs/>
              </w:rPr>
            </w:pPr>
            <w:r w:rsidRPr="002C40D8">
              <w:rPr>
                <w:b/>
                <w:bCs/>
              </w:rPr>
              <w:t>承擔碳排</w:t>
            </w:r>
          </w:p>
        </w:tc>
        <w:tc>
          <w:tcPr>
            <w:tcW w:w="2580" w:type="dxa"/>
            <w:tcBorders>
              <w:top w:val="single" w:sz="4" w:space="0" w:color="auto"/>
              <w:left w:val="nil"/>
              <w:bottom w:val="single" w:sz="4" w:space="0" w:color="auto"/>
              <w:right w:val="single" w:sz="4" w:space="0" w:color="auto"/>
            </w:tcBorders>
            <w:shd w:val="clear" w:color="000000" w:fill="E2EFDA"/>
            <w:noWrap/>
            <w:vAlign w:val="center"/>
            <w:hideMark/>
          </w:tcPr>
          <w:p w14:paraId="3387604D" w14:textId="77777777" w:rsidR="00B27886" w:rsidRPr="002C40D8" w:rsidRDefault="00B27886" w:rsidP="00B27886">
            <w:pPr>
              <w:widowControl/>
              <w:spacing w:before="0" w:after="0" w:line="0" w:lineRule="atLeast"/>
              <w:jc w:val="center"/>
            </w:pPr>
            <w:r w:rsidRPr="002C40D8">
              <w:t>百萬公噸</w:t>
            </w:r>
            <w:r w:rsidRPr="002C40D8">
              <w:t>CO2e</w:t>
            </w:r>
          </w:p>
        </w:tc>
        <w:tc>
          <w:tcPr>
            <w:tcW w:w="1200" w:type="dxa"/>
            <w:tcBorders>
              <w:top w:val="single" w:sz="4" w:space="0" w:color="auto"/>
              <w:left w:val="nil"/>
              <w:bottom w:val="single" w:sz="4" w:space="0" w:color="auto"/>
              <w:right w:val="single" w:sz="4" w:space="0" w:color="auto"/>
            </w:tcBorders>
            <w:shd w:val="clear" w:color="000000" w:fill="E2EFDA"/>
            <w:noWrap/>
            <w:vAlign w:val="center"/>
            <w:hideMark/>
          </w:tcPr>
          <w:p w14:paraId="6B863AD1" w14:textId="77777777" w:rsidR="00B27886" w:rsidRPr="002C40D8" w:rsidRDefault="00B27886" w:rsidP="00B27886">
            <w:pPr>
              <w:widowControl/>
              <w:spacing w:before="0" w:after="0" w:line="0" w:lineRule="atLeast"/>
              <w:jc w:val="center"/>
              <w:rPr>
                <w:i/>
                <w:iCs/>
              </w:rPr>
            </w:pPr>
            <w:r w:rsidRPr="002C40D8">
              <w:rPr>
                <w:i/>
                <w:iCs/>
              </w:rPr>
              <w:t>18</w:t>
            </w:r>
          </w:p>
        </w:tc>
        <w:tc>
          <w:tcPr>
            <w:tcW w:w="1200" w:type="dxa"/>
            <w:tcBorders>
              <w:top w:val="single" w:sz="4" w:space="0" w:color="auto"/>
              <w:left w:val="nil"/>
              <w:bottom w:val="single" w:sz="4" w:space="0" w:color="auto"/>
              <w:right w:val="single" w:sz="4" w:space="0" w:color="auto"/>
            </w:tcBorders>
            <w:shd w:val="clear" w:color="000000" w:fill="E2EFDA"/>
            <w:noWrap/>
            <w:vAlign w:val="center"/>
            <w:hideMark/>
          </w:tcPr>
          <w:p w14:paraId="178B63C2" w14:textId="77777777" w:rsidR="00B27886" w:rsidRPr="002C40D8" w:rsidRDefault="00B27886" w:rsidP="00B27886">
            <w:pPr>
              <w:widowControl/>
              <w:spacing w:before="0" w:after="0" w:line="0" w:lineRule="atLeast"/>
              <w:jc w:val="center"/>
              <w:rPr>
                <w:i/>
                <w:iCs/>
              </w:rPr>
            </w:pPr>
            <w:r w:rsidRPr="002C40D8">
              <w:rPr>
                <w:i/>
                <w:iCs/>
              </w:rPr>
              <w:t>18</w:t>
            </w:r>
          </w:p>
        </w:tc>
        <w:tc>
          <w:tcPr>
            <w:tcW w:w="1200" w:type="dxa"/>
            <w:tcBorders>
              <w:top w:val="single" w:sz="4" w:space="0" w:color="auto"/>
              <w:left w:val="nil"/>
              <w:bottom w:val="single" w:sz="4" w:space="0" w:color="auto"/>
              <w:right w:val="single" w:sz="4" w:space="0" w:color="auto"/>
            </w:tcBorders>
            <w:shd w:val="clear" w:color="000000" w:fill="E2EFDA"/>
            <w:noWrap/>
            <w:vAlign w:val="center"/>
            <w:hideMark/>
          </w:tcPr>
          <w:p w14:paraId="597EB875" w14:textId="77777777" w:rsidR="00B27886" w:rsidRPr="002C40D8" w:rsidRDefault="00B27886" w:rsidP="00B27886">
            <w:pPr>
              <w:widowControl/>
              <w:spacing w:before="0" w:after="0" w:line="0" w:lineRule="atLeast"/>
              <w:jc w:val="center"/>
              <w:rPr>
                <w:i/>
                <w:iCs/>
              </w:rPr>
            </w:pPr>
            <w:r w:rsidRPr="002C40D8">
              <w:rPr>
                <w:i/>
                <w:iCs/>
              </w:rPr>
              <w:t>11</w:t>
            </w:r>
          </w:p>
        </w:tc>
      </w:tr>
      <w:tr w:rsidR="00B27886" w:rsidRPr="00471175" w14:paraId="14DA5F22" w14:textId="77777777" w:rsidTr="00B62EEA">
        <w:trPr>
          <w:trHeight w:val="345"/>
        </w:trPr>
        <w:tc>
          <w:tcPr>
            <w:tcW w:w="704" w:type="dxa"/>
            <w:vMerge/>
            <w:tcBorders>
              <w:top w:val="nil"/>
              <w:left w:val="single" w:sz="4" w:space="0" w:color="auto"/>
              <w:bottom w:val="single" w:sz="4" w:space="0" w:color="auto"/>
              <w:right w:val="single" w:sz="4" w:space="0" w:color="auto"/>
            </w:tcBorders>
            <w:vAlign w:val="center"/>
            <w:hideMark/>
          </w:tcPr>
          <w:p w14:paraId="11623B04" w14:textId="77777777" w:rsidR="00B27886" w:rsidRPr="002C40D8" w:rsidRDefault="00B27886" w:rsidP="00B27886">
            <w:pPr>
              <w:widowControl/>
              <w:spacing w:before="0" w:after="0" w:line="0" w:lineRule="atLeast"/>
              <w:rPr>
                <w:b/>
                <w:bCs/>
              </w:rPr>
            </w:pPr>
          </w:p>
        </w:tc>
        <w:tc>
          <w:tcPr>
            <w:tcW w:w="2516" w:type="dxa"/>
            <w:tcBorders>
              <w:top w:val="nil"/>
              <w:left w:val="nil"/>
              <w:bottom w:val="single" w:sz="4" w:space="0" w:color="auto"/>
              <w:right w:val="single" w:sz="4" w:space="0" w:color="auto"/>
            </w:tcBorders>
            <w:shd w:val="clear" w:color="000000" w:fill="E2EFDA"/>
            <w:vAlign w:val="center"/>
            <w:hideMark/>
          </w:tcPr>
          <w:p w14:paraId="007EC047" w14:textId="77777777" w:rsidR="00B27886" w:rsidRPr="002C40D8" w:rsidRDefault="00B27886" w:rsidP="00B27886">
            <w:pPr>
              <w:widowControl/>
              <w:spacing w:before="0" w:after="0" w:line="0" w:lineRule="atLeast"/>
              <w:jc w:val="center"/>
              <w:rPr>
                <w:b/>
                <w:bCs/>
              </w:rPr>
            </w:pPr>
            <w:r w:rsidRPr="002C40D8">
              <w:rPr>
                <w:b/>
                <w:bCs/>
              </w:rPr>
              <w:t>碳足跡</w:t>
            </w:r>
          </w:p>
        </w:tc>
        <w:tc>
          <w:tcPr>
            <w:tcW w:w="2580" w:type="dxa"/>
            <w:tcBorders>
              <w:top w:val="nil"/>
              <w:left w:val="nil"/>
              <w:bottom w:val="single" w:sz="4" w:space="0" w:color="auto"/>
              <w:right w:val="single" w:sz="4" w:space="0" w:color="auto"/>
            </w:tcBorders>
            <w:shd w:val="clear" w:color="000000" w:fill="E2EFDA"/>
            <w:noWrap/>
            <w:vAlign w:val="center"/>
            <w:hideMark/>
          </w:tcPr>
          <w:p w14:paraId="19A323A2" w14:textId="77777777" w:rsidR="00B27886" w:rsidRPr="002C40D8" w:rsidRDefault="00B27886" w:rsidP="00B27886">
            <w:pPr>
              <w:widowControl/>
              <w:spacing w:before="0" w:after="0" w:line="0" w:lineRule="atLeast"/>
              <w:jc w:val="center"/>
            </w:pPr>
            <w:r w:rsidRPr="002C40D8">
              <w:t>公噸</w:t>
            </w:r>
            <w:r w:rsidRPr="002C40D8">
              <w:t>CO2e/</w:t>
            </w:r>
            <w:r w:rsidRPr="002C40D8">
              <w:t>百萬元投資</w:t>
            </w:r>
          </w:p>
        </w:tc>
        <w:tc>
          <w:tcPr>
            <w:tcW w:w="1200" w:type="dxa"/>
            <w:tcBorders>
              <w:top w:val="nil"/>
              <w:left w:val="nil"/>
              <w:bottom w:val="single" w:sz="4" w:space="0" w:color="auto"/>
              <w:right w:val="single" w:sz="4" w:space="0" w:color="auto"/>
            </w:tcBorders>
            <w:shd w:val="clear" w:color="000000" w:fill="E2EFDA"/>
            <w:noWrap/>
            <w:vAlign w:val="center"/>
            <w:hideMark/>
          </w:tcPr>
          <w:p w14:paraId="229ACE67" w14:textId="77777777" w:rsidR="00B27886" w:rsidRPr="002C40D8" w:rsidRDefault="00B27886" w:rsidP="00B27886">
            <w:pPr>
              <w:widowControl/>
              <w:spacing w:before="0" w:after="0" w:line="0" w:lineRule="atLeast"/>
              <w:jc w:val="center"/>
              <w:rPr>
                <w:i/>
                <w:iCs/>
              </w:rPr>
            </w:pPr>
            <w:r w:rsidRPr="002C40D8">
              <w:rPr>
                <w:i/>
                <w:iCs/>
              </w:rPr>
              <w:t>85</w:t>
            </w:r>
          </w:p>
        </w:tc>
        <w:tc>
          <w:tcPr>
            <w:tcW w:w="1200" w:type="dxa"/>
            <w:tcBorders>
              <w:top w:val="nil"/>
              <w:left w:val="nil"/>
              <w:bottom w:val="single" w:sz="4" w:space="0" w:color="auto"/>
              <w:right w:val="single" w:sz="4" w:space="0" w:color="auto"/>
            </w:tcBorders>
            <w:shd w:val="clear" w:color="000000" w:fill="E2EFDA"/>
            <w:noWrap/>
            <w:vAlign w:val="center"/>
            <w:hideMark/>
          </w:tcPr>
          <w:p w14:paraId="27ED0E83" w14:textId="77777777" w:rsidR="00B27886" w:rsidRPr="002C40D8" w:rsidRDefault="00B27886" w:rsidP="00B27886">
            <w:pPr>
              <w:widowControl/>
              <w:spacing w:before="0" w:after="0" w:line="0" w:lineRule="atLeast"/>
              <w:jc w:val="center"/>
              <w:rPr>
                <w:i/>
                <w:iCs/>
              </w:rPr>
            </w:pPr>
            <w:r w:rsidRPr="002C40D8">
              <w:rPr>
                <w:i/>
                <w:iCs/>
              </w:rPr>
              <w:t>68</w:t>
            </w:r>
          </w:p>
        </w:tc>
        <w:tc>
          <w:tcPr>
            <w:tcW w:w="1200" w:type="dxa"/>
            <w:tcBorders>
              <w:top w:val="nil"/>
              <w:left w:val="nil"/>
              <w:bottom w:val="single" w:sz="4" w:space="0" w:color="auto"/>
              <w:right w:val="single" w:sz="4" w:space="0" w:color="auto"/>
            </w:tcBorders>
            <w:shd w:val="clear" w:color="000000" w:fill="E2EFDA"/>
            <w:noWrap/>
            <w:vAlign w:val="center"/>
            <w:hideMark/>
          </w:tcPr>
          <w:p w14:paraId="4C52858D" w14:textId="77777777" w:rsidR="00B27886" w:rsidRPr="002C40D8" w:rsidRDefault="00B27886" w:rsidP="00B27886">
            <w:pPr>
              <w:widowControl/>
              <w:spacing w:before="0" w:after="0" w:line="0" w:lineRule="atLeast"/>
              <w:jc w:val="center"/>
              <w:rPr>
                <w:i/>
                <w:iCs/>
              </w:rPr>
            </w:pPr>
            <w:r w:rsidRPr="002C40D8">
              <w:rPr>
                <w:i/>
                <w:iCs/>
              </w:rPr>
              <w:t>44</w:t>
            </w:r>
          </w:p>
        </w:tc>
      </w:tr>
      <w:tr w:rsidR="00B27886" w:rsidRPr="00471175" w14:paraId="26DC6393" w14:textId="77777777" w:rsidTr="008B5BE3">
        <w:trPr>
          <w:trHeight w:val="345"/>
        </w:trPr>
        <w:tc>
          <w:tcPr>
            <w:tcW w:w="704" w:type="dxa"/>
            <w:vMerge/>
            <w:tcBorders>
              <w:top w:val="nil"/>
              <w:left w:val="single" w:sz="4" w:space="0" w:color="auto"/>
              <w:bottom w:val="single" w:sz="4" w:space="0" w:color="auto"/>
              <w:right w:val="single" w:sz="4" w:space="0" w:color="auto"/>
            </w:tcBorders>
            <w:vAlign w:val="center"/>
            <w:hideMark/>
          </w:tcPr>
          <w:p w14:paraId="18806289" w14:textId="77777777" w:rsidR="00B27886" w:rsidRPr="002C40D8" w:rsidRDefault="00B27886" w:rsidP="00B27886">
            <w:pPr>
              <w:widowControl/>
              <w:spacing w:before="0" w:after="0" w:line="0" w:lineRule="atLeast"/>
              <w:rPr>
                <w:b/>
                <w:bCs/>
              </w:rPr>
            </w:pPr>
          </w:p>
        </w:tc>
        <w:tc>
          <w:tcPr>
            <w:tcW w:w="2516" w:type="dxa"/>
            <w:tcBorders>
              <w:top w:val="nil"/>
              <w:left w:val="nil"/>
              <w:bottom w:val="single" w:sz="4" w:space="0" w:color="auto"/>
              <w:right w:val="single" w:sz="4" w:space="0" w:color="auto"/>
            </w:tcBorders>
            <w:shd w:val="clear" w:color="000000" w:fill="E2EFDA"/>
            <w:vAlign w:val="center"/>
            <w:hideMark/>
          </w:tcPr>
          <w:p w14:paraId="1050EAAE" w14:textId="60ADBD81" w:rsidR="00B27886" w:rsidRPr="002C40D8" w:rsidRDefault="00B27886" w:rsidP="00B27886">
            <w:pPr>
              <w:widowControl/>
              <w:spacing w:before="0" w:after="0" w:line="0" w:lineRule="atLeast"/>
              <w:jc w:val="center"/>
              <w:rPr>
                <w:b/>
                <w:bCs/>
              </w:rPr>
            </w:pPr>
            <w:r w:rsidRPr="002C40D8">
              <w:rPr>
                <w:b/>
                <w:bCs/>
              </w:rPr>
              <w:t>加權平均碳密度</w:t>
            </w:r>
          </w:p>
        </w:tc>
        <w:tc>
          <w:tcPr>
            <w:tcW w:w="2580" w:type="dxa"/>
            <w:tcBorders>
              <w:top w:val="nil"/>
              <w:left w:val="nil"/>
              <w:bottom w:val="single" w:sz="4" w:space="0" w:color="auto"/>
              <w:right w:val="single" w:sz="4" w:space="0" w:color="auto"/>
            </w:tcBorders>
            <w:shd w:val="clear" w:color="000000" w:fill="E2EFDA"/>
            <w:noWrap/>
            <w:vAlign w:val="center"/>
            <w:hideMark/>
          </w:tcPr>
          <w:p w14:paraId="0B47BE93" w14:textId="77777777" w:rsidR="00B27886" w:rsidRPr="002C40D8" w:rsidRDefault="00B27886" w:rsidP="00B27886">
            <w:pPr>
              <w:widowControl/>
              <w:spacing w:before="0" w:after="0" w:line="0" w:lineRule="atLeast"/>
              <w:jc w:val="center"/>
            </w:pPr>
            <w:r w:rsidRPr="002C40D8">
              <w:t>公噸</w:t>
            </w:r>
            <w:r w:rsidRPr="002C40D8">
              <w:t>CO2e/</w:t>
            </w:r>
            <w:r w:rsidRPr="002C40D8">
              <w:t>百萬元營收</w:t>
            </w:r>
          </w:p>
        </w:tc>
        <w:tc>
          <w:tcPr>
            <w:tcW w:w="1200" w:type="dxa"/>
            <w:tcBorders>
              <w:top w:val="nil"/>
              <w:left w:val="nil"/>
              <w:bottom w:val="single" w:sz="4" w:space="0" w:color="auto"/>
              <w:right w:val="single" w:sz="4" w:space="0" w:color="auto"/>
            </w:tcBorders>
            <w:shd w:val="clear" w:color="000000" w:fill="E2EFDA"/>
            <w:noWrap/>
            <w:vAlign w:val="center"/>
            <w:hideMark/>
          </w:tcPr>
          <w:p w14:paraId="5A66CB11" w14:textId="77777777" w:rsidR="00B27886" w:rsidRPr="002C40D8" w:rsidRDefault="00B27886" w:rsidP="00B27886">
            <w:pPr>
              <w:widowControl/>
              <w:spacing w:before="0" w:after="0" w:line="0" w:lineRule="atLeast"/>
              <w:jc w:val="center"/>
              <w:rPr>
                <w:i/>
                <w:iCs/>
              </w:rPr>
            </w:pPr>
            <w:r w:rsidRPr="002C40D8">
              <w:rPr>
                <w:i/>
                <w:iCs/>
              </w:rPr>
              <w:t>176</w:t>
            </w:r>
          </w:p>
        </w:tc>
        <w:tc>
          <w:tcPr>
            <w:tcW w:w="1200" w:type="dxa"/>
            <w:tcBorders>
              <w:top w:val="nil"/>
              <w:left w:val="nil"/>
              <w:bottom w:val="single" w:sz="4" w:space="0" w:color="auto"/>
              <w:right w:val="single" w:sz="4" w:space="0" w:color="auto"/>
            </w:tcBorders>
            <w:shd w:val="clear" w:color="000000" w:fill="E2EFDA"/>
            <w:noWrap/>
            <w:vAlign w:val="center"/>
            <w:hideMark/>
          </w:tcPr>
          <w:p w14:paraId="348937D3" w14:textId="77777777" w:rsidR="00B27886" w:rsidRPr="002C40D8" w:rsidRDefault="00B27886" w:rsidP="00B27886">
            <w:pPr>
              <w:widowControl/>
              <w:spacing w:before="0" w:after="0" w:line="0" w:lineRule="atLeast"/>
              <w:jc w:val="center"/>
              <w:rPr>
                <w:i/>
                <w:iCs/>
              </w:rPr>
            </w:pPr>
            <w:r w:rsidRPr="002C40D8">
              <w:rPr>
                <w:i/>
                <w:iCs/>
              </w:rPr>
              <w:t>159</w:t>
            </w:r>
          </w:p>
        </w:tc>
        <w:tc>
          <w:tcPr>
            <w:tcW w:w="1200" w:type="dxa"/>
            <w:tcBorders>
              <w:top w:val="nil"/>
              <w:left w:val="nil"/>
              <w:bottom w:val="single" w:sz="4" w:space="0" w:color="auto"/>
              <w:right w:val="single" w:sz="4" w:space="0" w:color="auto"/>
            </w:tcBorders>
            <w:shd w:val="clear" w:color="000000" w:fill="E2EFDA"/>
            <w:noWrap/>
            <w:vAlign w:val="center"/>
            <w:hideMark/>
          </w:tcPr>
          <w:p w14:paraId="0F2F5BAB" w14:textId="77777777" w:rsidR="00B27886" w:rsidRPr="002C40D8" w:rsidRDefault="00B27886" w:rsidP="00B27886">
            <w:pPr>
              <w:widowControl/>
              <w:spacing w:before="0" w:after="0" w:line="0" w:lineRule="atLeast"/>
              <w:jc w:val="center"/>
              <w:rPr>
                <w:i/>
                <w:iCs/>
              </w:rPr>
            </w:pPr>
            <w:r w:rsidRPr="002C40D8">
              <w:rPr>
                <w:i/>
                <w:iCs/>
              </w:rPr>
              <w:t>130</w:t>
            </w:r>
          </w:p>
        </w:tc>
      </w:tr>
      <w:tr w:rsidR="00B27886" w:rsidRPr="00471175" w14:paraId="09243355" w14:textId="77777777" w:rsidTr="008B5BE3">
        <w:trPr>
          <w:trHeight w:val="345"/>
        </w:trPr>
        <w:tc>
          <w:tcPr>
            <w:tcW w:w="704" w:type="dxa"/>
            <w:vMerge/>
            <w:tcBorders>
              <w:top w:val="nil"/>
              <w:left w:val="single" w:sz="4" w:space="0" w:color="auto"/>
              <w:bottom w:val="single" w:sz="4" w:space="0" w:color="auto"/>
              <w:right w:val="single" w:sz="4" w:space="0" w:color="auto"/>
            </w:tcBorders>
            <w:vAlign w:val="center"/>
          </w:tcPr>
          <w:p w14:paraId="3AE0DD10" w14:textId="77777777" w:rsidR="00B27886" w:rsidRPr="002C40D8" w:rsidRDefault="00B27886" w:rsidP="00B27886">
            <w:pPr>
              <w:widowControl/>
              <w:spacing w:before="0" w:after="0" w:line="0" w:lineRule="atLeast"/>
              <w:rPr>
                <w:b/>
                <w:bCs/>
              </w:rPr>
            </w:pPr>
          </w:p>
        </w:tc>
        <w:tc>
          <w:tcPr>
            <w:tcW w:w="2516" w:type="dxa"/>
            <w:tcBorders>
              <w:top w:val="nil"/>
              <w:left w:val="nil"/>
              <w:bottom w:val="single" w:sz="4" w:space="0" w:color="auto"/>
              <w:right w:val="single" w:sz="4" w:space="0" w:color="auto"/>
            </w:tcBorders>
            <w:shd w:val="clear" w:color="000000" w:fill="E2EFDA"/>
            <w:vAlign w:val="center"/>
          </w:tcPr>
          <w:p w14:paraId="5F8D7C10" w14:textId="4A3F9654" w:rsidR="00B27886" w:rsidRPr="002C40D8" w:rsidRDefault="00B27886" w:rsidP="00B27886">
            <w:pPr>
              <w:widowControl/>
              <w:spacing w:before="0" w:after="0" w:line="0" w:lineRule="atLeast"/>
              <w:jc w:val="center"/>
              <w:rPr>
                <w:b/>
                <w:bCs/>
              </w:rPr>
            </w:pPr>
            <w:r w:rsidRPr="002C40D8">
              <w:rPr>
                <w:rFonts w:hint="eastAsia"/>
                <w:b/>
                <w:bCs/>
              </w:rPr>
              <w:t>應盤查</w:t>
            </w:r>
            <w:r w:rsidRPr="002C40D8">
              <w:rPr>
                <w:b/>
                <w:bCs/>
              </w:rPr>
              <w:t>資產</w:t>
            </w:r>
            <w:r w:rsidRPr="002C40D8">
              <w:rPr>
                <w:rFonts w:hint="eastAsia"/>
                <w:b/>
                <w:bCs/>
              </w:rPr>
              <w:t>巿值</w:t>
            </w:r>
            <w:r w:rsidRPr="002C40D8">
              <w:rPr>
                <w:rFonts w:hint="eastAsia"/>
                <w:b/>
                <w:bCs/>
              </w:rPr>
              <w:t>(</w:t>
            </w:r>
            <w:r w:rsidR="00A17D6F" w:rsidRPr="002C40D8">
              <w:rPr>
                <w:b/>
                <w:bCs/>
              </w:rPr>
              <w:t>A2</w:t>
            </w:r>
            <w:r w:rsidRPr="002C40D8">
              <w:rPr>
                <w:b/>
                <w:bCs/>
              </w:rPr>
              <w:t>)</w:t>
            </w:r>
            <w:r w:rsidR="008178A1" w:rsidRPr="002C40D8">
              <w:rPr>
                <w:b/>
                <w:bCs/>
              </w:rPr>
              <w:t xml:space="preserve"> </w:t>
            </w:r>
          </w:p>
        </w:tc>
        <w:tc>
          <w:tcPr>
            <w:tcW w:w="2580" w:type="dxa"/>
            <w:tcBorders>
              <w:top w:val="nil"/>
              <w:left w:val="nil"/>
              <w:bottom w:val="single" w:sz="4" w:space="0" w:color="auto"/>
              <w:right w:val="single" w:sz="4" w:space="0" w:color="auto"/>
            </w:tcBorders>
            <w:shd w:val="clear" w:color="000000" w:fill="E2EFDA"/>
            <w:noWrap/>
            <w:vAlign w:val="center"/>
          </w:tcPr>
          <w:p w14:paraId="51DD5611" w14:textId="140664AC" w:rsidR="00B27886" w:rsidRPr="002C40D8" w:rsidRDefault="00B27886" w:rsidP="00B27886">
            <w:pPr>
              <w:widowControl/>
              <w:spacing w:before="0" w:after="0" w:line="0" w:lineRule="atLeast"/>
              <w:jc w:val="center"/>
            </w:pPr>
            <w:r w:rsidRPr="002C40D8">
              <w:t>百萬元</w:t>
            </w:r>
          </w:p>
        </w:tc>
        <w:tc>
          <w:tcPr>
            <w:tcW w:w="1200" w:type="dxa"/>
            <w:tcBorders>
              <w:top w:val="nil"/>
              <w:left w:val="nil"/>
              <w:bottom w:val="single" w:sz="4" w:space="0" w:color="auto"/>
              <w:right w:val="single" w:sz="4" w:space="0" w:color="auto"/>
            </w:tcBorders>
            <w:shd w:val="clear" w:color="000000" w:fill="E2EFDA"/>
            <w:noWrap/>
            <w:vAlign w:val="center"/>
          </w:tcPr>
          <w:p w14:paraId="333BA55D" w14:textId="5450C93D" w:rsidR="00B27886" w:rsidRPr="002C40D8" w:rsidRDefault="00B27886" w:rsidP="00B27886">
            <w:pPr>
              <w:widowControl/>
              <w:spacing w:before="0" w:after="0" w:line="0" w:lineRule="atLeast"/>
              <w:jc w:val="center"/>
              <w:rPr>
                <w:i/>
                <w:iCs/>
              </w:rPr>
            </w:pPr>
            <w:r w:rsidRPr="002C40D8">
              <w:rPr>
                <w:i/>
                <w:iCs/>
              </w:rPr>
              <w:t>226,344</w:t>
            </w:r>
          </w:p>
        </w:tc>
        <w:tc>
          <w:tcPr>
            <w:tcW w:w="1200" w:type="dxa"/>
            <w:tcBorders>
              <w:top w:val="nil"/>
              <w:left w:val="nil"/>
              <w:bottom w:val="single" w:sz="4" w:space="0" w:color="auto"/>
              <w:right w:val="single" w:sz="4" w:space="0" w:color="auto"/>
            </w:tcBorders>
            <w:shd w:val="clear" w:color="000000" w:fill="E2EFDA"/>
            <w:noWrap/>
            <w:vAlign w:val="center"/>
          </w:tcPr>
          <w:p w14:paraId="1243BCCD" w14:textId="3A451030" w:rsidR="00B27886" w:rsidRPr="002C40D8" w:rsidRDefault="00B27886" w:rsidP="00B27886">
            <w:pPr>
              <w:widowControl/>
              <w:spacing w:before="0" w:after="0" w:line="0" w:lineRule="atLeast"/>
              <w:jc w:val="center"/>
              <w:rPr>
                <w:i/>
                <w:iCs/>
              </w:rPr>
            </w:pPr>
            <w:r w:rsidRPr="002C40D8">
              <w:rPr>
                <w:i/>
                <w:iCs/>
              </w:rPr>
              <w:t>272,325</w:t>
            </w:r>
          </w:p>
        </w:tc>
        <w:tc>
          <w:tcPr>
            <w:tcW w:w="1200" w:type="dxa"/>
            <w:tcBorders>
              <w:top w:val="nil"/>
              <w:left w:val="nil"/>
              <w:bottom w:val="single" w:sz="4" w:space="0" w:color="auto"/>
              <w:right w:val="single" w:sz="4" w:space="0" w:color="auto"/>
            </w:tcBorders>
            <w:shd w:val="clear" w:color="000000" w:fill="E2EFDA"/>
            <w:noWrap/>
            <w:vAlign w:val="center"/>
          </w:tcPr>
          <w:p w14:paraId="4BAEBA0C" w14:textId="068AD1EA" w:rsidR="00B27886" w:rsidRPr="002C40D8" w:rsidRDefault="00B27886" w:rsidP="00B27886">
            <w:pPr>
              <w:widowControl/>
              <w:spacing w:before="0" w:after="0" w:line="0" w:lineRule="atLeast"/>
              <w:jc w:val="center"/>
              <w:rPr>
                <w:i/>
                <w:iCs/>
              </w:rPr>
            </w:pPr>
            <w:r w:rsidRPr="002C40D8">
              <w:rPr>
                <w:i/>
                <w:iCs/>
              </w:rPr>
              <w:t>254,189</w:t>
            </w:r>
          </w:p>
        </w:tc>
      </w:tr>
      <w:tr w:rsidR="008178A1" w:rsidRPr="00471175" w14:paraId="34FC0D4C" w14:textId="77777777" w:rsidTr="008178A1">
        <w:trPr>
          <w:trHeight w:val="272"/>
        </w:trPr>
        <w:tc>
          <w:tcPr>
            <w:tcW w:w="704" w:type="dxa"/>
            <w:vMerge/>
            <w:tcBorders>
              <w:top w:val="nil"/>
              <w:left w:val="single" w:sz="4" w:space="0" w:color="auto"/>
              <w:bottom w:val="single" w:sz="4" w:space="0" w:color="auto"/>
              <w:right w:val="single" w:sz="4" w:space="0" w:color="auto"/>
            </w:tcBorders>
            <w:vAlign w:val="center"/>
          </w:tcPr>
          <w:p w14:paraId="1EC300C0" w14:textId="77777777" w:rsidR="008178A1" w:rsidRPr="002C40D8" w:rsidRDefault="008178A1" w:rsidP="00B27886">
            <w:pPr>
              <w:widowControl/>
              <w:spacing w:before="0" w:after="0" w:line="0" w:lineRule="atLeast"/>
              <w:rPr>
                <w:b/>
                <w:bCs/>
              </w:rPr>
            </w:pPr>
          </w:p>
        </w:tc>
        <w:tc>
          <w:tcPr>
            <w:tcW w:w="2516" w:type="dxa"/>
            <w:tcBorders>
              <w:top w:val="nil"/>
              <w:left w:val="nil"/>
              <w:right w:val="single" w:sz="4" w:space="0" w:color="auto"/>
            </w:tcBorders>
            <w:shd w:val="clear" w:color="000000" w:fill="E2EFDA"/>
            <w:vAlign w:val="center"/>
          </w:tcPr>
          <w:p w14:paraId="3A00819E" w14:textId="1409F988" w:rsidR="008178A1" w:rsidRPr="00377B46" w:rsidRDefault="008178A1" w:rsidP="00B27886">
            <w:pPr>
              <w:widowControl/>
              <w:spacing w:before="0" w:after="0" w:line="0" w:lineRule="atLeast"/>
              <w:jc w:val="center"/>
              <w:rPr>
                <w:b/>
                <w:bCs/>
              </w:rPr>
            </w:pPr>
            <w:r w:rsidRPr="00377B46">
              <w:rPr>
                <w:b/>
                <w:bCs/>
              </w:rPr>
              <w:t>盤查</w:t>
            </w:r>
            <w:r w:rsidR="00E709C2" w:rsidRPr="00377B46">
              <w:rPr>
                <w:rFonts w:hint="eastAsia"/>
                <w:b/>
                <w:bCs/>
              </w:rPr>
              <w:t>覆</w:t>
            </w:r>
            <w:r w:rsidRPr="00377B46">
              <w:rPr>
                <w:b/>
                <w:bCs/>
              </w:rPr>
              <w:t>蓋率</w:t>
            </w:r>
            <w:r w:rsidRPr="00377B46">
              <w:rPr>
                <w:rFonts w:hint="eastAsia"/>
                <w:b/>
                <w:bCs/>
              </w:rPr>
              <w:t>(</w:t>
            </w:r>
            <w:r w:rsidRPr="00377B46">
              <w:rPr>
                <w:b/>
                <w:bCs/>
              </w:rPr>
              <w:t>A1/A2)</w:t>
            </w:r>
          </w:p>
        </w:tc>
        <w:tc>
          <w:tcPr>
            <w:tcW w:w="2580" w:type="dxa"/>
            <w:tcBorders>
              <w:top w:val="nil"/>
              <w:left w:val="nil"/>
              <w:right w:val="single" w:sz="4" w:space="0" w:color="auto"/>
            </w:tcBorders>
            <w:shd w:val="clear" w:color="000000" w:fill="E2EFDA"/>
            <w:noWrap/>
            <w:vAlign w:val="center"/>
          </w:tcPr>
          <w:p w14:paraId="40796942" w14:textId="2E9B1AE0" w:rsidR="008178A1" w:rsidRPr="002C40D8" w:rsidRDefault="008178A1" w:rsidP="00B27886">
            <w:pPr>
              <w:widowControl/>
              <w:spacing w:before="0" w:after="0" w:line="0" w:lineRule="atLeast"/>
              <w:jc w:val="center"/>
            </w:pPr>
            <w:r w:rsidRPr="002C40D8">
              <w:t>%</w:t>
            </w:r>
          </w:p>
        </w:tc>
        <w:tc>
          <w:tcPr>
            <w:tcW w:w="1200" w:type="dxa"/>
            <w:tcBorders>
              <w:top w:val="nil"/>
              <w:left w:val="nil"/>
              <w:right w:val="single" w:sz="4" w:space="0" w:color="auto"/>
            </w:tcBorders>
            <w:shd w:val="clear" w:color="000000" w:fill="E2EFDA"/>
            <w:noWrap/>
            <w:vAlign w:val="center"/>
          </w:tcPr>
          <w:p w14:paraId="0CC7E12C" w14:textId="0F62CE02" w:rsidR="008178A1" w:rsidRPr="002C40D8" w:rsidRDefault="008178A1" w:rsidP="00B27886">
            <w:pPr>
              <w:widowControl/>
              <w:spacing w:before="0" w:after="0" w:line="0" w:lineRule="atLeast"/>
              <w:jc w:val="center"/>
              <w:rPr>
                <w:i/>
                <w:iCs/>
              </w:rPr>
            </w:pPr>
            <w:r w:rsidRPr="002C40D8">
              <w:rPr>
                <w:i/>
                <w:iCs/>
              </w:rPr>
              <w:t>96</w:t>
            </w:r>
          </w:p>
        </w:tc>
        <w:tc>
          <w:tcPr>
            <w:tcW w:w="1200" w:type="dxa"/>
            <w:tcBorders>
              <w:top w:val="nil"/>
              <w:left w:val="nil"/>
              <w:right w:val="single" w:sz="4" w:space="0" w:color="auto"/>
            </w:tcBorders>
            <w:shd w:val="clear" w:color="000000" w:fill="E2EFDA"/>
            <w:noWrap/>
            <w:vAlign w:val="center"/>
          </w:tcPr>
          <w:p w14:paraId="6B160071" w14:textId="5C85D2E7" w:rsidR="008178A1" w:rsidRPr="002C40D8" w:rsidRDefault="008178A1" w:rsidP="00B27886">
            <w:pPr>
              <w:widowControl/>
              <w:spacing w:before="0" w:after="0" w:line="0" w:lineRule="atLeast"/>
              <w:jc w:val="center"/>
              <w:rPr>
                <w:i/>
                <w:iCs/>
              </w:rPr>
            </w:pPr>
            <w:r w:rsidRPr="002C40D8">
              <w:rPr>
                <w:i/>
                <w:iCs/>
              </w:rPr>
              <w:t>96</w:t>
            </w:r>
          </w:p>
        </w:tc>
        <w:tc>
          <w:tcPr>
            <w:tcW w:w="1200" w:type="dxa"/>
            <w:tcBorders>
              <w:top w:val="nil"/>
              <w:left w:val="nil"/>
              <w:right w:val="single" w:sz="4" w:space="0" w:color="auto"/>
            </w:tcBorders>
            <w:shd w:val="clear" w:color="000000" w:fill="E2EFDA"/>
            <w:noWrap/>
            <w:vAlign w:val="center"/>
          </w:tcPr>
          <w:p w14:paraId="461BD660" w14:textId="14F8E041" w:rsidR="008178A1" w:rsidRPr="002C40D8" w:rsidRDefault="008178A1" w:rsidP="00B27886">
            <w:pPr>
              <w:widowControl/>
              <w:spacing w:before="0" w:after="0" w:line="0" w:lineRule="atLeast"/>
              <w:jc w:val="center"/>
              <w:rPr>
                <w:i/>
                <w:iCs/>
              </w:rPr>
            </w:pPr>
            <w:r w:rsidRPr="002C40D8">
              <w:rPr>
                <w:i/>
                <w:iCs/>
              </w:rPr>
              <w:t>97</w:t>
            </w:r>
          </w:p>
        </w:tc>
      </w:tr>
      <w:tr w:rsidR="00B27886" w:rsidRPr="00471175" w14:paraId="45A3672B" w14:textId="77777777" w:rsidTr="00B27886">
        <w:trPr>
          <w:trHeight w:val="272"/>
        </w:trPr>
        <w:tc>
          <w:tcPr>
            <w:tcW w:w="704" w:type="dxa"/>
            <w:vMerge w:val="restart"/>
            <w:tcBorders>
              <w:top w:val="nil"/>
              <w:left w:val="single" w:sz="4" w:space="0" w:color="auto"/>
              <w:bottom w:val="single" w:sz="4" w:space="0" w:color="auto"/>
              <w:right w:val="single" w:sz="4" w:space="0" w:color="auto"/>
            </w:tcBorders>
            <w:shd w:val="clear" w:color="000000" w:fill="DDEBF7"/>
            <w:vAlign w:val="center"/>
            <w:hideMark/>
          </w:tcPr>
          <w:p w14:paraId="6D8B0FE7" w14:textId="6E6EDE86" w:rsidR="00B27886" w:rsidRPr="002C40D8" w:rsidRDefault="00B27886" w:rsidP="00B27886">
            <w:pPr>
              <w:widowControl/>
              <w:spacing w:before="0" w:after="0" w:line="0" w:lineRule="atLeast"/>
              <w:jc w:val="center"/>
              <w:rPr>
                <w:b/>
                <w:bCs/>
              </w:rPr>
            </w:pPr>
            <w:r w:rsidRPr="002C40D8">
              <w:rPr>
                <w:rFonts w:hint="eastAsia"/>
                <w:b/>
                <w:bCs/>
              </w:rPr>
              <w:t>公司債</w:t>
            </w:r>
          </w:p>
        </w:tc>
        <w:tc>
          <w:tcPr>
            <w:tcW w:w="2516" w:type="dxa"/>
            <w:tcBorders>
              <w:top w:val="single" w:sz="4" w:space="0" w:color="auto"/>
              <w:left w:val="nil"/>
              <w:right w:val="single" w:sz="4" w:space="0" w:color="auto"/>
            </w:tcBorders>
            <w:shd w:val="clear" w:color="000000" w:fill="DDEBF7"/>
            <w:noWrap/>
            <w:vAlign w:val="center"/>
          </w:tcPr>
          <w:p w14:paraId="0AEE13BF" w14:textId="61ACE4F7" w:rsidR="00B27886" w:rsidRPr="00377B46" w:rsidRDefault="00B27886" w:rsidP="00A453B3">
            <w:pPr>
              <w:spacing w:before="0" w:after="0" w:line="0" w:lineRule="atLeast"/>
              <w:jc w:val="center"/>
              <w:rPr>
                <w:b/>
                <w:bCs/>
              </w:rPr>
            </w:pPr>
            <w:r w:rsidRPr="00377B46">
              <w:rPr>
                <w:rFonts w:hint="eastAsia"/>
                <w:b/>
                <w:bCs/>
              </w:rPr>
              <w:t>已盤查</w:t>
            </w:r>
            <w:r w:rsidRPr="00377B46">
              <w:rPr>
                <w:b/>
                <w:bCs/>
              </w:rPr>
              <w:t>資產</w:t>
            </w:r>
            <w:r w:rsidRPr="00377B46">
              <w:rPr>
                <w:rFonts w:hint="eastAsia"/>
                <w:b/>
                <w:bCs/>
              </w:rPr>
              <w:t>巿值</w:t>
            </w:r>
            <w:r w:rsidRPr="00377B46">
              <w:rPr>
                <w:rFonts w:hint="eastAsia"/>
                <w:b/>
                <w:bCs/>
              </w:rPr>
              <w:t>(</w:t>
            </w:r>
            <w:r w:rsidR="00A17D6F" w:rsidRPr="00377B46">
              <w:rPr>
                <w:b/>
                <w:bCs/>
              </w:rPr>
              <w:t>B1</w:t>
            </w:r>
            <w:r w:rsidRPr="00377B46">
              <w:rPr>
                <w:b/>
                <w:bCs/>
              </w:rPr>
              <w:t>)</w:t>
            </w:r>
          </w:p>
        </w:tc>
        <w:tc>
          <w:tcPr>
            <w:tcW w:w="2580" w:type="dxa"/>
            <w:tcBorders>
              <w:top w:val="single" w:sz="4" w:space="0" w:color="auto"/>
              <w:left w:val="nil"/>
              <w:right w:val="single" w:sz="4" w:space="0" w:color="auto"/>
            </w:tcBorders>
            <w:shd w:val="clear" w:color="000000" w:fill="DDEBF7"/>
            <w:noWrap/>
            <w:vAlign w:val="center"/>
          </w:tcPr>
          <w:p w14:paraId="6A783F8E" w14:textId="3BDDD7F8" w:rsidR="00B27886" w:rsidRPr="002C40D8" w:rsidRDefault="00B27886" w:rsidP="00542EFA">
            <w:pPr>
              <w:spacing w:before="0" w:after="0" w:line="0" w:lineRule="atLeast"/>
              <w:jc w:val="center"/>
            </w:pPr>
            <w:r w:rsidRPr="002C40D8">
              <w:t>百萬元</w:t>
            </w:r>
          </w:p>
        </w:tc>
        <w:tc>
          <w:tcPr>
            <w:tcW w:w="1200" w:type="dxa"/>
            <w:tcBorders>
              <w:top w:val="single" w:sz="4" w:space="0" w:color="auto"/>
              <w:left w:val="nil"/>
              <w:right w:val="single" w:sz="4" w:space="0" w:color="auto"/>
            </w:tcBorders>
            <w:shd w:val="clear" w:color="000000" w:fill="DDEBF7"/>
            <w:noWrap/>
            <w:vAlign w:val="center"/>
          </w:tcPr>
          <w:p w14:paraId="222B1B21" w14:textId="345B231B" w:rsidR="00B27886" w:rsidRPr="002C40D8" w:rsidRDefault="00B27886" w:rsidP="00B27886">
            <w:pPr>
              <w:widowControl/>
              <w:spacing w:before="0" w:after="0" w:line="0" w:lineRule="atLeast"/>
              <w:jc w:val="center"/>
              <w:rPr>
                <w:i/>
                <w:iCs/>
              </w:rPr>
            </w:pPr>
            <w:r w:rsidRPr="002C40D8">
              <w:rPr>
                <w:rFonts w:hint="eastAsia"/>
                <w:i/>
                <w:iCs/>
              </w:rPr>
              <w:t>4</w:t>
            </w:r>
            <w:r w:rsidRPr="002C40D8">
              <w:rPr>
                <w:i/>
                <w:iCs/>
              </w:rPr>
              <w:t>5,064</w:t>
            </w:r>
          </w:p>
        </w:tc>
        <w:tc>
          <w:tcPr>
            <w:tcW w:w="1200" w:type="dxa"/>
            <w:tcBorders>
              <w:top w:val="single" w:sz="4" w:space="0" w:color="auto"/>
              <w:left w:val="nil"/>
              <w:right w:val="single" w:sz="4" w:space="0" w:color="auto"/>
            </w:tcBorders>
            <w:shd w:val="clear" w:color="000000" w:fill="DDEBF7"/>
            <w:noWrap/>
            <w:vAlign w:val="center"/>
          </w:tcPr>
          <w:p w14:paraId="6ABC9415" w14:textId="0980E8C0" w:rsidR="00B27886" w:rsidRPr="002C40D8" w:rsidRDefault="00B27886" w:rsidP="00B27886">
            <w:pPr>
              <w:widowControl/>
              <w:spacing w:before="0" w:after="0" w:line="0" w:lineRule="atLeast"/>
              <w:jc w:val="center"/>
              <w:rPr>
                <w:i/>
                <w:iCs/>
              </w:rPr>
            </w:pPr>
            <w:r w:rsidRPr="002C40D8">
              <w:rPr>
                <w:rFonts w:hint="eastAsia"/>
                <w:i/>
                <w:iCs/>
              </w:rPr>
              <w:t>5</w:t>
            </w:r>
            <w:r w:rsidRPr="002C40D8">
              <w:rPr>
                <w:i/>
                <w:iCs/>
              </w:rPr>
              <w:t>7,638</w:t>
            </w:r>
          </w:p>
        </w:tc>
        <w:tc>
          <w:tcPr>
            <w:tcW w:w="1200" w:type="dxa"/>
            <w:tcBorders>
              <w:top w:val="single" w:sz="4" w:space="0" w:color="auto"/>
              <w:left w:val="nil"/>
              <w:right w:val="single" w:sz="4" w:space="0" w:color="auto"/>
            </w:tcBorders>
            <w:shd w:val="clear" w:color="000000" w:fill="DDEBF7"/>
            <w:noWrap/>
            <w:vAlign w:val="center"/>
          </w:tcPr>
          <w:p w14:paraId="5F89D453" w14:textId="69921FA0" w:rsidR="00B27886" w:rsidRPr="002C40D8" w:rsidRDefault="00B27886" w:rsidP="00B27886">
            <w:pPr>
              <w:widowControl/>
              <w:spacing w:before="0" w:after="0" w:line="0" w:lineRule="atLeast"/>
              <w:jc w:val="center"/>
              <w:rPr>
                <w:i/>
                <w:iCs/>
              </w:rPr>
            </w:pPr>
            <w:r w:rsidRPr="002C40D8">
              <w:rPr>
                <w:rFonts w:hint="eastAsia"/>
                <w:i/>
                <w:iCs/>
              </w:rPr>
              <w:t>5</w:t>
            </w:r>
            <w:r w:rsidRPr="002C40D8">
              <w:rPr>
                <w:i/>
                <w:iCs/>
              </w:rPr>
              <w:t>7,717</w:t>
            </w:r>
          </w:p>
        </w:tc>
      </w:tr>
      <w:tr w:rsidR="00B27886" w:rsidRPr="00471175" w14:paraId="26FFAB26" w14:textId="77777777" w:rsidTr="008B5BE3">
        <w:trPr>
          <w:trHeight w:val="345"/>
        </w:trPr>
        <w:tc>
          <w:tcPr>
            <w:tcW w:w="704" w:type="dxa"/>
            <w:vMerge/>
            <w:tcBorders>
              <w:top w:val="nil"/>
              <w:left w:val="single" w:sz="4" w:space="0" w:color="auto"/>
              <w:bottom w:val="single" w:sz="4" w:space="0" w:color="auto"/>
              <w:right w:val="single" w:sz="4" w:space="0" w:color="auto"/>
            </w:tcBorders>
            <w:vAlign w:val="center"/>
            <w:hideMark/>
          </w:tcPr>
          <w:p w14:paraId="28B9AF7E" w14:textId="77777777" w:rsidR="00B27886" w:rsidRPr="002C40D8" w:rsidRDefault="00B27886" w:rsidP="00B27886">
            <w:pPr>
              <w:widowControl/>
              <w:spacing w:before="0" w:after="0" w:line="0" w:lineRule="atLeast"/>
              <w:rPr>
                <w:b/>
                <w:bCs/>
              </w:rPr>
            </w:pPr>
          </w:p>
        </w:tc>
        <w:tc>
          <w:tcPr>
            <w:tcW w:w="2516" w:type="dxa"/>
            <w:tcBorders>
              <w:top w:val="single" w:sz="4" w:space="0" w:color="auto"/>
              <w:left w:val="nil"/>
              <w:bottom w:val="single" w:sz="4" w:space="0" w:color="auto"/>
              <w:right w:val="single" w:sz="4" w:space="0" w:color="auto"/>
            </w:tcBorders>
            <w:shd w:val="clear" w:color="000000" w:fill="DDEBF7"/>
            <w:noWrap/>
            <w:vAlign w:val="center"/>
            <w:hideMark/>
          </w:tcPr>
          <w:p w14:paraId="768E4A90" w14:textId="4B277F19" w:rsidR="00B27886" w:rsidRPr="00377B46" w:rsidRDefault="00B27886" w:rsidP="00B27886">
            <w:pPr>
              <w:widowControl/>
              <w:spacing w:before="0" w:after="0" w:line="0" w:lineRule="atLeast"/>
              <w:jc w:val="center"/>
              <w:rPr>
                <w:b/>
                <w:bCs/>
              </w:rPr>
            </w:pPr>
            <w:r w:rsidRPr="00377B46">
              <w:rPr>
                <w:b/>
                <w:bCs/>
              </w:rPr>
              <w:t>承擔碳排</w:t>
            </w:r>
          </w:p>
        </w:tc>
        <w:tc>
          <w:tcPr>
            <w:tcW w:w="2580" w:type="dxa"/>
            <w:tcBorders>
              <w:top w:val="single" w:sz="4" w:space="0" w:color="auto"/>
              <w:left w:val="nil"/>
              <w:bottom w:val="single" w:sz="4" w:space="0" w:color="auto"/>
              <w:right w:val="single" w:sz="4" w:space="0" w:color="auto"/>
            </w:tcBorders>
            <w:shd w:val="clear" w:color="000000" w:fill="DDEBF7"/>
            <w:noWrap/>
            <w:vAlign w:val="center"/>
            <w:hideMark/>
          </w:tcPr>
          <w:p w14:paraId="4BCF75B1" w14:textId="77777777" w:rsidR="00B27886" w:rsidRPr="002C40D8" w:rsidRDefault="00B27886" w:rsidP="00B27886">
            <w:pPr>
              <w:widowControl/>
              <w:spacing w:before="0" w:after="0" w:line="0" w:lineRule="atLeast"/>
              <w:jc w:val="center"/>
            </w:pPr>
            <w:r w:rsidRPr="002C40D8">
              <w:t>百萬公噸</w:t>
            </w:r>
            <w:r w:rsidRPr="002C40D8">
              <w:t>CO2e</w:t>
            </w:r>
          </w:p>
        </w:tc>
        <w:tc>
          <w:tcPr>
            <w:tcW w:w="1200" w:type="dxa"/>
            <w:tcBorders>
              <w:top w:val="single" w:sz="4" w:space="0" w:color="auto"/>
              <w:left w:val="nil"/>
              <w:bottom w:val="single" w:sz="4" w:space="0" w:color="auto"/>
              <w:right w:val="single" w:sz="4" w:space="0" w:color="auto"/>
            </w:tcBorders>
            <w:shd w:val="clear" w:color="000000" w:fill="DDEBF7"/>
            <w:noWrap/>
            <w:vAlign w:val="center"/>
            <w:hideMark/>
          </w:tcPr>
          <w:p w14:paraId="70E2D90B" w14:textId="77777777" w:rsidR="00B27886" w:rsidRPr="002C40D8" w:rsidRDefault="00B27886" w:rsidP="00B27886">
            <w:pPr>
              <w:widowControl/>
              <w:spacing w:before="0" w:after="0" w:line="0" w:lineRule="atLeast"/>
              <w:jc w:val="center"/>
              <w:rPr>
                <w:i/>
                <w:iCs/>
              </w:rPr>
            </w:pPr>
            <w:r w:rsidRPr="002C40D8">
              <w:rPr>
                <w:i/>
                <w:iCs/>
              </w:rPr>
              <w:t>9</w:t>
            </w:r>
          </w:p>
        </w:tc>
        <w:tc>
          <w:tcPr>
            <w:tcW w:w="1200" w:type="dxa"/>
            <w:tcBorders>
              <w:top w:val="single" w:sz="4" w:space="0" w:color="auto"/>
              <w:left w:val="nil"/>
              <w:bottom w:val="single" w:sz="4" w:space="0" w:color="auto"/>
              <w:right w:val="single" w:sz="4" w:space="0" w:color="auto"/>
            </w:tcBorders>
            <w:shd w:val="clear" w:color="000000" w:fill="DDEBF7"/>
            <w:noWrap/>
            <w:vAlign w:val="center"/>
            <w:hideMark/>
          </w:tcPr>
          <w:p w14:paraId="49AD81B8" w14:textId="77777777" w:rsidR="00B27886" w:rsidRPr="002C40D8" w:rsidRDefault="00B27886" w:rsidP="00B27886">
            <w:pPr>
              <w:widowControl/>
              <w:spacing w:before="0" w:after="0" w:line="0" w:lineRule="atLeast"/>
              <w:jc w:val="center"/>
              <w:rPr>
                <w:i/>
                <w:iCs/>
              </w:rPr>
            </w:pPr>
            <w:r w:rsidRPr="002C40D8">
              <w:rPr>
                <w:i/>
                <w:iCs/>
              </w:rPr>
              <w:t>9</w:t>
            </w:r>
          </w:p>
        </w:tc>
        <w:tc>
          <w:tcPr>
            <w:tcW w:w="1200" w:type="dxa"/>
            <w:tcBorders>
              <w:top w:val="single" w:sz="4" w:space="0" w:color="auto"/>
              <w:left w:val="nil"/>
              <w:bottom w:val="single" w:sz="4" w:space="0" w:color="auto"/>
              <w:right w:val="single" w:sz="4" w:space="0" w:color="auto"/>
            </w:tcBorders>
            <w:shd w:val="clear" w:color="000000" w:fill="DDEBF7"/>
            <w:noWrap/>
            <w:vAlign w:val="center"/>
            <w:hideMark/>
          </w:tcPr>
          <w:p w14:paraId="20563A1A" w14:textId="77777777" w:rsidR="00B27886" w:rsidRPr="002C40D8" w:rsidRDefault="00B27886" w:rsidP="00B27886">
            <w:pPr>
              <w:widowControl/>
              <w:spacing w:before="0" w:after="0" w:line="0" w:lineRule="atLeast"/>
              <w:jc w:val="center"/>
              <w:rPr>
                <w:i/>
                <w:iCs/>
              </w:rPr>
            </w:pPr>
            <w:r w:rsidRPr="002C40D8">
              <w:rPr>
                <w:i/>
                <w:iCs/>
              </w:rPr>
              <w:t>7</w:t>
            </w:r>
          </w:p>
        </w:tc>
      </w:tr>
      <w:tr w:rsidR="00B27886" w:rsidRPr="00471175" w14:paraId="15D70D8A" w14:textId="77777777" w:rsidTr="008B5BE3">
        <w:trPr>
          <w:trHeight w:val="345"/>
        </w:trPr>
        <w:tc>
          <w:tcPr>
            <w:tcW w:w="704" w:type="dxa"/>
            <w:vMerge/>
            <w:tcBorders>
              <w:top w:val="nil"/>
              <w:left w:val="single" w:sz="4" w:space="0" w:color="auto"/>
              <w:bottom w:val="single" w:sz="4" w:space="0" w:color="auto"/>
              <w:right w:val="single" w:sz="4" w:space="0" w:color="auto"/>
            </w:tcBorders>
            <w:vAlign w:val="center"/>
            <w:hideMark/>
          </w:tcPr>
          <w:p w14:paraId="39559105" w14:textId="77777777" w:rsidR="00B27886" w:rsidRPr="002C40D8" w:rsidRDefault="00B27886" w:rsidP="00B27886">
            <w:pPr>
              <w:widowControl/>
              <w:spacing w:before="0" w:after="0" w:line="0" w:lineRule="atLeast"/>
              <w:rPr>
                <w:b/>
                <w:bCs/>
              </w:rPr>
            </w:pPr>
          </w:p>
        </w:tc>
        <w:tc>
          <w:tcPr>
            <w:tcW w:w="2516" w:type="dxa"/>
            <w:tcBorders>
              <w:top w:val="single" w:sz="4" w:space="0" w:color="auto"/>
              <w:left w:val="nil"/>
              <w:bottom w:val="single" w:sz="4" w:space="0" w:color="auto"/>
              <w:right w:val="single" w:sz="4" w:space="0" w:color="auto"/>
            </w:tcBorders>
            <w:shd w:val="clear" w:color="000000" w:fill="DDEBF7"/>
            <w:vAlign w:val="center"/>
            <w:hideMark/>
          </w:tcPr>
          <w:p w14:paraId="22A939D8" w14:textId="5513E14F" w:rsidR="00B27886" w:rsidRPr="00377B46" w:rsidRDefault="00B27886" w:rsidP="00B27886">
            <w:pPr>
              <w:widowControl/>
              <w:spacing w:before="0" w:after="0" w:line="0" w:lineRule="atLeast"/>
              <w:jc w:val="center"/>
              <w:rPr>
                <w:b/>
                <w:bCs/>
              </w:rPr>
            </w:pPr>
            <w:r w:rsidRPr="00377B46">
              <w:rPr>
                <w:b/>
                <w:bCs/>
              </w:rPr>
              <w:t>碳足跡</w:t>
            </w:r>
          </w:p>
        </w:tc>
        <w:tc>
          <w:tcPr>
            <w:tcW w:w="2580" w:type="dxa"/>
            <w:tcBorders>
              <w:top w:val="single" w:sz="4" w:space="0" w:color="auto"/>
              <w:left w:val="nil"/>
              <w:bottom w:val="single" w:sz="4" w:space="0" w:color="auto"/>
              <w:right w:val="single" w:sz="4" w:space="0" w:color="auto"/>
            </w:tcBorders>
            <w:shd w:val="clear" w:color="000000" w:fill="DDEBF7"/>
            <w:noWrap/>
            <w:vAlign w:val="center"/>
            <w:hideMark/>
          </w:tcPr>
          <w:p w14:paraId="511CE2D1" w14:textId="77777777" w:rsidR="00B27886" w:rsidRPr="002C40D8" w:rsidRDefault="00B27886" w:rsidP="00B27886">
            <w:pPr>
              <w:widowControl/>
              <w:spacing w:before="0" w:after="0" w:line="0" w:lineRule="atLeast"/>
              <w:jc w:val="center"/>
            </w:pPr>
            <w:r w:rsidRPr="002C40D8">
              <w:t>公噸</w:t>
            </w:r>
            <w:r w:rsidRPr="002C40D8">
              <w:t>CO2e/</w:t>
            </w:r>
            <w:r w:rsidRPr="002C40D8">
              <w:t>百萬元投資</w:t>
            </w:r>
          </w:p>
        </w:tc>
        <w:tc>
          <w:tcPr>
            <w:tcW w:w="1200" w:type="dxa"/>
            <w:tcBorders>
              <w:top w:val="single" w:sz="4" w:space="0" w:color="auto"/>
              <w:left w:val="nil"/>
              <w:bottom w:val="single" w:sz="4" w:space="0" w:color="auto"/>
              <w:right w:val="single" w:sz="4" w:space="0" w:color="auto"/>
            </w:tcBorders>
            <w:shd w:val="clear" w:color="000000" w:fill="DDEBF7"/>
            <w:noWrap/>
            <w:vAlign w:val="center"/>
            <w:hideMark/>
          </w:tcPr>
          <w:p w14:paraId="5C36537A" w14:textId="77777777" w:rsidR="00B27886" w:rsidRPr="002C40D8" w:rsidRDefault="00B27886" w:rsidP="00B27886">
            <w:pPr>
              <w:widowControl/>
              <w:spacing w:before="0" w:after="0" w:line="0" w:lineRule="atLeast"/>
              <w:jc w:val="center"/>
              <w:rPr>
                <w:i/>
                <w:iCs/>
              </w:rPr>
            </w:pPr>
            <w:r w:rsidRPr="002C40D8">
              <w:rPr>
                <w:i/>
                <w:iCs/>
              </w:rPr>
              <w:t>181</w:t>
            </w:r>
          </w:p>
        </w:tc>
        <w:tc>
          <w:tcPr>
            <w:tcW w:w="1200" w:type="dxa"/>
            <w:tcBorders>
              <w:top w:val="single" w:sz="4" w:space="0" w:color="auto"/>
              <w:left w:val="nil"/>
              <w:bottom w:val="single" w:sz="4" w:space="0" w:color="auto"/>
              <w:right w:val="single" w:sz="4" w:space="0" w:color="auto"/>
            </w:tcBorders>
            <w:shd w:val="clear" w:color="000000" w:fill="DDEBF7"/>
            <w:noWrap/>
            <w:vAlign w:val="center"/>
            <w:hideMark/>
          </w:tcPr>
          <w:p w14:paraId="2B2D4A36" w14:textId="77777777" w:rsidR="00B27886" w:rsidRPr="002C40D8" w:rsidRDefault="00B27886" w:rsidP="00B27886">
            <w:pPr>
              <w:widowControl/>
              <w:spacing w:before="0" w:after="0" w:line="0" w:lineRule="atLeast"/>
              <w:jc w:val="center"/>
              <w:rPr>
                <w:i/>
                <w:iCs/>
              </w:rPr>
            </w:pPr>
            <w:r w:rsidRPr="002C40D8">
              <w:rPr>
                <w:i/>
                <w:iCs/>
              </w:rPr>
              <w:t>163</w:t>
            </w:r>
          </w:p>
        </w:tc>
        <w:tc>
          <w:tcPr>
            <w:tcW w:w="1200" w:type="dxa"/>
            <w:tcBorders>
              <w:top w:val="single" w:sz="4" w:space="0" w:color="auto"/>
              <w:left w:val="nil"/>
              <w:bottom w:val="single" w:sz="4" w:space="0" w:color="auto"/>
              <w:right w:val="single" w:sz="4" w:space="0" w:color="auto"/>
            </w:tcBorders>
            <w:shd w:val="clear" w:color="000000" w:fill="DDEBF7"/>
            <w:noWrap/>
            <w:vAlign w:val="center"/>
            <w:hideMark/>
          </w:tcPr>
          <w:p w14:paraId="0384B9C3" w14:textId="77777777" w:rsidR="00B27886" w:rsidRPr="002C40D8" w:rsidRDefault="00B27886" w:rsidP="00B27886">
            <w:pPr>
              <w:widowControl/>
              <w:spacing w:before="0" w:after="0" w:line="0" w:lineRule="atLeast"/>
              <w:jc w:val="center"/>
              <w:rPr>
                <w:i/>
                <w:iCs/>
              </w:rPr>
            </w:pPr>
            <w:r w:rsidRPr="002C40D8">
              <w:rPr>
                <w:i/>
                <w:iCs/>
              </w:rPr>
              <w:t>132</w:t>
            </w:r>
          </w:p>
        </w:tc>
      </w:tr>
      <w:tr w:rsidR="00B27886" w:rsidRPr="00471175" w14:paraId="47D46BB8" w14:textId="77777777" w:rsidTr="008B5BE3">
        <w:trPr>
          <w:trHeight w:val="345"/>
        </w:trPr>
        <w:tc>
          <w:tcPr>
            <w:tcW w:w="704" w:type="dxa"/>
            <w:vMerge/>
            <w:tcBorders>
              <w:top w:val="nil"/>
              <w:left w:val="single" w:sz="4" w:space="0" w:color="auto"/>
              <w:bottom w:val="single" w:sz="4" w:space="0" w:color="auto"/>
              <w:right w:val="single" w:sz="4" w:space="0" w:color="auto"/>
            </w:tcBorders>
            <w:vAlign w:val="center"/>
            <w:hideMark/>
          </w:tcPr>
          <w:p w14:paraId="762F143D" w14:textId="77777777" w:rsidR="00B27886" w:rsidRPr="002C40D8" w:rsidRDefault="00B27886" w:rsidP="00B27886">
            <w:pPr>
              <w:widowControl/>
              <w:spacing w:before="0" w:after="0" w:line="0" w:lineRule="atLeast"/>
              <w:rPr>
                <w:b/>
                <w:bCs/>
              </w:rPr>
            </w:pPr>
          </w:p>
        </w:tc>
        <w:tc>
          <w:tcPr>
            <w:tcW w:w="2516" w:type="dxa"/>
            <w:tcBorders>
              <w:top w:val="single" w:sz="4" w:space="0" w:color="auto"/>
              <w:left w:val="nil"/>
              <w:bottom w:val="single" w:sz="4" w:space="0" w:color="auto"/>
              <w:right w:val="single" w:sz="4" w:space="0" w:color="auto"/>
            </w:tcBorders>
            <w:shd w:val="clear" w:color="000000" w:fill="DDEBF7"/>
            <w:vAlign w:val="center"/>
            <w:hideMark/>
          </w:tcPr>
          <w:p w14:paraId="07284F57" w14:textId="74E6C4D4" w:rsidR="00B27886" w:rsidRPr="00377B46" w:rsidRDefault="00B27886" w:rsidP="00B27886">
            <w:pPr>
              <w:widowControl/>
              <w:spacing w:before="0" w:after="0" w:line="0" w:lineRule="atLeast"/>
              <w:jc w:val="center"/>
              <w:rPr>
                <w:b/>
                <w:bCs/>
              </w:rPr>
            </w:pPr>
            <w:r w:rsidRPr="00377B46">
              <w:rPr>
                <w:b/>
                <w:bCs/>
              </w:rPr>
              <w:t>加權平均碳密度</w:t>
            </w:r>
          </w:p>
        </w:tc>
        <w:tc>
          <w:tcPr>
            <w:tcW w:w="2580" w:type="dxa"/>
            <w:tcBorders>
              <w:top w:val="single" w:sz="4" w:space="0" w:color="auto"/>
              <w:left w:val="nil"/>
              <w:bottom w:val="single" w:sz="4" w:space="0" w:color="auto"/>
              <w:right w:val="single" w:sz="4" w:space="0" w:color="auto"/>
            </w:tcBorders>
            <w:shd w:val="clear" w:color="000000" w:fill="DDEBF7"/>
            <w:noWrap/>
            <w:vAlign w:val="center"/>
            <w:hideMark/>
          </w:tcPr>
          <w:p w14:paraId="307874BA" w14:textId="77777777" w:rsidR="00B27886" w:rsidRPr="002C40D8" w:rsidRDefault="00B27886" w:rsidP="00B27886">
            <w:pPr>
              <w:widowControl/>
              <w:spacing w:before="0" w:after="0" w:line="0" w:lineRule="atLeast"/>
              <w:jc w:val="center"/>
            </w:pPr>
            <w:r w:rsidRPr="002C40D8">
              <w:t>公噸</w:t>
            </w:r>
            <w:r w:rsidRPr="002C40D8">
              <w:t>CO2e/</w:t>
            </w:r>
            <w:r w:rsidRPr="002C40D8">
              <w:t>百萬元營收</w:t>
            </w:r>
          </w:p>
        </w:tc>
        <w:tc>
          <w:tcPr>
            <w:tcW w:w="1200" w:type="dxa"/>
            <w:tcBorders>
              <w:top w:val="single" w:sz="4" w:space="0" w:color="auto"/>
              <w:left w:val="nil"/>
              <w:bottom w:val="single" w:sz="4" w:space="0" w:color="auto"/>
              <w:right w:val="single" w:sz="4" w:space="0" w:color="auto"/>
            </w:tcBorders>
            <w:shd w:val="clear" w:color="000000" w:fill="DDEBF7"/>
            <w:noWrap/>
            <w:vAlign w:val="center"/>
            <w:hideMark/>
          </w:tcPr>
          <w:p w14:paraId="1822DF49" w14:textId="77777777" w:rsidR="00B27886" w:rsidRPr="002C40D8" w:rsidRDefault="00B27886" w:rsidP="00B27886">
            <w:pPr>
              <w:widowControl/>
              <w:spacing w:before="0" w:after="0" w:line="0" w:lineRule="atLeast"/>
              <w:jc w:val="center"/>
              <w:rPr>
                <w:i/>
                <w:iCs/>
              </w:rPr>
            </w:pPr>
            <w:r w:rsidRPr="002C40D8">
              <w:rPr>
                <w:i/>
                <w:iCs/>
              </w:rPr>
              <w:t>267</w:t>
            </w:r>
          </w:p>
        </w:tc>
        <w:tc>
          <w:tcPr>
            <w:tcW w:w="1200" w:type="dxa"/>
            <w:tcBorders>
              <w:top w:val="single" w:sz="4" w:space="0" w:color="auto"/>
              <w:left w:val="nil"/>
              <w:bottom w:val="single" w:sz="4" w:space="0" w:color="auto"/>
              <w:right w:val="single" w:sz="4" w:space="0" w:color="auto"/>
            </w:tcBorders>
            <w:shd w:val="clear" w:color="000000" w:fill="DDEBF7"/>
            <w:noWrap/>
            <w:vAlign w:val="center"/>
            <w:hideMark/>
          </w:tcPr>
          <w:p w14:paraId="0CDCB396" w14:textId="77777777" w:rsidR="00B27886" w:rsidRPr="002C40D8" w:rsidRDefault="00B27886" w:rsidP="00B27886">
            <w:pPr>
              <w:widowControl/>
              <w:spacing w:before="0" w:after="0" w:line="0" w:lineRule="atLeast"/>
              <w:jc w:val="center"/>
              <w:rPr>
                <w:i/>
                <w:iCs/>
              </w:rPr>
            </w:pPr>
            <w:r w:rsidRPr="002C40D8">
              <w:rPr>
                <w:i/>
                <w:iCs/>
              </w:rPr>
              <w:t>343</w:t>
            </w:r>
          </w:p>
        </w:tc>
        <w:tc>
          <w:tcPr>
            <w:tcW w:w="1200" w:type="dxa"/>
            <w:tcBorders>
              <w:top w:val="single" w:sz="4" w:space="0" w:color="auto"/>
              <w:left w:val="nil"/>
              <w:bottom w:val="single" w:sz="4" w:space="0" w:color="auto"/>
              <w:right w:val="single" w:sz="4" w:space="0" w:color="auto"/>
            </w:tcBorders>
            <w:shd w:val="clear" w:color="000000" w:fill="DDEBF7"/>
            <w:noWrap/>
            <w:vAlign w:val="center"/>
            <w:hideMark/>
          </w:tcPr>
          <w:p w14:paraId="09E24096" w14:textId="77777777" w:rsidR="00B27886" w:rsidRPr="002C40D8" w:rsidRDefault="00B27886" w:rsidP="00B27886">
            <w:pPr>
              <w:widowControl/>
              <w:spacing w:before="0" w:after="0" w:line="0" w:lineRule="atLeast"/>
              <w:jc w:val="center"/>
              <w:rPr>
                <w:i/>
                <w:iCs/>
              </w:rPr>
            </w:pPr>
            <w:r w:rsidRPr="002C40D8">
              <w:rPr>
                <w:i/>
                <w:iCs/>
              </w:rPr>
              <w:t>244</w:t>
            </w:r>
          </w:p>
        </w:tc>
      </w:tr>
      <w:tr w:rsidR="00B27886" w:rsidRPr="00471175" w14:paraId="5B4F00B6" w14:textId="77777777" w:rsidTr="008B5BE3">
        <w:trPr>
          <w:trHeight w:val="345"/>
        </w:trPr>
        <w:tc>
          <w:tcPr>
            <w:tcW w:w="704" w:type="dxa"/>
            <w:vMerge/>
            <w:tcBorders>
              <w:top w:val="nil"/>
              <w:left w:val="single" w:sz="4" w:space="0" w:color="auto"/>
              <w:bottom w:val="single" w:sz="4" w:space="0" w:color="auto"/>
              <w:right w:val="single" w:sz="4" w:space="0" w:color="auto"/>
            </w:tcBorders>
            <w:vAlign w:val="center"/>
          </w:tcPr>
          <w:p w14:paraId="4B0F473B" w14:textId="77777777" w:rsidR="00B27886" w:rsidRPr="002C40D8" w:rsidRDefault="00B27886" w:rsidP="00B27886">
            <w:pPr>
              <w:widowControl/>
              <w:spacing w:before="0" w:after="0" w:line="0" w:lineRule="atLeast"/>
              <w:rPr>
                <w:b/>
                <w:bCs/>
              </w:rPr>
            </w:pPr>
          </w:p>
        </w:tc>
        <w:tc>
          <w:tcPr>
            <w:tcW w:w="2516" w:type="dxa"/>
            <w:tcBorders>
              <w:top w:val="single" w:sz="4" w:space="0" w:color="auto"/>
              <w:left w:val="nil"/>
              <w:bottom w:val="single" w:sz="4" w:space="0" w:color="auto"/>
              <w:right w:val="single" w:sz="4" w:space="0" w:color="auto"/>
            </w:tcBorders>
            <w:shd w:val="clear" w:color="000000" w:fill="DDEBF7"/>
            <w:vAlign w:val="center"/>
          </w:tcPr>
          <w:p w14:paraId="242C86C4" w14:textId="52AD57A9" w:rsidR="00B27886" w:rsidRPr="00377B46" w:rsidRDefault="00B27886" w:rsidP="00B27886">
            <w:pPr>
              <w:widowControl/>
              <w:spacing w:before="0" w:after="0" w:line="0" w:lineRule="atLeast"/>
              <w:jc w:val="center"/>
              <w:rPr>
                <w:b/>
                <w:bCs/>
              </w:rPr>
            </w:pPr>
            <w:r w:rsidRPr="00377B46">
              <w:rPr>
                <w:rFonts w:hint="eastAsia"/>
                <w:b/>
                <w:bCs/>
              </w:rPr>
              <w:t>應盤查</w:t>
            </w:r>
            <w:r w:rsidRPr="00377B46">
              <w:rPr>
                <w:b/>
                <w:bCs/>
              </w:rPr>
              <w:t>資產</w:t>
            </w:r>
            <w:r w:rsidRPr="00377B46">
              <w:rPr>
                <w:rFonts w:hint="eastAsia"/>
                <w:b/>
                <w:bCs/>
              </w:rPr>
              <w:t>巿值</w:t>
            </w:r>
            <w:r w:rsidRPr="00377B46">
              <w:rPr>
                <w:rFonts w:hint="eastAsia"/>
                <w:b/>
                <w:bCs/>
              </w:rPr>
              <w:t>(</w:t>
            </w:r>
            <w:r w:rsidRPr="00377B46">
              <w:rPr>
                <w:b/>
                <w:bCs/>
              </w:rPr>
              <w:t>B2)</w:t>
            </w:r>
            <w:r w:rsidR="008178A1" w:rsidRPr="00377B46">
              <w:rPr>
                <w:b/>
                <w:bCs/>
              </w:rPr>
              <w:t xml:space="preserve"> </w:t>
            </w:r>
          </w:p>
        </w:tc>
        <w:tc>
          <w:tcPr>
            <w:tcW w:w="2580" w:type="dxa"/>
            <w:tcBorders>
              <w:top w:val="single" w:sz="4" w:space="0" w:color="auto"/>
              <w:left w:val="nil"/>
              <w:bottom w:val="single" w:sz="4" w:space="0" w:color="auto"/>
              <w:right w:val="single" w:sz="4" w:space="0" w:color="auto"/>
            </w:tcBorders>
            <w:shd w:val="clear" w:color="000000" w:fill="DDEBF7"/>
            <w:noWrap/>
            <w:vAlign w:val="center"/>
          </w:tcPr>
          <w:p w14:paraId="5B3AC8FF" w14:textId="789EED78" w:rsidR="00B27886" w:rsidRPr="002C40D8" w:rsidRDefault="00B27886" w:rsidP="00B27886">
            <w:pPr>
              <w:widowControl/>
              <w:spacing w:before="0" w:after="0" w:line="0" w:lineRule="atLeast"/>
              <w:jc w:val="center"/>
            </w:pPr>
            <w:r w:rsidRPr="002C40D8">
              <w:t>百萬元</w:t>
            </w:r>
          </w:p>
        </w:tc>
        <w:tc>
          <w:tcPr>
            <w:tcW w:w="1200" w:type="dxa"/>
            <w:tcBorders>
              <w:top w:val="single" w:sz="4" w:space="0" w:color="auto"/>
              <w:left w:val="nil"/>
              <w:bottom w:val="single" w:sz="4" w:space="0" w:color="auto"/>
              <w:right w:val="single" w:sz="4" w:space="0" w:color="auto"/>
            </w:tcBorders>
            <w:shd w:val="clear" w:color="000000" w:fill="DDEBF7"/>
            <w:noWrap/>
            <w:vAlign w:val="center"/>
          </w:tcPr>
          <w:p w14:paraId="793DB686" w14:textId="04091985" w:rsidR="00B27886" w:rsidRPr="002C40D8" w:rsidRDefault="00B27886" w:rsidP="00B27886">
            <w:pPr>
              <w:widowControl/>
              <w:spacing w:before="0" w:after="0" w:line="0" w:lineRule="atLeast"/>
              <w:jc w:val="center"/>
              <w:rPr>
                <w:i/>
                <w:iCs/>
              </w:rPr>
            </w:pPr>
            <w:r w:rsidRPr="002C40D8">
              <w:rPr>
                <w:i/>
                <w:iCs/>
              </w:rPr>
              <w:t>61,732</w:t>
            </w:r>
          </w:p>
        </w:tc>
        <w:tc>
          <w:tcPr>
            <w:tcW w:w="1200" w:type="dxa"/>
            <w:tcBorders>
              <w:top w:val="single" w:sz="4" w:space="0" w:color="auto"/>
              <w:left w:val="nil"/>
              <w:bottom w:val="single" w:sz="4" w:space="0" w:color="auto"/>
              <w:right w:val="single" w:sz="4" w:space="0" w:color="auto"/>
            </w:tcBorders>
            <w:shd w:val="clear" w:color="000000" w:fill="DDEBF7"/>
            <w:noWrap/>
            <w:vAlign w:val="center"/>
          </w:tcPr>
          <w:p w14:paraId="4F90355B" w14:textId="6C24BFC8" w:rsidR="00B27886" w:rsidRPr="002C40D8" w:rsidRDefault="00B27886" w:rsidP="00B27886">
            <w:pPr>
              <w:widowControl/>
              <w:spacing w:before="0" w:after="0" w:line="0" w:lineRule="atLeast"/>
              <w:jc w:val="center"/>
              <w:rPr>
                <w:i/>
                <w:iCs/>
              </w:rPr>
            </w:pPr>
            <w:r w:rsidRPr="002C40D8">
              <w:rPr>
                <w:i/>
                <w:iCs/>
              </w:rPr>
              <w:t>76,851</w:t>
            </w:r>
          </w:p>
        </w:tc>
        <w:tc>
          <w:tcPr>
            <w:tcW w:w="1200" w:type="dxa"/>
            <w:tcBorders>
              <w:top w:val="single" w:sz="4" w:space="0" w:color="auto"/>
              <w:left w:val="nil"/>
              <w:bottom w:val="single" w:sz="4" w:space="0" w:color="auto"/>
              <w:right w:val="single" w:sz="4" w:space="0" w:color="auto"/>
            </w:tcBorders>
            <w:shd w:val="clear" w:color="000000" w:fill="DDEBF7"/>
            <w:noWrap/>
            <w:vAlign w:val="center"/>
          </w:tcPr>
          <w:p w14:paraId="6A5BB581" w14:textId="58DE4BE6" w:rsidR="00B27886" w:rsidRPr="002C40D8" w:rsidRDefault="00B27886" w:rsidP="00B27886">
            <w:pPr>
              <w:widowControl/>
              <w:spacing w:before="0" w:after="0" w:line="0" w:lineRule="atLeast"/>
              <w:jc w:val="center"/>
              <w:rPr>
                <w:i/>
                <w:iCs/>
              </w:rPr>
            </w:pPr>
            <w:r w:rsidRPr="002C40D8">
              <w:rPr>
                <w:i/>
                <w:iCs/>
              </w:rPr>
              <w:t>74,957</w:t>
            </w:r>
          </w:p>
        </w:tc>
      </w:tr>
      <w:tr w:rsidR="008178A1" w:rsidRPr="00471175" w14:paraId="29BCD2B6" w14:textId="77777777" w:rsidTr="008178A1">
        <w:trPr>
          <w:trHeight w:val="189"/>
        </w:trPr>
        <w:tc>
          <w:tcPr>
            <w:tcW w:w="704" w:type="dxa"/>
            <w:vMerge/>
            <w:tcBorders>
              <w:top w:val="nil"/>
              <w:left w:val="single" w:sz="4" w:space="0" w:color="auto"/>
              <w:bottom w:val="single" w:sz="4" w:space="0" w:color="auto"/>
              <w:right w:val="single" w:sz="4" w:space="0" w:color="auto"/>
            </w:tcBorders>
            <w:vAlign w:val="center"/>
          </w:tcPr>
          <w:p w14:paraId="22686AE9" w14:textId="77777777" w:rsidR="008178A1" w:rsidRPr="002C40D8" w:rsidRDefault="008178A1" w:rsidP="00B27886">
            <w:pPr>
              <w:widowControl/>
              <w:spacing w:before="0" w:after="0" w:line="0" w:lineRule="atLeast"/>
              <w:rPr>
                <w:b/>
                <w:bCs/>
              </w:rPr>
            </w:pPr>
          </w:p>
        </w:tc>
        <w:tc>
          <w:tcPr>
            <w:tcW w:w="2516" w:type="dxa"/>
            <w:tcBorders>
              <w:top w:val="single" w:sz="4" w:space="0" w:color="auto"/>
              <w:left w:val="nil"/>
              <w:right w:val="single" w:sz="4" w:space="0" w:color="auto"/>
            </w:tcBorders>
            <w:shd w:val="clear" w:color="000000" w:fill="DDEBF7"/>
            <w:vAlign w:val="center"/>
          </w:tcPr>
          <w:p w14:paraId="1ADA2285" w14:textId="3E932F17" w:rsidR="008178A1" w:rsidRPr="00377B46" w:rsidRDefault="008178A1" w:rsidP="00B27886">
            <w:pPr>
              <w:widowControl/>
              <w:spacing w:before="0" w:after="0" w:line="0" w:lineRule="atLeast"/>
              <w:jc w:val="center"/>
              <w:rPr>
                <w:b/>
                <w:bCs/>
              </w:rPr>
            </w:pPr>
            <w:r w:rsidRPr="00377B46">
              <w:rPr>
                <w:b/>
                <w:bCs/>
              </w:rPr>
              <w:t>盤查</w:t>
            </w:r>
            <w:r w:rsidR="00E709C2" w:rsidRPr="00377B46">
              <w:rPr>
                <w:rFonts w:hint="eastAsia"/>
                <w:b/>
                <w:bCs/>
              </w:rPr>
              <w:t>覆</w:t>
            </w:r>
            <w:r w:rsidRPr="00377B46">
              <w:rPr>
                <w:b/>
                <w:bCs/>
              </w:rPr>
              <w:t>蓋率</w:t>
            </w:r>
            <w:r w:rsidRPr="00377B46">
              <w:rPr>
                <w:rFonts w:hint="eastAsia"/>
                <w:b/>
                <w:bCs/>
              </w:rPr>
              <w:t>(</w:t>
            </w:r>
            <w:r w:rsidRPr="00377B46">
              <w:rPr>
                <w:b/>
                <w:bCs/>
              </w:rPr>
              <w:t>B1/B2)</w:t>
            </w:r>
          </w:p>
        </w:tc>
        <w:tc>
          <w:tcPr>
            <w:tcW w:w="2580" w:type="dxa"/>
            <w:tcBorders>
              <w:top w:val="single" w:sz="4" w:space="0" w:color="auto"/>
              <w:left w:val="nil"/>
              <w:right w:val="single" w:sz="4" w:space="0" w:color="auto"/>
            </w:tcBorders>
            <w:shd w:val="clear" w:color="000000" w:fill="DDEBF7"/>
            <w:noWrap/>
            <w:vAlign w:val="center"/>
          </w:tcPr>
          <w:p w14:paraId="3D6B12CC" w14:textId="7B242F63" w:rsidR="008178A1" w:rsidRPr="002C40D8" w:rsidRDefault="008178A1" w:rsidP="00B27886">
            <w:pPr>
              <w:widowControl/>
              <w:spacing w:before="0" w:after="0" w:line="0" w:lineRule="atLeast"/>
              <w:jc w:val="center"/>
            </w:pPr>
            <w:r w:rsidRPr="002C40D8">
              <w:t>%</w:t>
            </w:r>
          </w:p>
        </w:tc>
        <w:tc>
          <w:tcPr>
            <w:tcW w:w="1200" w:type="dxa"/>
            <w:tcBorders>
              <w:top w:val="single" w:sz="4" w:space="0" w:color="auto"/>
              <w:left w:val="nil"/>
              <w:right w:val="single" w:sz="4" w:space="0" w:color="auto"/>
            </w:tcBorders>
            <w:shd w:val="clear" w:color="000000" w:fill="DDEBF7"/>
            <w:noWrap/>
            <w:vAlign w:val="center"/>
          </w:tcPr>
          <w:p w14:paraId="4FBCE4B7" w14:textId="363AE725" w:rsidR="008178A1" w:rsidRPr="002C40D8" w:rsidRDefault="008178A1" w:rsidP="00B27886">
            <w:pPr>
              <w:widowControl/>
              <w:spacing w:before="0" w:after="0" w:line="0" w:lineRule="atLeast"/>
              <w:jc w:val="center"/>
              <w:rPr>
                <w:i/>
                <w:iCs/>
              </w:rPr>
            </w:pPr>
            <w:r w:rsidRPr="002C40D8">
              <w:rPr>
                <w:i/>
                <w:iCs/>
              </w:rPr>
              <w:t>73</w:t>
            </w:r>
          </w:p>
        </w:tc>
        <w:tc>
          <w:tcPr>
            <w:tcW w:w="1200" w:type="dxa"/>
            <w:tcBorders>
              <w:top w:val="single" w:sz="4" w:space="0" w:color="auto"/>
              <w:left w:val="nil"/>
              <w:right w:val="single" w:sz="4" w:space="0" w:color="auto"/>
            </w:tcBorders>
            <w:shd w:val="clear" w:color="000000" w:fill="DDEBF7"/>
            <w:noWrap/>
            <w:vAlign w:val="center"/>
          </w:tcPr>
          <w:p w14:paraId="1C9F1AB2" w14:textId="0CC24BCA" w:rsidR="008178A1" w:rsidRPr="002C40D8" w:rsidRDefault="008178A1" w:rsidP="00B27886">
            <w:pPr>
              <w:widowControl/>
              <w:spacing w:before="0" w:after="0" w:line="0" w:lineRule="atLeast"/>
              <w:jc w:val="center"/>
              <w:rPr>
                <w:i/>
                <w:iCs/>
              </w:rPr>
            </w:pPr>
            <w:r w:rsidRPr="002C40D8">
              <w:rPr>
                <w:i/>
                <w:iCs/>
              </w:rPr>
              <w:t>75</w:t>
            </w:r>
          </w:p>
        </w:tc>
        <w:tc>
          <w:tcPr>
            <w:tcW w:w="1200" w:type="dxa"/>
            <w:tcBorders>
              <w:top w:val="single" w:sz="4" w:space="0" w:color="auto"/>
              <w:left w:val="nil"/>
              <w:right w:val="single" w:sz="4" w:space="0" w:color="auto"/>
            </w:tcBorders>
            <w:shd w:val="clear" w:color="000000" w:fill="DDEBF7"/>
            <w:noWrap/>
            <w:vAlign w:val="center"/>
          </w:tcPr>
          <w:p w14:paraId="1ECFECD1" w14:textId="14E23397" w:rsidR="008178A1" w:rsidRPr="002C40D8" w:rsidRDefault="008178A1" w:rsidP="00B27886">
            <w:pPr>
              <w:widowControl/>
              <w:spacing w:before="0" w:after="0" w:line="0" w:lineRule="atLeast"/>
              <w:jc w:val="center"/>
              <w:rPr>
                <w:i/>
                <w:iCs/>
              </w:rPr>
            </w:pPr>
            <w:r w:rsidRPr="002C40D8">
              <w:rPr>
                <w:i/>
                <w:iCs/>
              </w:rPr>
              <w:t>77</w:t>
            </w:r>
          </w:p>
        </w:tc>
      </w:tr>
      <w:tr w:rsidR="00B27886" w:rsidRPr="00471175" w14:paraId="40BF8C51" w14:textId="77777777" w:rsidTr="00807E96">
        <w:trPr>
          <w:trHeight w:val="700"/>
        </w:trPr>
        <w:tc>
          <w:tcPr>
            <w:tcW w:w="704" w:type="dxa"/>
            <w:vMerge w:val="restart"/>
            <w:tcBorders>
              <w:top w:val="nil"/>
              <w:left w:val="single" w:sz="4" w:space="0" w:color="auto"/>
              <w:bottom w:val="single" w:sz="4" w:space="0" w:color="auto"/>
              <w:right w:val="single" w:sz="4" w:space="0" w:color="auto"/>
            </w:tcBorders>
            <w:shd w:val="clear" w:color="000000" w:fill="FFF2CC"/>
            <w:vAlign w:val="center"/>
            <w:hideMark/>
          </w:tcPr>
          <w:p w14:paraId="02189378" w14:textId="77777777" w:rsidR="00B27886" w:rsidRPr="002C40D8" w:rsidRDefault="00B27886" w:rsidP="00B27886">
            <w:pPr>
              <w:widowControl/>
              <w:spacing w:before="0" w:after="0" w:line="0" w:lineRule="atLeast"/>
              <w:jc w:val="center"/>
              <w:rPr>
                <w:b/>
                <w:bCs/>
              </w:rPr>
            </w:pPr>
            <w:r w:rsidRPr="002C40D8">
              <w:rPr>
                <w:b/>
                <w:bCs/>
              </w:rPr>
              <w:t>股票＋</w:t>
            </w:r>
          </w:p>
          <w:p w14:paraId="3FC23F75" w14:textId="5F34A7DC" w:rsidR="00B27886" w:rsidRPr="002C40D8" w:rsidRDefault="00B27886" w:rsidP="00B27886">
            <w:pPr>
              <w:widowControl/>
              <w:spacing w:before="0" w:after="0" w:line="0" w:lineRule="atLeast"/>
              <w:jc w:val="center"/>
              <w:rPr>
                <w:b/>
                <w:bCs/>
              </w:rPr>
            </w:pPr>
            <w:r w:rsidRPr="002C40D8">
              <w:rPr>
                <w:rFonts w:hint="eastAsia"/>
                <w:b/>
                <w:bCs/>
              </w:rPr>
              <w:t>公司債</w:t>
            </w:r>
          </w:p>
        </w:tc>
        <w:tc>
          <w:tcPr>
            <w:tcW w:w="2516" w:type="dxa"/>
            <w:tcBorders>
              <w:top w:val="single" w:sz="4" w:space="0" w:color="auto"/>
              <w:left w:val="nil"/>
              <w:right w:val="single" w:sz="4" w:space="0" w:color="auto"/>
            </w:tcBorders>
            <w:shd w:val="clear" w:color="000000" w:fill="FFF2CC"/>
            <w:noWrap/>
            <w:vAlign w:val="center"/>
          </w:tcPr>
          <w:p w14:paraId="1A095083" w14:textId="37E90404" w:rsidR="00B27886" w:rsidRPr="00377B46" w:rsidRDefault="00B27886" w:rsidP="00AD04D3">
            <w:pPr>
              <w:spacing w:before="0" w:after="0" w:line="0" w:lineRule="atLeast"/>
              <w:jc w:val="center"/>
              <w:rPr>
                <w:b/>
                <w:bCs/>
                <w:spacing w:val="-20"/>
              </w:rPr>
            </w:pPr>
            <w:r w:rsidRPr="00377B46">
              <w:rPr>
                <w:rFonts w:hint="eastAsia"/>
                <w:b/>
                <w:bCs/>
              </w:rPr>
              <w:t>已盤查</w:t>
            </w:r>
            <w:r w:rsidRPr="00377B46">
              <w:rPr>
                <w:b/>
                <w:bCs/>
              </w:rPr>
              <w:t>資產</w:t>
            </w:r>
            <w:r w:rsidRPr="00377B46">
              <w:rPr>
                <w:rFonts w:hint="eastAsia"/>
                <w:b/>
                <w:bCs/>
              </w:rPr>
              <w:t>巿值</w:t>
            </w:r>
            <w:r w:rsidRPr="00377B46">
              <w:rPr>
                <w:rFonts w:hint="eastAsia"/>
                <w:b/>
                <w:bCs/>
              </w:rPr>
              <w:t>(</w:t>
            </w:r>
            <w:r w:rsidRPr="00377B46">
              <w:rPr>
                <w:b/>
                <w:bCs/>
              </w:rPr>
              <w:t>A1+</w:t>
            </w:r>
            <w:r w:rsidR="00A17D6F" w:rsidRPr="00377B46">
              <w:rPr>
                <w:b/>
                <w:bCs/>
              </w:rPr>
              <w:t>B1</w:t>
            </w:r>
            <w:r w:rsidRPr="00377B46">
              <w:rPr>
                <w:b/>
                <w:bCs/>
              </w:rPr>
              <w:t>)</w:t>
            </w:r>
          </w:p>
        </w:tc>
        <w:tc>
          <w:tcPr>
            <w:tcW w:w="2580" w:type="dxa"/>
            <w:tcBorders>
              <w:top w:val="single" w:sz="4" w:space="0" w:color="auto"/>
              <w:left w:val="nil"/>
              <w:right w:val="single" w:sz="4" w:space="0" w:color="auto"/>
            </w:tcBorders>
            <w:shd w:val="clear" w:color="000000" w:fill="FFF2CC"/>
            <w:noWrap/>
            <w:vAlign w:val="center"/>
          </w:tcPr>
          <w:p w14:paraId="72625F5E" w14:textId="0DC17EA1" w:rsidR="00B27886" w:rsidRPr="002C40D8" w:rsidRDefault="00B27886" w:rsidP="0073355F">
            <w:pPr>
              <w:spacing w:before="0" w:after="0" w:line="0" w:lineRule="atLeast"/>
              <w:jc w:val="center"/>
            </w:pPr>
            <w:r w:rsidRPr="002C40D8">
              <w:t>百萬元</w:t>
            </w:r>
          </w:p>
        </w:tc>
        <w:tc>
          <w:tcPr>
            <w:tcW w:w="1200" w:type="dxa"/>
            <w:tcBorders>
              <w:top w:val="single" w:sz="4" w:space="0" w:color="auto"/>
              <w:left w:val="nil"/>
              <w:right w:val="single" w:sz="4" w:space="0" w:color="auto"/>
            </w:tcBorders>
            <w:shd w:val="clear" w:color="000000" w:fill="FFF2CC"/>
            <w:noWrap/>
            <w:vAlign w:val="center"/>
          </w:tcPr>
          <w:p w14:paraId="42F198AD" w14:textId="3D78D955" w:rsidR="00B27886" w:rsidRPr="002C40D8" w:rsidRDefault="00B27886" w:rsidP="00B27886">
            <w:pPr>
              <w:widowControl/>
              <w:spacing w:before="0" w:after="0" w:line="0" w:lineRule="atLeast"/>
              <w:jc w:val="center"/>
              <w:rPr>
                <w:i/>
                <w:iCs/>
              </w:rPr>
            </w:pPr>
            <w:r w:rsidRPr="002C40D8">
              <w:rPr>
                <w:rFonts w:hint="eastAsia"/>
                <w:i/>
                <w:iCs/>
              </w:rPr>
              <w:t>2</w:t>
            </w:r>
            <w:r w:rsidRPr="002C40D8">
              <w:rPr>
                <w:i/>
                <w:iCs/>
              </w:rPr>
              <w:t>62,354</w:t>
            </w:r>
          </w:p>
        </w:tc>
        <w:tc>
          <w:tcPr>
            <w:tcW w:w="1200" w:type="dxa"/>
            <w:tcBorders>
              <w:top w:val="single" w:sz="4" w:space="0" w:color="auto"/>
              <w:left w:val="nil"/>
              <w:right w:val="single" w:sz="4" w:space="0" w:color="auto"/>
            </w:tcBorders>
            <w:shd w:val="clear" w:color="000000" w:fill="FFF2CC"/>
            <w:noWrap/>
            <w:vAlign w:val="center"/>
          </w:tcPr>
          <w:p w14:paraId="497B04AE" w14:textId="69BCA500" w:rsidR="00B27886" w:rsidRPr="002C40D8" w:rsidRDefault="00B27886" w:rsidP="00B27886">
            <w:pPr>
              <w:widowControl/>
              <w:spacing w:before="0" w:after="0" w:line="0" w:lineRule="atLeast"/>
              <w:jc w:val="center"/>
              <w:rPr>
                <w:i/>
                <w:iCs/>
              </w:rPr>
            </w:pPr>
            <w:r w:rsidRPr="002C40D8">
              <w:rPr>
                <w:rFonts w:hint="eastAsia"/>
                <w:i/>
                <w:iCs/>
              </w:rPr>
              <w:t>3</w:t>
            </w:r>
            <w:r w:rsidRPr="002C40D8">
              <w:rPr>
                <w:i/>
                <w:iCs/>
              </w:rPr>
              <w:t>19,070</w:t>
            </w:r>
          </w:p>
        </w:tc>
        <w:tc>
          <w:tcPr>
            <w:tcW w:w="1200" w:type="dxa"/>
            <w:tcBorders>
              <w:top w:val="single" w:sz="4" w:space="0" w:color="auto"/>
              <w:left w:val="nil"/>
              <w:right w:val="single" w:sz="4" w:space="0" w:color="auto"/>
            </w:tcBorders>
            <w:shd w:val="clear" w:color="000000" w:fill="FFF2CC"/>
            <w:noWrap/>
            <w:vAlign w:val="center"/>
          </w:tcPr>
          <w:p w14:paraId="0F6F6D44" w14:textId="53D13F30" w:rsidR="00B27886" w:rsidRPr="002C40D8" w:rsidRDefault="00B27886" w:rsidP="00B27886">
            <w:pPr>
              <w:widowControl/>
              <w:spacing w:before="0" w:after="0" w:line="0" w:lineRule="atLeast"/>
              <w:jc w:val="center"/>
              <w:rPr>
                <w:i/>
                <w:iCs/>
              </w:rPr>
            </w:pPr>
            <w:r w:rsidRPr="002C40D8">
              <w:rPr>
                <w:rFonts w:hint="eastAsia"/>
                <w:i/>
                <w:iCs/>
              </w:rPr>
              <w:t>3</w:t>
            </w:r>
            <w:r w:rsidRPr="002C40D8">
              <w:rPr>
                <w:i/>
                <w:iCs/>
              </w:rPr>
              <w:t>04,280</w:t>
            </w:r>
          </w:p>
        </w:tc>
      </w:tr>
      <w:tr w:rsidR="00B27886" w:rsidRPr="00471175" w14:paraId="5F694198" w14:textId="77777777" w:rsidTr="008B5BE3">
        <w:trPr>
          <w:trHeight w:val="345"/>
        </w:trPr>
        <w:tc>
          <w:tcPr>
            <w:tcW w:w="704" w:type="dxa"/>
            <w:vMerge/>
            <w:tcBorders>
              <w:top w:val="nil"/>
              <w:left w:val="single" w:sz="4" w:space="0" w:color="auto"/>
              <w:bottom w:val="single" w:sz="4" w:space="0" w:color="auto"/>
              <w:right w:val="single" w:sz="4" w:space="0" w:color="auto"/>
            </w:tcBorders>
            <w:shd w:val="clear" w:color="000000" w:fill="FFF2CC"/>
            <w:vAlign w:val="center"/>
          </w:tcPr>
          <w:p w14:paraId="2E9BB9D5" w14:textId="77777777" w:rsidR="00B27886" w:rsidRPr="002C40D8" w:rsidRDefault="00B27886" w:rsidP="00B27886">
            <w:pPr>
              <w:widowControl/>
              <w:spacing w:before="0" w:after="0" w:line="0" w:lineRule="atLeast"/>
              <w:jc w:val="center"/>
              <w:rPr>
                <w:b/>
                <w:bCs/>
              </w:rPr>
            </w:pPr>
          </w:p>
        </w:tc>
        <w:tc>
          <w:tcPr>
            <w:tcW w:w="2516" w:type="dxa"/>
            <w:tcBorders>
              <w:top w:val="single" w:sz="4" w:space="0" w:color="auto"/>
              <w:left w:val="nil"/>
              <w:bottom w:val="single" w:sz="4" w:space="0" w:color="auto"/>
              <w:right w:val="single" w:sz="4" w:space="0" w:color="auto"/>
            </w:tcBorders>
            <w:shd w:val="clear" w:color="000000" w:fill="FFF2CC"/>
            <w:noWrap/>
            <w:vAlign w:val="center"/>
          </w:tcPr>
          <w:p w14:paraId="2734DFFF" w14:textId="0C8FC1C7" w:rsidR="00B27886" w:rsidRPr="00377B46" w:rsidRDefault="00B27886" w:rsidP="00B27886">
            <w:pPr>
              <w:widowControl/>
              <w:spacing w:before="0" w:after="0" w:line="0" w:lineRule="atLeast"/>
              <w:jc w:val="center"/>
              <w:rPr>
                <w:b/>
                <w:bCs/>
              </w:rPr>
            </w:pPr>
            <w:r w:rsidRPr="00377B46">
              <w:rPr>
                <w:b/>
                <w:bCs/>
              </w:rPr>
              <w:t>承擔碳排</w:t>
            </w:r>
          </w:p>
        </w:tc>
        <w:tc>
          <w:tcPr>
            <w:tcW w:w="2580" w:type="dxa"/>
            <w:tcBorders>
              <w:top w:val="single" w:sz="4" w:space="0" w:color="auto"/>
              <w:left w:val="nil"/>
              <w:bottom w:val="single" w:sz="4" w:space="0" w:color="auto"/>
              <w:right w:val="single" w:sz="4" w:space="0" w:color="auto"/>
            </w:tcBorders>
            <w:shd w:val="clear" w:color="000000" w:fill="FFF2CC"/>
            <w:noWrap/>
            <w:vAlign w:val="center"/>
          </w:tcPr>
          <w:p w14:paraId="3281F548" w14:textId="02099F07" w:rsidR="00B27886" w:rsidRPr="002C40D8" w:rsidRDefault="00B27886" w:rsidP="00B27886">
            <w:pPr>
              <w:widowControl/>
              <w:spacing w:before="0" w:after="0" w:line="0" w:lineRule="atLeast"/>
              <w:jc w:val="center"/>
            </w:pPr>
            <w:r w:rsidRPr="002C40D8">
              <w:t>百萬公噸</w:t>
            </w:r>
            <w:r w:rsidRPr="002C40D8">
              <w:t>CO2e</w:t>
            </w:r>
          </w:p>
        </w:tc>
        <w:tc>
          <w:tcPr>
            <w:tcW w:w="1200" w:type="dxa"/>
            <w:tcBorders>
              <w:top w:val="single" w:sz="4" w:space="0" w:color="auto"/>
              <w:left w:val="nil"/>
              <w:bottom w:val="single" w:sz="4" w:space="0" w:color="auto"/>
              <w:right w:val="single" w:sz="4" w:space="0" w:color="auto"/>
            </w:tcBorders>
            <w:shd w:val="clear" w:color="000000" w:fill="FFF2CC"/>
            <w:noWrap/>
            <w:vAlign w:val="center"/>
          </w:tcPr>
          <w:p w14:paraId="3EAB951C" w14:textId="462677B4" w:rsidR="00B27886" w:rsidRPr="002C40D8" w:rsidRDefault="00B27886" w:rsidP="00B27886">
            <w:pPr>
              <w:widowControl/>
              <w:spacing w:before="0" w:after="0" w:line="0" w:lineRule="atLeast"/>
              <w:jc w:val="center"/>
              <w:rPr>
                <w:i/>
                <w:iCs/>
              </w:rPr>
            </w:pPr>
            <w:r w:rsidRPr="002C40D8">
              <w:rPr>
                <w:i/>
                <w:iCs/>
              </w:rPr>
              <w:t>27</w:t>
            </w:r>
          </w:p>
        </w:tc>
        <w:tc>
          <w:tcPr>
            <w:tcW w:w="1200" w:type="dxa"/>
            <w:tcBorders>
              <w:top w:val="single" w:sz="4" w:space="0" w:color="auto"/>
              <w:left w:val="nil"/>
              <w:bottom w:val="single" w:sz="4" w:space="0" w:color="auto"/>
              <w:right w:val="single" w:sz="4" w:space="0" w:color="auto"/>
            </w:tcBorders>
            <w:shd w:val="clear" w:color="000000" w:fill="FFF2CC"/>
            <w:noWrap/>
            <w:vAlign w:val="center"/>
          </w:tcPr>
          <w:p w14:paraId="578437B9" w14:textId="114E9279" w:rsidR="00B27886" w:rsidRPr="002C40D8" w:rsidRDefault="00B27886" w:rsidP="00B27886">
            <w:pPr>
              <w:widowControl/>
              <w:spacing w:before="0" w:after="0" w:line="0" w:lineRule="atLeast"/>
              <w:jc w:val="center"/>
              <w:rPr>
                <w:i/>
                <w:iCs/>
              </w:rPr>
            </w:pPr>
            <w:r w:rsidRPr="002C40D8">
              <w:rPr>
                <w:i/>
                <w:iCs/>
              </w:rPr>
              <w:t>2</w:t>
            </w:r>
            <w:r w:rsidR="004546D9">
              <w:rPr>
                <w:rFonts w:hint="eastAsia"/>
                <w:i/>
                <w:iCs/>
              </w:rPr>
              <w:t>6</w:t>
            </w:r>
          </w:p>
        </w:tc>
        <w:tc>
          <w:tcPr>
            <w:tcW w:w="1200" w:type="dxa"/>
            <w:tcBorders>
              <w:top w:val="single" w:sz="4" w:space="0" w:color="auto"/>
              <w:left w:val="nil"/>
              <w:bottom w:val="single" w:sz="4" w:space="0" w:color="auto"/>
              <w:right w:val="single" w:sz="4" w:space="0" w:color="auto"/>
            </w:tcBorders>
            <w:shd w:val="clear" w:color="000000" w:fill="FFF2CC"/>
            <w:noWrap/>
            <w:vAlign w:val="center"/>
          </w:tcPr>
          <w:p w14:paraId="065AAB46" w14:textId="26FEBE50" w:rsidR="00B27886" w:rsidRPr="002C40D8" w:rsidRDefault="00B27886" w:rsidP="00B27886">
            <w:pPr>
              <w:widowControl/>
              <w:spacing w:before="0" w:after="0" w:line="0" w:lineRule="atLeast"/>
              <w:jc w:val="center"/>
              <w:rPr>
                <w:b/>
                <w:bCs/>
                <w:i/>
                <w:iCs/>
              </w:rPr>
            </w:pPr>
            <w:r w:rsidRPr="002C40D8">
              <w:rPr>
                <w:i/>
                <w:iCs/>
              </w:rPr>
              <w:t>18</w:t>
            </w:r>
          </w:p>
        </w:tc>
      </w:tr>
      <w:tr w:rsidR="00B27886" w:rsidRPr="00471175" w14:paraId="70A516A5" w14:textId="77777777" w:rsidTr="00A63F58">
        <w:trPr>
          <w:trHeight w:val="345"/>
        </w:trPr>
        <w:tc>
          <w:tcPr>
            <w:tcW w:w="704" w:type="dxa"/>
            <w:vMerge/>
            <w:tcBorders>
              <w:top w:val="nil"/>
              <w:left w:val="single" w:sz="4" w:space="0" w:color="auto"/>
              <w:bottom w:val="single" w:sz="4" w:space="0" w:color="auto"/>
              <w:right w:val="single" w:sz="4" w:space="0" w:color="auto"/>
            </w:tcBorders>
            <w:vAlign w:val="center"/>
            <w:hideMark/>
          </w:tcPr>
          <w:p w14:paraId="0F76C543" w14:textId="77777777" w:rsidR="00B27886" w:rsidRPr="002C40D8" w:rsidRDefault="00B27886" w:rsidP="00B27886">
            <w:pPr>
              <w:widowControl/>
              <w:spacing w:before="0" w:after="0" w:line="0" w:lineRule="atLeast"/>
              <w:rPr>
                <w:b/>
                <w:bCs/>
              </w:rPr>
            </w:pPr>
          </w:p>
        </w:tc>
        <w:tc>
          <w:tcPr>
            <w:tcW w:w="2516" w:type="dxa"/>
            <w:tcBorders>
              <w:top w:val="single" w:sz="4" w:space="0" w:color="auto"/>
              <w:left w:val="nil"/>
              <w:bottom w:val="single" w:sz="4" w:space="0" w:color="auto"/>
              <w:right w:val="single" w:sz="4" w:space="0" w:color="auto"/>
            </w:tcBorders>
            <w:shd w:val="clear" w:color="000000" w:fill="FFF2CC"/>
            <w:noWrap/>
            <w:vAlign w:val="center"/>
          </w:tcPr>
          <w:p w14:paraId="5A7A59E7" w14:textId="15D7DC61" w:rsidR="00B27886" w:rsidRPr="00377B46" w:rsidRDefault="00B27886" w:rsidP="00B27886">
            <w:pPr>
              <w:widowControl/>
              <w:spacing w:before="0" w:after="0" w:line="0" w:lineRule="atLeast"/>
              <w:jc w:val="center"/>
              <w:rPr>
                <w:b/>
                <w:bCs/>
              </w:rPr>
            </w:pPr>
            <w:r w:rsidRPr="00377B46">
              <w:rPr>
                <w:b/>
                <w:bCs/>
              </w:rPr>
              <w:t>碳足跡</w:t>
            </w:r>
          </w:p>
        </w:tc>
        <w:tc>
          <w:tcPr>
            <w:tcW w:w="2580" w:type="dxa"/>
            <w:tcBorders>
              <w:top w:val="single" w:sz="4" w:space="0" w:color="auto"/>
              <w:left w:val="nil"/>
              <w:bottom w:val="single" w:sz="4" w:space="0" w:color="auto"/>
              <w:right w:val="single" w:sz="4" w:space="0" w:color="auto"/>
            </w:tcBorders>
            <w:shd w:val="clear" w:color="000000" w:fill="FFF2CC"/>
            <w:noWrap/>
            <w:vAlign w:val="center"/>
          </w:tcPr>
          <w:p w14:paraId="22D7E676" w14:textId="152E3C7F" w:rsidR="00B27886" w:rsidRPr="002C40D8" w:rsidRDefault="00B27886" w:rsidP="00B27886">
            <w:pPr>
              <w:widowControl/>
              <w:spacing w:before="0" w:after="0" w:line="0" w:lineRule="atLeast"/>
              <w:jc w:val="center"/>
            </w:pPr>
            <w:r w:rsidRPr="002C40D8">
              <w:t>公噸</w:t>
            </w:r>
            <w:r w:rsidRPr="002C40D8">
              <w:t>CO2e/</w:t>
            </w:r>
            <w:r w:rsidRPr="002C40D8">
              <w:t>百萬元投資</w:t>
            </w:r>
          </w:p>
        </w:tc>
        <w:tc>
          <w:tcPr>
            <w:tcW w:w="1200" w:type="dxa"/>
            <w:tcBorders>
              <w:top w:val="single" w:sz="4" w:space="0" w:color="auto"/>
              <w:left w:val="nil"/>
              <w:bottom w:val="single" w:sz="4" w:space="0" w:color="auto"/>
              <w:right w:val="single" w:sz="4" w:space="0" w:color="auto"/>
            </w:tcBorders>
            <w:shd w:val="clear" w:color="000000" w:fill="FFF2CC"/>
            <w:noWrap/>
            <w:vAlign w:val="center"/>
          </w:tcPr>
          <w:p w14:paraId="4FB0F3CA" w14:textId="29D3A403" w:rsidR="00B27886" w:rsidRPr="002C40D8" w:rsidRDefault="00B27886" w:rsidP="00B27886">
            <w:pPr>
              <w:widowControl/>
              <w:spacing w:before="0" w:after="0" w:line="0" w:lineRule="atLeast"/>
              <w:jc w:val="center"/>
              <w:rPr>
                <w:i/>
                <w:iCs/>
              </w:rPr>
            </w:pPr>
            <w:r w:rsidRPr="002C40D8">
              <w:rPr>
                <w:i/>
                <w:iCs/>
              </w:rPr>
              <w:t>102</w:t>
            </w:r>
          </w:p>
        </w:tc>
        <w:tc>
          <w:tcPr>
            <w:tcW w:w="1200" w:type="dxa"/>
            <w:tcBorders>
              <w:top w:val="single" w:sz="4" w:space="0" w:color="auto"/>
              <w:left w:val="nil"/>
              <w:bottom w:val="single" w:sz="4" w:space="0" w:color="auto"/>
              <w:right w:val="single" w:sz="4" w:space="0" w:color="auto"/>
            </w:tcBorders>
            <w:shd w:val="clear" w:color="000000" w:fill="FFF2CC"/>
            <w:noWrap/>
            <w:vAlign w:val="center"/>
          </w:tcPr>
          <w:p w14:paraId="52856BB1" w14:textId="3747D2B1" w:rsidR="00B27886" w:rsidRPr="002C40D8" w:rsidRDefault="00B27886" w:rsidP="00B27886">
            <w:pPr>
              <w:widowControl/>
              <w:spacing w:before="0" w:after="0" w:line="0" w:lineRule="atLeast"/>
              <w:jc w:val="center"/>
              <w:rPr>
                <w:i/>
                <w:iCs/>
              </w:rPr>
            </w:pPr>
            <w:r w:rsidRPr="002C40D8">
              <w:rPr>
                <w:i/>
                <w:iCs/>
              </w:rPr>
              <w:t>85</w:t>
            </w:r>
          </w:p>
        </w:tc>
        <w:tc>
          <w:tcPr>
            <w:tcW w:w="1200" w:type="dxa"/>
            <w:tcBorders>
              <w:top w:val="single" w:sz="4" w:space="0" w:color="auto"/>
              <w:left w:val="nil"/>
              <w:bottom w:val="single" w:sz="4" w:space="0" w:color="auto"/>
              <w:right w:val="single" w:sz="4" w:space="0" w:color="auto"/>
            </w:tcBorders>
            <w:shd w:val="clear" w:color="000000" w:fill="FFF2CC"/>
            <w:noWrap/>
            <w:vAlign w:val="center"/>
          </w:tcPr>
          <w:p w14:paraId="638140F0" w14:textId="596AB4B4" w:rsidR="00B27886" w:rsidRPr="002C40D8" w:rsidRDefault="00B27886" w:rsidP="00B27886">
            <w:pPr>
              <w:widowControl/>
              <w:spacing w:before="0" w:after="0" w:line="0" w:lineRule="atLeast"/>
              <w:jc w:val="center"/>
              <w:rPr>
                <w:i/>
                <w:iCs/>
              </w:rPr>
            </w:pPr>
            <w:r w:rsidRPr="002C40D8">
              <w:rPr>
                <w:i/>
                <w:iCs/>
              </w:rPr>
              <w:t>60</w:t>
            </w:r>
          </w:p>
        </w:tc>
      </w:tr>
      <w:tr w:rsidR="00B27886" w:rsidRPr="00471175" w14:paraId="7039A831" w14:textId="77777777" w:rsidTr="00A63F58">
        <w:trPr>
          <w:trHeight w:val="345"/>
        </w:trPr>
        <w:tc>
          <w:tcPr>
            <w:tcW w:w="704" w:type="dxa"/>
            <w:vMerge/>
            <w:tcBorders>
              <w:top w:val="nil"/>
              <w:left w:val="single" w:sz="4" w:space="0" w:color="auto"/>
              <w:bottom w:val="single" w:sz="4" w:space="0" w:color="auto"/>
              <w:right w:val="single" w:sz="4" w:space="0" w:color="auto"/>
            </w:tcBorders>
            <w:vAlign w:val="center"/>
            <w:hideMark/>
          </w:tcPr>
          <w:p w14:paraId="0862A185" w14:textId="77777777" w:rsidR="00B27886" w:rsidRPr="002C40D8" w:rsidRDefault="00B27886" w:rsidP="00B27886">
            <w:pPr>
              <w:widowControl/>
              <w:spacing w:before="0" w:after="0" w:line="0" w:lineRule="atLeast"/>
              <w:rPr>
                <w:b/>
                <w:bCs/>
              </w:rPr>
            </w:pPr>
          </w:p>
        </w:tc>
        <w:tc>
          <w:tcPr>
            <w:tcW w:w="2516" w:type="dxa"/>
            <w:tcBorders>
              <w:top w:val="single" w:sz="4" w:space="0" w:color="auto"/>
              <w:left w:val="nil"/>
              <w:bottom w:val="single" w:sz="4" w:space="0" w:color="auto"/>
              <w:right w:val="single" w:sz="4" w:space="0" w:color="auto"/>
            </w:tcBorders>
            <w:shd w:val="clear" w:color="000000" w:fill="FFF2CC"/>
            <w:vAlign w:val="center"/>
          </w:tcPr>
          <w:p w14:paraId="4ADB1C3F" w14:textId="6DA34683" w:rsidR="00B27886" w:rsidRPr="00377B46" w:rsidRDefault="00B27886" w:rsidP="00B27886">
            <w:pPr>
              <w:widowControl/>
              <w:spacing w:before="0" w:after="0" w:line="0" w:lineRule="atLeast"/>
              <w:jc w:val="center"/>
              <w:rPr>
                <w:b/>
                <w:bCs/>
              </w:rPr>
            </w:pPr>
            <w:r w:rsidRPr="00377B46">
              <w:rPr>
                <w:b/>
                <w:bCs/>
              </w:rPr>
              <w:t>加權平均碳密度</w:t>
            </w:r>
          </w:p>
        </w:tc>
        <w:tc>
          <w:tcPr>
            <w:tcW w:w="2580" w:type="dxa"/>
            <w:tcBorders>
              <w:top w:val="single" w:sz="4" w:space="0" w:color="auto"/>
              <w:left w:val="nil"/>
              <w:bottom w:val="single" w:sz="4" w:space="0" w:color="auto"/>
              <w:right w:val="single" w:sz="4" w:space="0" w:color="auto"/>
            </w:tcBorders>
            <w:shd w:val="clear" w:color="000000" w:fill="FFF2CC"/>
            <w:noWrap/>
            <w:vAlign w:val="center"/>
          </w:tcPr>
          <w:p w14:paraId="52D767D0" w14:textId="2BD509B9" w:rsidR="00B27886" w:rsidRPr="002C40D8" w:rsidRDefault="00B27886" w:rsidP="00B27886">
            <w:pPr>
              <w:widowControl/>
              <w:spacing w:before="0" w:after="0" w:line="0" w:lineRule="atLeast"/>
              <w:jc w:val="center"/>
            </w:pPr>
            <w:r w:rsidRPr="002C40D8">
              <w:t>公噸</w:t>
            </w:r>
            <w:r w:rsidRPr="002C40D8">
              <w:t>CO2e/</w:t>
            </w:r>
            <w:r w:rsidRPr="002C40D8">
              <w:t>百萬元營收</w:t>
            </w:r>
          </w:p>
        </w:tc>
        <w:tc>
          <w:tcPr>
            <w:tcW w:w="1200" w:type="dxa"/>
            <w:tcBorders>
              <w:top w:val="single" w:sz="4" w:space="0" w:color="auto"/>
              <w:left w:val="nil"/>
              <w:bottom w:val="single" w:sz="4" w:space="0" w:color="auto"/>
              <w:right w:val="single" w:sz="4" w:space="0" w:color="auto"/>
            </w:tcBorders>
            <w:shd w:val="clear" w:color="000000" w:fill="FFF2CC"/>
            <w:noWrap/>
            <w:vAlign w:val="center"/>
          </w:tcPr>
          <w:p w14:paraId="2CB688FB" w14:textId="26E2DB0C" w:rsidR="00B27886" w:rsidRPr="002C40D8" w:rsidRDefault="00B27886" w:rsidP="00B27886">
            <w:pPr>
              <w:widowControl/>
              <w:spacing w:before="0" w:after="0" w:line="0" w:lineRule="atLeast"/>
              <w:jc w:val="center"/>
              <w:rPr>
                <w:i/>
                <w:iCs/>
              </w:rPr>
            </w:pPr>
            <w:r w:rsidRPr="002C40D8">
              <w:rPr>
                <w:i/>
                <w:iCs/>
              </w:rPr>
              <w:t>198</w:t>
            </w:r>
          </w:p>
        </w:tc>
        <w:tc>
          <w:tcPr>
            <w:tcW w:w="1200" w:type="dxa"/>
            <w:tcBorders>
              <w:top w:val="single" w:sz="4" w:space="0" w:color="auto"/>
              <w:left w:val="nil"/>
              <w:bottom w:val="single" w:sz="4" w:space="0" w:color="auto"/>
              <w:right w:val="single" w:sz="4" w:space="0" w:color="auto"/>
            </w:tcBorders>
            <w:shd w:val="clear" w:color="000000" w:fill="FFF2CC"/>
            <w:noWrap/>
            <w:vAlign w:val="center"/>
          </w:tcPr>
          <w:p w14:paraId="71B1C6AB" w14:textId="67FA10DB" w:rsidR="00B27886" w:rsidRPr="002C40D8" w:rsidRDefault="00B27886" w:rsidP="00B27886">
            <w:pPr>
              <w:widowControl/>
              <w:spacing w:before="0" w:after="0" w:line="0" w:lineRule="atLeast"/>
              <w:jc w:val="center"/>
              <w:rPr>
                <w:i/>
                <w:iCs/>
              </w:rPr>
            </w:pPr>
            <w:r w:rsidRPr="002C40D8">
              <w:rPr>
                <w:i/>
                <w:iCs/>
              </w:rPr>
              <w:t>192</w:t>
            </w:r>
          </w:p>
        </w:tc>
        <w:tc>
          <w:tcPr>
            <w:tcW w:w="1200" w:type="dxa"/>
            <w:tcBorders>
              <w:top w:val="single" w:sz="4" w:space="0" w:color="auto"/>
              <w:left w:val="nil"/>
              <w:bottom w:val="single" w:sz="4" w:space="0" w:color="auto"/>
              <w:right w:val="single" w:sz="4" w:space="0" w:color="auto"/>
            </w:tcBorders>
            <w:shd w:val="clear" w:color="000000" w:fill="FFF2CC"/>
            <w:noWrap/>
            <w:vAlign w:val="center"/>
          </w:tcPr>
          <w:p w14:paraId="4C1F84E2" w14:textId="7F6595EB" w:rsidR="00B27886" w:rsidRPr="002C40D8" w:rsidRDefault="00B27886" w:rsidP="00B27886">
            <w:pPr>
              <w:widowControl/>
              <w:spacing w:before="0" w:after="0" w:line="0" w:lineRule="atLeast"/>
              <w:jc w:val="center"/>
              <w:rPr>
                <w:i/>
                <w:iCs/>
              </w:rPr>
            </w:pPr>
            <w:r w:rsidRPr="002C40D8">
              <w:rPr>
                <w:i/>
                <w:iCs/>
              </w:rPr>
              <w:t>161</w:t>
            </w:r>
          </w:p>
        </w:tc>
      </w:tr>
      <w:tr w:rsidR="00B27886" w:rsidRPr="00471175" w14:paraId="73E1AFA0" w14:textId="77777777" w:rsidTr="00A63F58">
        <w:trPr>
          <w:trHeight w:val="345"/>
        </w:trPr>
        <w:tc>
          <w:tcPr>
            <w:tcW w:w="704" w:type="dxa"/>
            <w:vMerge/>
            <w:tcBorders>
              <w:top w:val="nil"/>
              <w:left w:val="single" w:sz="4" w:space="0" w:color="auto"/>
              <w:bottom w:val="single" w:sz="4" w:space="0" w:color="auto"/>
              <w:right w:val="single" w:sz="4" w:space="0" w:color="auto"/>
            </w:tcBorders>
            <w:vAlign w:val="center"/>
          </w:tcPr>
          <w:p w14:paraId="751F32A7" w14:textId="77777777" w:rsidR="00B27886" w:rsidRPr="002C40D8" w:rsidRDefault="00B27886" w:rsidP="00B27886">
            <w:pPr>
              <w:widowControl/>
              <w:spacing w:before="0" w:after="0" w:line="0" w:lineRule="atLeast"/>
              <w:rPr>
                <w:b/>
                <w:bCs/>
              </w:rPr>
            </w:pPr>
          </w:p>
        </w:tc>
        <w:tc>
          <w:tcPr>
            <w:tcW w:w="2516" w:type="dxa"/>
            <w:tcBorders>
              <w:top w:val="single" w:sz="4" w:space="0" w:color="auto"/>
              <w:left w:val="nil"/>
              <w:bottom w:val="single" w:sz="4" w:space="0" w:color="auto"/>
              <w:right w:val="single" w:sz="4" w:space="0" w:color="auto"/>
            </w:tcBorders>
            <w:shd w:val="clear" w:color="000000" w:fill="FFF2CC"/>
            <w:vAlign w:val="center"/>
          </w:tcPr>
          <w:p w14:paraId="48E7167F" w14:textId="72B0CC88" w:rsidR="00B27886" w:rsidRPr="00377B46" w:rsidRDefault="00B27886" w:rsidP="00B27886">
            <w:pPr>
              <w:widowControl/>
              <w:spacing w:before="0" w:after="0" w:line="0" w:lineRule="atLeast"/>
              <w:jc w:val="center"/>
              <w:rPr>
                <w:b/>
                <w:bCs/>
              </w:rPr>
            </w:pPr>
            <w:r w:rsidRPr="00377B46">
              <w:rPr>
                <w:rFonts w:hint="eastAsia"/>
                <w:b/>
                <w:bCs/>
                <w:spacing w:val="-20"/>
              </w:rPr>
              <w:t>應盤查之基金資產巿值</w:t>
            </w:r>
            <w:r w:rsidRPr="00377B46">
              <w:rPr>
                <w:rFonts w:hint="eastAsia"/>
                <w:b/>
                <w:bCs/>
                <w:spacing w:val="-20"/>
              </w:rPr>
              <w:t>(</w:t>
            </w:r>
            <w:r w:rsidR="00A17D6F" w:rsidRPr="00377B46">
              <w:rPr>
                <w:b/>
                <w:bCs/>
                <w:spacing w:val="-20"/>
              </w:rPr>
              <w:t>A2</w:t>
            </w:r>
            <w:r w:rsidRPr="00377B46">
              <w:rPr>
                <w:b/>
                <w:bCs/>
                <w:spacing w:val="-20"/>
              </w:rPr>
              <w:t>+B2)</w:t>
            </w:r>
            <w:r w:rsidR="008178A1" w:rsidRPr="00377B46">
              <w:rPr>
                <w:b/>
                <w:bCs/>
              </w:rPr>
              <w:t xml:space="preserve"> </w:t>
            </w:r>
          </w:p>
        </w:tc>
        <w:tc>
          <w:tcPr>
            <w:tcW w:w="2580" w:type="dxa"/>
            <w:tcBorders>
              <w:top w:val="single" w:sz="4" w:space="0" w:color="auto"/>
              <w:left w:val="nil"/>
              <w:bottom w:val="single" w:sz="4" w:space="0" w:color="auto"/>
              <w:right w:val="single" w:sz="4" w:space="0" w:color="auto"/>
            </w:tcBorders>
            <w:shd w:val="clear" w:color="000000" w:fill="FFF2CC"/>
            <w:noWrap/>
            <w:vAlign w:val="center"/>
          </w:tcPr>
          <w:p w14:paraId="6456DA48" w14:textId="2EA20374" w:rsidR="00B27886" w:rsidRPr="002C40D8" w:rsidRDefault="00B27886" w:rsidP="00B27886">
            <w:pPr>
              <w:widowControl/>
              <w:spacing w:before="0" w:after="0" w:line="0" w:lineRule="atLeast"/>
              <w:jc w:val="center"/>
            </w:pPr>
            <w:r w:rsidRPr="002C40D8">
              <w:t>百萬元</w:t>
            </w:r>
          </w:p>
        </w:tc>
        <w:tc>
          <w:tcPr>
            <w:tcW w:w="1200" w:type="dxa"/>
            <w:tcBorders>
              <w:top w:val="single" w:sz="4" w:space="0" w:color="auto"/>
              <w:left w:val="nil"/>
              <w:bottom w:val="single" w:sz="4" w:space="0" w:color="auto"/>
              <w:right w:val="single" w:sz="4" w:space="0" w:color="auto"/>
            </w:tcBorders>
            <w:shd w:val="clear" w:color="000000" w:fill="FFF2CC"/>
            <w:noWrap/>
            <w:vAlign w:val="center"/>
          </w:tcPr>
          <w:p w14:paraId="7300D551" w14:textId="186B433F" w:rsidR="00B27886" w:rsidRPr="002C40D8" w:rsidRDefault="00B27886" w:rsidP="00B27886">
            <w:pPr>
              <w:widowControl/>
              <w:spacing w:before="0" w:after="0" w:line="0" w:lineRule="atLeast"/>
              <w:jc w:val="center"/>
              <w:rPr>
                <w:i/>
                <w:iCs/>
              </w:rPr>
            </w:pPr>
            <w:r w:rsidRPr="002C40D8">
              <w:rPr>
                <w:i/>
                <w:iCs/>
              </w:rPr>
              <w:t>288,067</w:t>
            </w:r>
          </w:p>
        </w:tc>
        <w:tc>
          <w:tcPr>
            <w:tcW w:w="1200" w:type="dxa"/>
            <w:tcBorders>
              <w:top w:val="single" w:sz="4" w:space="0" w:color="auto"/>
              <w:left w:val="nil"/>
              <w:bottom w:val="single" w:sz="4" w:space="0" w:color="auto"/>
              <w:right w:val="single" w:sz="4" w:space="0" w:color="auto"/>
            </w:tcBorders>
            <w:shd w:val="clear" w:color="000000" w:fill="FFF2CC"/>
            <w:noWrap/>
            <w:vAlign w:val="center"/>
          </w:tcPr>
          <w:p w14:paraId="02048A7A" w14:textId="65FF9403" w:rsidR="00B27886" w:rsidRPr="002C40D8" w:rsidRDefault="00B27886" w:rsidP="00B27886">
            <w:pPr>
              <w:widowControl/>
              <w:spacing w:before="0" w:after="0" w:line="0" w:lineRule="atLeast"/>
              <w:jc w:val="center"/>
              <w:rPr>
                <w:i/>
                <w:iCs/>
              </w:rPr>
            </w:pPr>
            <w:r w:rsidRPr="002C40D8">
              <w:rPr>
                <w:i/>
                <w:iCs/>
              </w:rPr>
              <w:t>349,176</w:t>
            </w:r>
          </w:p>
        </w:tc>
        <w:tc>
          <w:tcPr>
            <w:tcW w:w="1200" w:type="dxa"/>
            <w:tcBorders>
              <w:top w:val="single" w:sz="4" w:space="0" w:color="auto"/>
              <w:left w:val="nil"/>
              <w:bottom w:val="single" w:sz="4" w:space="0" w:color="auto"/>
              <w:right w:val="single" w:sz="4" w:space="0" w:color="auto"/>
            </w:tcBorders>
            <w:shd w:val="clear" w:color="000000" w:fill="FFF2CC"/>
            <w:noWrap/>
            <w:vAlign w:val="center"/>
          </w:tcPr>
          <w:p w14:paraId="03411C27" w14:textId="18DE25E9" w:rsidR="00B27886" w:rsidRPr="002C40D8" w:rsidRDefault="00B27886" w:rsidP="00B27886">
            <w:pPr>
              <w:widowControl/>
              <w:spacing w:before="0" w:after="0" w:line="0" w:lineRule="atLeast"/>
              <w:jc w:val="center"/>
              <w:rPr>
                <w:i/>
                <w:iCs/>
              </w:rPr>
            </w:pPr>
            <w:r w:rsidRPr="002C40D8">
              <w:rPr>
                <w:i/>
                <w:iCs/>
              </w:rPr>
              <w:t>329,146</w:t>
            </w:r>
          </w:p>
        </w:tc>
      </w:tr>
      <w:tr w:rsidR="008178A1" w:rsidRPr="00471175" w14:paraId="09B93BAB" w14:textId="77777777" w:rsidTr="00270239">
        <w:trPr>
          <w:trHeight w:val="631"/>
        </w:trPr>
        <w:tc>
          <w:tcPr>
            <w:tcW w:w="704" w:type="dxa"/>
            <w:vMerge/>
            <w:tcBorders>
              <w:top w:val="nil"/>
              <w:left w:val="single" w:sz="4" w:space="0" w:color="auto"/>
              <w:bottom w:val="single" w:sz="4" w:space="0" w:color="auto"/>
              <w:right w:val="single" w:sz="4" w:space="0" w:color="auto"/>
            </w:tcBorders>
            <w:vAlign w:val="center"/>
          </w:tcPr>
          <w:p w14:paraId="65B1DBAF" w14:textId="77777777" w:rsidR="008178A1" w:rsidRPr="002C40D8" w:rsidRDefault="008178A1" w:rsidP="00B27886">
            <w:pPr>
              <w:widowControl/>
              <w:spacing w:before="0" w:after="0" w:line="0" w:lineRule="atLeast"/>
              <w:rPr>
                <w:b/>
                <w:bCs/>
              </w:rPr>
            </w:pPr>
          </w:p>
        </w:tc>
        <w:tc>
          <w:tcPr>
            <w:tcW w:w="2516" w:type="dxa"/>
            <w:tcBorders>
              <w:top w:val="single" w:sz="4" w:space="0" w:color="auto"/>
              <w:left w:val="nil"/>
              <w:right w:val="single" w:sz="4" w:space="0" w:color="auto"/>
            </w:tcBorders>
            <w:shd w:val="clear" w:color="000000" w:fill="FFF2CC"/>
            <w:vAlign w:val="center"/>
          </w:tcPr>
          <w:p w14:paraId="7345B2F8" w14:textId="38A4862A" w:rsidR="008178A1" w:rsidRPr="00377B46" w:rsidRDefault="008178A1" w:rsidP="00B27886">
            <w:pPr>
              <w:widowControl/>
              <w:spacing w:before="0" w:after="0" w:line="0" w:lineRule="atLeast"/>
              <w:jc w:val="center"/>
              <w:rPr>
                <w:b/>
                <w:bCs/>
              </w:rPr>
            </w:pPr>
            <w:r w:rsidRPr="00377B46">
              <w:rPr>
                <w:b/>
                <w:bCs/>
              </w:rPr>
              <w:t>盤查</w:t>
            </w:r>
            <w:r w:rsidR="00E709C2" w:rsidRPr="00377B46">
              <w:rPr>
                <w:rFonts w:hint="eastAsia"/>
                <w:b/>
                <w:bCs/>
              </w:rPr>
              <w:t>覆</w:t>
            </w:r>
            <w:r w:rsidRPr="00377B46">
              <w:rPr>
                <w:b/>
                <w:bCs/>
              </w:rPr>
              <w:t>蓋率</w:t>
            </w:r>
            <w:r w:rsidRPr="00377B46">
              <w:rPr>
                <w:rFonts w:hint="eastAsia"/>
                <w:b/>
                <w:bCs/>
              </w:rPr>
              <w:t>(</w:t>
            </w:r>
            <w:r w:rsidRPr="00377B46">
              <w:rPr>
                <w:b/>
                <w:bCs/>
              </w:rPr>
              <w:t>A1+B1)/(A2+B2)</w:t>
            </w:r>
          </w:p>
        </w:tc>
        <w:tc>
          <w:tcPr>
            <w:tcW w:w="2580" w:type="dxa"/>
            <w:tcBorders>
              <w:top w:val="single" w:sz="4" w:space="0" w:color="auto"/>
              <w:left w:val="nil"/>
              <w:right w:val="single" w:sz="4" w:space="0" w:color="auto"/>
            </w:tcBorders>
            <w:shd w:val="clear" w:color="000000" w:fill="FFF2CC"/>
            <w:noWrap/>
            <w:vAlign w:val="center"/>
          </w:tcPr>
          <w:p w14:paraId="53EFD199" w14:textId="4EBADAC1" w:rsidR="008178A1" w:rsidRPr="002C40D8" w:rsidRDefault="008178A1" w:rsidP="00B27886">
            <w:pPr>
              <w:widowControl/>
              <w:spacing w:before="0" w:after="0" w:line="0" w:lineRule="atLeast"/>
              <w:jc w:val="center"/>
            </w:pPr>
            <w:r w:rsidRPr="002C40D8">
              <w:t>%</w:t>
            </w:r>
          </w:p>
        </w:tc>
        <w:tc>
          <w:tcPr>
            <w:tcW w:w="1200" w:type="dxa"/>
            <w:tcBorders>
              <w:top w:val="single" w:sz="4" w:space="0" w:color="auto"/>
              <w:left w:val="nil"/>
              <w:right w:val="single" w:sz="4" w:space="0" w:color="auto"/>
            </w:tcBorders>
            <w:shd w:val="clear" w:color="000000" w:fill="FFF2CC"/>
            <w:noWrap/>
            <w:vAlign w:val="center"/>
          </w:tcPr>
          <w:p w14:paraId="3248BE03" w14:textId="71670357" w:rsidR="008178A1" w:rsidRPr="002C40D8" w:rsidRDefault="008178A1" w:rsidP="00B27886">
            <w:pPr>
              <w:widowControl/>
              <w:spacing w:before="0" w:after="0" w:line="0" w:lineRule="atLeast"/>
              <w:jc w:val="center"/>
              <w:rPr>
                <w:i/>
                <w:iCs/>
              </w:rPr>
            </w:pPr>
            <w:r w:rsidRPr="002C40D8">
              <w:rPr>
                <w:i/>
                <w:iCs/>
              </w:rPr>
              <w:t>91</w:t>
            </w:r>
          </w:p>
        </w:tc>
        <w:tc>
          <w:tcPr>
            <w:tcW w:w="1200" w:type="dxa"/>
            <w:tcBorders>
              <w:top w:val="single" w:sz="4" w:space="0" w:color="auto"/>
              <w:left w:val="nil"/>
              <w:right w:val="single" w:sz="4" w:space="0" w:color="auto"/>
            </w:tcBorders>
            <w:shd w:val="clear" w:color="000000" w:fill="FFF2CC"/>
            <w:noWrap/>
            <w:vAlign w:val="center"/>
          </w:tcPr>
          <w:p w14:paraId="2BAE545B" w14:textId="7CEE8466" w:rsidR="008178A1" w:rsidRPr="002C40D8" w:rsidRDefault="008178A1" w:rsidP="00B27886">
            <w:pPr>
              <w:widowControl/>
              <w:spacing w:before="0" w:after="0" w:line="0" w:lineRule="atLeast"/>
              <w:jc w:val="center"/>
              <w:rPr>
                <w:i/>
                <w:iCs/>
              </w:rPr>
            </w:pPr>
            <w:r w:rsidRPr="002C40D8">
              <w:rPr>
                <w:i/>
                <w:iCs/>
              </w:rPr>
              <w:t>91</w:t>
            </w:r>
          </w:p>
        </w:tc>
        <w:tc>
          <w:tcPr>
            <w:tcW w:w="1200" w:type="dxa"/>
            <w:tcBorders>
              <w:top w:val="single" w:sz="4" w:space="0" w:color="auto"/>
              <w:left w:val="nil"/>
              <w:right w:val="single" w:sz="4" w:space="0" w:color="auto"/>
            </w:tcBorders>
            <w:shd w:val="clear" w:color="000000" w:fill="FFF2CC"/>
            <w:noWrap/>
            <w:vAlign w:val="center"/>
          </w:tcPr>
          <w:p w14:paraId="59E6E3AD" w14:textId="51856361" w:rsidR="008178A1" w:rsidRPr="002C40D8" w:rsidRDefault="008178A1" w:rsidP="00B27886">
            <w:pPr>
              <w:widowControl/>
              <w:spacing w:before="0" w:after="0" w:line="0" w:lineRule="atLeast"/>
              <w:jc w:val="center"/>
              <w:rPr>
                <w:i/>
                <w:iCs/>
              </w:rPr>
            </w:pPr>
            <w:r w:rsidRPr="002C40D8">
              <w:rPr>
                <w:i/>
                <w:iCs/>
              </w:rPr>
              <w:t>92</w:t>
            </w:r>
          </w:p>
        </w:tc>
      </w:tr>
      <w:tr w:rsidR="00B27886" w:rsidRPr="00471175" w14:paraId="750C4F5C" w14:textId="77777777" w:rsidTr="004E18DF">
        <w:trPr>
          <w:trHeight w:val="345"/>
        </w:trPr>
        <w:tc>
          <w:tcPr>
            <w:tcW w:w="32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5A51887" w14:textId="19CFD8CD" w:rsidR="00B27886" w:rsidRPr="00377B46" w:rsidRDefault="00B27886" w:rsidP="00B27886">
            <w:pPr>
              <w:widowControl/>
              <w:spacing w:before="0" w:after="0" w:line="0" w:lineRule="atLeast"/>
              <w:jc w:val="center"/>
              <w:rPr>
                <w:b/>
                <w:bCs/>
                <w:spacing w:val="-20"/>
              </w:rPr>
            </w:pPr>
            <w:r w:rsidRPr="00377B46">
              <w:rPr>
                <w:rFonts w:hint="eastAsia"/>
                <w:b/>
                <w:bCs/>
              </w:rPr>
              <w:t>總管理基金資產市值</w:t>
            </w:r>
            <w:r w:rsidRPr="00377B46">
              <w:rPr>
                <w:rFonts w:hint="eastAsia"/>
                <w:b/>
                <w:bCs/>
              </w:rPr>
              <w:t>(</w:t>
            </w:r>
            <w:r w:rsidRPr="00377B46">
              <w:rPr>
                <w:b/>
                <w:bCs/>
              </w:rPr>
              <w:t>C</w:t>
            </w:r>
            <w:r w:rsidRPr="00377B46">
              <w:rPr>
                <w:rFonts w:hint="eastAsia"/>
                <w:b/>
                <w:bCs/>
              </w:rPr>
              <w:t>)</w:t>
            </w:r>
          </w:p>
        </w:tc>
        <w:tc>
          <w:tcPr>
            <w:tcW w:w="2580" w:type="dxa"/>
            <w:tcBorders>
              <w:top w:val="single" w:sz="4" w:space="0" w:color="auto"/>
              <w:left w:val="nil"/>
              <w:bottom w:val="single" w:sz="4" w:space="0" w:color="auto"/>
              <w:right w:val="single" w:sz="4" w:space="0" w:color="auto"/>
            </w:tcBorders>
            <w:shd w:val="clear" w:color="auto" w:fill="EDEDED" w:themeFill="accent3" w:themeFillTint="33"/>
            <w:noWrap/>
            <w:vAlign w:val="center"/>
          </w:tcPr>
          <w:p w14:paraId="29AAB834" w14:textId="4EA69A22" w:rsidR="00B27886" w:rsidRPr="002C40D8" w:rsidRDefault="00B27886" w:rsidP="00B27886">
            <w:pPr>
              <w:widowControl/>
              <w:spacing w:before="0" w:after="0" w:line="0" w:lineRule="atLeast"/>
              <w:jc w:val="center"/>
            </w:pPr>
            <w:r w:rsidRPr="002C40D8">
              <w:t>百萬元</w:t>
            </w:r>
          </w:p>
        </w:tc>
        <w:tc>
          <w:tcPr>
            <w:tcW w:w="1200" w:type="dxa"/>
            <w:tcBorders>
              <w:top w:val="single" w:sz="4" w:space="0" w:color="auto"/>
              <w:left w:val="nil"/>
              <w:bottom w:val="single" w:sz="4" w:space="0" w:color="auto"/>
              <w:right w:val="single" w:sz="4" w:space="0" w:color="auto"/>
            </w:tcBorders>
            <w:shd w:val="clear" w:color="auto" w:fill="EDEDED" w:themeFill="accent3" w:themeFillTint="33"/>
            <w:noWrap/>
            <w:vAlign w:val="center"/>
          </w:tcPr>
          <w:p w14:paraId="15696F78" w14:textId="6873EC81" w:rsidR="00B27886" w:rsidRPr="002C40D8" w:rsidRDefault="00B27886" w:rsidP="00B27886">
            <w:pPr>
              <w:widowControl/>
              <w:spacing w:before="0" w:after="0" w:line="0" w:lineRule="atLeast"/>
              <w:jc w:val="center"/>
              <w:rPr>
                <w:i/>
                <w:iCs/>
              </w:rPr>
            </w:pPr>
            <w:r w:rsidRPr="002C40D8">
              <w:rPr>
                <w:rFonts w:hint="eastAsia"/>
                <w:i/>
                <w:iCs/>
              </w:rPr>
              <w:t>4</w:t>
            </w:r>
            <w:r w:rsidRPr="002C40D8">
              <w:rPr>
                <w:i/>
                <w:iCs/>
              </w:rPr>
              <w:t>80,112</w:t>
            </w:r>
          </w:p>
        </w:tc>
        <w:tc>
          <w:tcPr>
            <w:tcW w:w="1200" w:type="dxa"/>
            <w:tcBorders>
              <w:top w:val="single" w:sz="4" w:space="0" w:color="auto"/>
              <w:left w:val="nil"/>
              <w:bottom w:val="single" w:sz="4" w:space="0" w:color="auto"/>
              <w:right w:val="single" w:sz="4" w:space="0" w:color="auto"/>
            </w:tcBorders>
            <w:shd w:val="clear" w:color="auto" w:fill="EDEDED" w:themeFill="accent3" w:themeFillTint="33"/>
            <w:noWrap/>
            <w:vAlign w:val="center"/>
          </w:tcPr>
          <w:p w14:paraId="08E61A80" w14:textId="42450F1E" w:rsidR="00B27886" w:rsidRPr="002C40D8" w:rsidRDefault="00B27886" w:rsidP="00B27886">
            <w:pPr>
              <w:widowControl/>
              <w:spacing w:before="0" w:after="0" w:line="0" w:lineRule="atLeast"/>
              <w:jc w:val="center"/>
              <w:rPr>
                <w:i/>
                <w:iCs/>
              </w:rPr>
            </w:pPr>
            <w:r w:rsidRPr="002C40D8">
              <w:rPr>
                <w:rFonts w:hint="eastAsia"/>
                <w:i/>
                <w:iCs/>
              </w:rPr>
              <w:t>5</w:t>
            </w:r>
            <w:r w:rsidRPr="002C40D8">
              <w:rPr>
                <w:i/>
                <w:iCs/>
              </w:rPr>
              <w:t>37,194</w:t>
            </w:r>
          </w:p>
        </w:tc>
        <w:tc>
          <w:tcPr>
            <w:tcW w:w="1200" w:type="dxa"/>
            <w:tcBorders>
              <w:top w:val="single" w:sz="4" w:space="0" w:color="auto"/>
              <w:left w:val="nil"/>
              <w:bottom w:val="single" w:sz="4" w:space="0" w:color="auto"/>
              <w:right w:val="single" w:sz="4" w:space="0" w:color="auto"/>
            </w:tcBorders>
            <w:shd w:val="clear" w:color="auto" w:fill="EDEDED" w:themeFill="accent3" w:themeFillTint="33"/>
            <w:noWrap/>
            <w:vAlign w:val="center"/>
          </w:tcPr>
          <w:p w14:paraId="7E93540C" w14:textId="6E61CE35" w:rsidR="00B27886" w:rsidRPr="002C40D8" w:rsidRDefault="00B27886" w:rsidP="00B27886">
            <w:pPr>
              <w:widowControl/>
              <w:spacing w:before="0" w:after="0" w:line="0" w:lineRule="atLeast"/>
              <w:jc w:val="center"/>
              <w:rPr>
                <w:i/>
                <w:iCs/>
              </w:rPr>
            </w:pPr>
            <w:r w:rsidRPr="002C40D8">
              <w:rPr>
                <w:rFonts w:hint="eastAsia"/>
                <w:i/>
                <w:iCs/>
              </w:rPr>
              <w:t>4</w:t>
            </w:r>
            <w:r w:rsidRPr="002C40D8">
              <w:rPr>
                <w:i/>
                <w:iCs/>
              </w:rPr>
              <w:t>70,209</w:t>
            </w:r>
          </w:p>
        </w:tc>
      </w:tr>
      <w:tr w:rsidR="00B27886" w:rsidRPr="00471175" w14:paraId="72B64C3A" w14:textId="77777777" w:rsidTr="004E18DF">
        <w:trPr>
          <w:trHeight w:val="345"/>
        </w:trPr>
        <w:tc>
          <w:tcPr>
            <w:tcW w:w="322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98F4234" w14:textId="3F8A5A8B" w:rsidR="00B27886" w:rsidRPr="002C40D8" w:rsidRDefault="00B27886" w:rsidP="00B27886">
            <w:pPr>
              <w:widowControl/>
              <w:spacing w:before="0" w:after="0" w:line="0" w:lineRule="atLeast"/>
              <w:jc w:val="center"/>
              <w:rPr>
                <w:b/>
                <w:bCs/>
              </w:rPr>
            </w:pPr>
            <w:bookmarkStart w:id="16" w:name="_Hlk156896060"/>
            <w:r w:rsidRPr="002C40D8">
              <w:rPr>
                <w:rFonts w:hint="eastAsia"/>
                <w:b/>
                <w:bCs/>
              </w:rPr>
              <w:t>應盤查之基金資產巿值占總管理基金資產市值</w:t>
            </w:r>
            <w:r w:rsidRPr="002C40D8">
              <w:rPr>
                <w:rFonts w:hint="eastAsia"/>
                <w:b/>
                <w:bCs/>
              </w:rPr>
              <w:t>(</w:t>
            </w:r>
            <w:r w:rsidR="00A17D6F" w:rsidRPr="002C40D8">
              <w:rPr>
                <w:b/>
                <w:bCs/>
              </w:rPr>
              <w:t>A2</w:t>
            </w:r>
            <w:r w:rsidRPr="002C40D8">
              <w:rPr>
                <w:b/>
                <w:bCs/>
              </w:rPr>
              <w:t>+B2)/C</w:t>
            </w:r>
            <w:bookmarkEnd w:id="16"/>
          </w:p>
        </w:tc>
        <w:tc>
          <w:tcPr>
            <w:tcW w:w="2580" w:type="dxa"/>
            <w:tcBorders>
              <w:top w:val="single" w:sz="4" w:space="0" w:color="auto"/>
              <w:left w:val="nil"/>
              <w:bottom w:val="single" w:sz="4" w:space="0" w:color="auto"/>
              <w:right w:val="single" w:sz="4" w:space="0" w:color="auto"/>
            </w:tcBorders>
            <w:shd w:val="clear" w:color="auto" w:fill="EDEDED" w:themeFill="accent3" w:themeFillTint="33"/>
            <w:noWrap/>
            <w:vAlign w:val="center"/>
          </w:tcPr>
          <w:p w14:paraId="37EBB642" w14:textId="7B65B9DD" w:rsidR="00B27886" w:rsidRPr="002C40D8" w:rsidRDefault="00B27886" w:rsidP="00B27886">
            <w:pPr>
              <w:widowControl/>
              <w:spacing w:before="0" w:after="0" w:line="0" w:lineRule="atLeast"/>
              <w:jc w:val="center"/>
            </w:pPr>
            <w:r w:rsidRPr="002C40D8">
              <w:t>%</w:t>
            </w:r>
          </w:p>
        </w:tc>
        <w:tc>
          <w:tcPr>
            <w:tcW w:w="1200" w:type="dxa"/>
            <w:tcBorders>
              <w:top w:val="single" w:sz="4" w:space="0" w:color="auto"/>
              <w:left w:val="nil"/>
              <w:bottom w:val="single" w:sz="4" w:space="0" w:color="auto"/>
              <w:right w:val="single" w:sz="4" w:space="0" w:color="auto"/>
            </w:tcBorders>
            <w:shd w:val="clear" w:color="auto" w:fill="EDEDED" w:themeFill="accent3" w:themeFillTint="33"/>
            <w:noWrap/>
            <w:vAlign w:val="center"/>
          </w:tcPr>
          <w:p w14:paraId="68BBD4FF" w14:textId="08983F69" w:rsidR="00B27886" w:rsidRPr="002C40D8" w:rsidRDefault="00B27886" w:rsidP="00B27886">
            <w:pPr>
              <w:widowControl/>
              <w:spacing w:before="0" w:after="0" w:line="0" w:lineRule="atLeast"/>
              <w:jc w:val="center"/>
              <w:rPr>
                <w:i/>
                <w:iCs/>
              </w:rPr>
            </w:pPr>
            <w:r w:rsidRPr="002C40D8">
              <w:rPr>
                <w:i/>
                <w:iCs/>
              </w:rPr>
              <w:t>60</w:t>
            </w:r>
          </w:p>
        </w:tc>
        <w:tc>
          <w:tcPr>
            <w:tcW w:w="1200" w:type="dxa"/>
            <w:tcBorders>
              <w:top w:val="single" w:sz="4" w:space="0" w:color="auto"/>
              <w:left w:val="nil"/>
              <w:bottom w:val="single" w:sz="4" w:space="0" w:color="auto"/>
              <w:right w:val="single" w:sz="4" w:space="0" w:color="auto"/>
            </w:tcBorders>
            <w:shd w:val="clear" w:color="auto" w:fill="EDEDED" w:themeFill="accent3" w:themeFillTint="33"/>
            <w:noWrap/>
            <w:vAlign w:val="center"/>
          </w:tcPr>
          <w:p w14:paraId="08E71E5F" w14:textId="53C556D1" w:rsidR="00B27886" w:rsidRPr="002C40D8" w:rsidRDefault="00B27886" w:rsidP="00B27886">
            <w:pPr>
              <w:widowControl/>
              <w:spacing w:before="0" w:after="0" w:line="0" w:lineRule="atLeast"/>
              <w:jc w:val="center"/>
              <w:rPr>
                <w:i/>
                <w:iCs/>
              </w:rPr>
            </w:pPr>
            <w:r w:rsidRPr="002C40D8">
              <w:rPr>
                <w:i/>
                <w:iCs/>
              </w:rPr>
              <w:t>65</w:t>
            </w:r>
          </w:p>
        </w:tc>
        <w:tc>
          <w:tcPr>
            <w:tcW w:w="1200" w:type="dxa"/>
            <w:tcBorders>
              <w:top w:val="single" w:sz="4" w:space="0" w:color="auto"/>
              <w:left w:val="nil"/>
              <w:bottom w:val="single" w:sz="4" w:space="0" w:color="auto"/>
              <w:right w:val="single" w:sz="4" w:space="0" w:color="auto"/>
            </w:tcBorders>
            <w:shd w:val="clear" w:color="auto" w:fill="EDEDED" w:themeFill="accent3" w:themeFillTint="33"/>
            <w:noWrap/>
            <w:vAlign w:val="center"/>
          </w:tcPr>
          <w:p w14:paraId="2584CCEC" w14:textId="54A06831" w:rsidR="00B27886" w:rsidRPr="002C40D8" w:rsidRDefault="00B27886" w:rsidP="00B27886">
            <w:pPr>
              <w:widowControl/>
              <w:spacing w:before="0" w:after="0" w:line="0" w:lineRule="atLeast"/>
              <w:jc w:val="center"/>
              <w:rPr>
                <w:i/>
                <w:iCs/>
              </w:rPr>
            </w:pPr>
            <w:r w:rsidRPr="002C40D8">
              <w:rPr>
                <w:i/>
                <w:iCs/>
              </w:rPr>
              <w:t>70</w:t>
            </w:r>
          </w:p>
        </w:tc>
      </w:tr>
      <w:bookmarkEnd w:id="14"/>
    </w:tbl>
    <w:p w14:paraId="559FA814" w14:textId="5340F2C8" w:rsidR="00F0783F" w:rsidRDefault="00F0783F" w:rsidP="00F0783F">
      <w:pPr>
        <w:widowControl/>
        <w:spacing w:before="0" w:after="0" w:line="240" w:lineRule="auto"/>
        <w:rPr>
          <w:b/>
        </w:rPr>
      </w:pPr>
    </w:p>
    <w:p w14:paraId="4E3C0794" w14:textId="67C2477A" w:rsidR="00B06A7B" w:rsidRDefault="008178A1" w:rsidP="00B06A7B">
      <w:pPr>
        <w:widowControl/>
        <w:spacing w:before="0" w:after="0" w:line="240" w:lineRule="auto"/>
        <w:rPr>
          <w:b/>
        </w:rPr>
      </w:pPr>
      <w:r w:rsidRPr="00471175">
        <w:rPr>
          <w:noProof/>
        </w:rPr>
        <w:lastRenderedPageBreak/>
        <w:drawing>
          <wp:anchor distT="0" distB="0" distL="114300" distR="114300" simplePos="0" relativeHeight="251666432" behindDoc="1" locked="0" layoutInCell="1" allowOverlap="0" wp14:anchorId="6808CCBC" wp14:editId="039800B8">
            <wp:simplePos x="0" y="0"/>
            <wp:positionH relativeFrom="column">
              <wp:posOffset>-488950</wp:posOffset>
            </wp:positionH>
            <wp:positionV relativeFrom="page">
              <wp:posOffset>1136650</wp:posOffset>
            </wp:positionV>
            <wp:extent cx="3305810" cy="2322830"/>
            <wp:effectExtent l="0" t="0" r="8890" b="1270"/>
            <wp:wrapTight wrapText="bothSides">
              <wp:wrapPolygon edited="0">
                <wp:start x="0" y="0"/>
                <wp:lineTo x="0" y="21435"/>
                <wp:lineTo x="21534" y="21435"/>
                <wp:lineTo x="21534" y="0"/>
                <wp:lineTo x="0" y="0"/>
              </wp:wrapPolygon>
            </wp:wrapTight>
            <wp:docPr id="674804817" name="圖表 1">
              <a:extLst xmlns:a="http://schemas.openxmlformats.org/drawingml/2006/main">
                <a:ext uri="{FF2B5EF4-FFF2-40B4-BE49-F238E27FC236}">
                  <a16:creationId xmlns:a16="http://schemas.microsoft.com/office/drawing/2014/main" id="{59E620C7-F265-EF21-D7B2-DDD57BF03C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0D2E98" w:rsidRPr="00471175">
        <w:rPr>
          <w:noProof/>
        </w:rPr>
        <w:drawing>
          <wp:anchor distT="0" distB="0" distL="114300" distR="114300" simplePos="0" relativeHeight="251664384" behindDoc="1" locked="0" layoutInCell="1" allowOverlap="1" wp14:anchorId="61600BB8" wp14:editId="724F32CF">
            <wp:simplePos x="0" y="0"/>
            <wp:positionH relativeFrom="column">
              <wp:posOffset>2894965</wp:posOffset>
            </wp:positionH>
            <wp:positionV relativeFrom="paragraph">
              <wp:posOffset>222250</wp:posOffset>
            </wp:positionV>
            <wp:extent cx="3467100" cy="2322830"/>
            <wp:effectExtent l="0" t="0" r="0" b="1270"/>
            <wp:wrapTight wrapText="bothSides">
              <wp:wrapPolygon edited="0">
                <wp:start x="0" y="0"/>
                <wp:lineTo x="0" y="21435"/>
                <wp:lineTo x="21481" y="21435"/>
                <wp:lineTo x="21481" y="0"/>
                <wp:lineTo x="0" y="0"/>
              </wp:wrapPolygon>
            </wp:wrapTight>
            <wp:docPr id="1242237384" name="圖表 1">
              <a:extLst xmlns:a="http://schemas.openxmlformats.org/drawingml/2006/main">
                <a:ext uri="{FF2B5EF4-FFF2-40B4-BE49-F238E27FC236}">
                  <a16:creationId xmlns:a16="http://schemas.microsoft.com/office/drawing/2014/main" id="{EA6B6FA4-D5B6-406E-AF63-0A47618E93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20F7B8B3" w14:textId="74C5EA81" w:rsidR="00B06A7B" w:rsidRDefault="00B06A7B" w:rsidP="003E5C16">
      <w:pPr>
        <w:adjustRightInd w:val="0"/>
        <w:snapToGrid w:val="0"/>
        <w:spacing w:before="0" w:after="0" w:line="240" w:lineRule="exact"/>
        <w:ind w:left="567" w:hangingChars="236" w:hanging="567"/>
        <w:rPr>
          <w:b/>
        </w:rPr>
      </w:pPr>
    </w:p>
    <w:p w14:paraId="7DE83780" w14:textId="6F3AC342" w:rsidR="00F0783F" w:rsidRPr="00471175" w:rsidRDefault="00F0783F" w:rsidP="00723D37">
      <w:pPr>
        <w:adjustRightInd w:val="0"/>
        <w:snapToGrid w:val="0"/>
        <w:spacing w:line="240" w:lineRule="exact"/>
        <w:ind w:left="567" w:hangingChars="236" w:hanging="567"/>
        <w:rPr>
          <w:b/>
        </w:rPr>
      </w:pPr>
      <w:r w:rsidRPr="00471175">
        <w:rPr>
          <w:b/>
        </w:rPr>
        <w:t>(</w:t>
      </w:r>
      <w:r w:rsidRPr="00471175">
        <w:rPr>
          <w:b/>
        </w:rPr>
        <w:t>三</w:t>
      </w:r>
      <w:r w:rsidRPr="00471175">
        <w:rPr>
          <w:b/>
        </w:rPr>
        <w:t xml:space="preserve">) </w:t>
      </w:r>
      <w:r w:rsidRPr="00471175">
        <w:rPr>
          <w:b/>
          <w:bCs/>
        </w:rPr>
        <w:t>指標之定義及計算說明</w:t>
      </w:r>
      <w:r w:rsidR="009B7997" w:rsidRPr="00471175">
        <w:rPr>
          <w:rFonts w:eastAsia="微軟正黑體"/>
          <w:color w:val="0070C0"/>
          <w:sz w:val="16"/>
          <w:szCs w:val="16"/>
        </w:rPr>
        <w:t>【</w:t>
      </w:r>
      <w:r w:rsidR="009B7997" w:rsidRPr="00624FCF">
        <w:rPr>
          <w:rFonts w:eastAsia="微軟正黑體" w:hint="eastAsia"/>
          <w:color w:val="0070C0"/>
          <w:sz w:val="16"/>
          <w:szCs w:val="16"/>
        </w:rPr>
        <w:t>M.</w:t>
      </w:r>
      <w:r w:rsidR="009B7997">
        <w:rPr>
          <w:rFonts w:eastAsia="微軟正黑體"/>
          <w:color w:val="0070C0"/>
          <w:sz w:val="16"/>
          <w:szCs w:val="16"/>
        </w:rPr>
        <w:t>2.</w:t>
      </w:r>
      <w:r w:rsidR="009B7997" w:rsidRPr="00624FCF">
        <w:rPr>
          <w:rFonts w:eastAsia="微軟正黑體" w:hint="eastAsia"/>
          <w:color w:val="0070C0"/>
          <w:sz w:val="16"/>
          <w:szCs w:val="16"/>
        </w:rPr>
        <w:t>(</w:t>
      </w:r>
      <w:r w:rsidR="009B7997">
        <w:rPr>
          <w:rFonts w:eastAsia="微軟正黑體"/>
          <w:color w:val="0070C0"/>
          <w:sz w:val="16"/>
          <w:szCs w:val="16"/>
        </w:rPr>
        <w:t>2</w:t>
      </w:r>
      <w:r w:rsidR="009B7997" w:rsidRPr="00624FCF">
        <w:rPr>
          <w:rFonts w:eastAsia="微軟正黑體" w:hint="eastAsia"/>
          <w:color w:val="0070C0"/>
          <w:sz w:val="16"/>
          <w:szCs w:val="16"/>
        </w:rPr>
        <w:t>)</w:t>
      </w:r>
      <w:r w:rsidR="009B7997" w:rsidRPr="00471175">
        <w:rPr>
          <w:rFonts w:eastAsia="微軟正黑體"/>
          <w:color w:val="0070C0"/>
          <w:sz w:val="16"/>
          <w:szCs w:val="16"/>
        </w:rPr>
        <w:t>】【</w:t>
      </w:r>
      <w:r w:rsidR="009B7997" w:rsidRPr="00624FCF">
        <w:rPr>
          <w:rFonts w:eastAsia="微軟正黑體" w:hint="eastAsia"/>
          <w:color w:val="0070C0"/>
          <w:sz w:val="16"/>
          <w:szCs w:val="16"/>
        </w:rPr>
        <w:t>M.</w:t>
      </w:r>
      <w:r w:rsidR="009B7997">
        <w:rPr>
          <w:rFonts w:eastAsia="微軟正黑體"/>
          <w:color w:val="0070C0"/>
          <w:sz w:val="16"/>
          <w:szCs w:val="16"/>
        </w:rPr>
        <w:t>2.</w:t>
      </w:r>
      <w:r w:rsidR="009B7997" w:rsidRPr="00624FCF">
        <w:rPr>
          <w:rFonts w:eastAsia="微軟正黑體" w:hint="eastAsia"/>
          <w:color w:val="0070C0"/>
          <w:sz w:val="16"/>
          <w:szCs w:val="16"/>
        </w:rPr>
        <w:t>(</w:t>
      </w:r>
      <w:r w:rsidR="009B7997">
        <w:rPr>
          <w:rFonts w:eastAsia="微軟正黑體"/>
          <w:color w:val="0070C0"/>
          <w:sz w:val="16"/>
          <w:szCs w:val="16"/>
        </w:rPr>
        <w:t>3</w:t>
      </w:r>
      <w:r w:rsidR="009B7997" w:rsidRPr="00624FCF">
        <w:rPr>
          <w:rFonts w:eastAsia="微軟正黑體" w:hint="eastAsia"/>
          <w:color w:val="0070C0"/>
          <w:sz w:val="16"/>
          <w:szCs w:val="16"/>
        </w:rPr>
        <w:t>)</w:t>
      </w:r>
      <w:r w:rsidR="009B7997" w:rsidRPr="00471175">
        <w:rPr>
          <w:rFonts w:eastAsia="微軟正黑體"/>
          <w:color w:val="0070C0"/>
          <w:sz w:val="16"/>
          <w:szCs w:val="16"/>
        </w:rPr>
        <w:t>】</w:t>
      </w:r>
    </w:p>
    <w:p w14:paraId="50A637CA" w14:textId="77777777" w:rsidR="00F0783F" w:rsidRPr="00471175" w:rsidRDefault="00F0783F" w:rsidP="00F0783F">
      <w:pPr>
        <w:widowControl/>
        <w:spacing w:before="0" w:afterLines="50" w:after="180" w:line="360" w:lineRule="exact"/>
        <w:ind w:leftChars="294" w:left="848" w:hangingChars="59" w:hanging="142"/>
        <w:jc w:val="both"/>
      </w:pPr>
      <w:r w:rsidRPr="00471175">
        <w:t>1.</w:t>
      </w:r>
      <w:r w:rsidRPr="00471175">
        <w:t>範疇一</w:t>
      </w:r>
      <w:r w:rsidRPr="00471175">
        <w:t>(</w:t>
      </w:r>
      <w:r w:rsidRPr="00471175">
        <w:t>直接溫室氣體排放</w:t>
      </w:r>
      <w:r w:rsidRPr="00471175">
        <w:t>)</w:t>
      </w:r>
      <w:r w:rsidRPr="00471175">
        <w:t>排放主要為公務車用油、發電機柴油及瓦斯，其排放係數依據「行政院環保署溫室氣體排放係數管理表</w:t>
      </w:r>
      <w:r w:rsidRPr="00471175">
        <w:t xml:space="preserve"> 6.0.4</w:t>
      </w:r>
      <w:r w:rsidRPr="00471175">
        <w:t>」計算。</w:t>
      </w:r>
    </w:p>
    <w:p w14:paraId="13B717D4" w14:textId="600F1BE9" w:rsidR="00953E6B" w:rsidRDefault="00F0783F" w:rsidP="00F0783F">
      <w:pPr>
        <w:widowControl/>
        <w:spacing w:before="0" w:afterLines="50" w:after="180" w:line="360" w:lineRule="exact"/>
        <w:ind w:leftChars="294" w:left="848" w:hangingChars="59" w:hanging="142"/>
        <w:jc w:val="both"/>
      </w:pPr>
      <w:r w:rsidRPr="00471175">
        <w:t>2.</w:t>
      </w:r>
      <w:r w:rsidRPr="00471175">
        <w:t>範疇二</w:t>
      </w:r>
      <w:r w:rsidRPr="00471175">
        <w:t>(</w:t>
      </w:r>
      <w:r w:rsidRPr="00471175">
        <w:t>輸入能源的間接溫室氣體排放</w:t>
      </w:r>
      <w:r w:rsidRPr="00471175">
        <w:t>)</w:t>
      </w:r>
      <w:r w:rsidRPr="00471175">
        <w:t>排放為用電，其排放係數依據</w:t>
      </w:r>
      <w:r w:rsidRPr="00471175">
        <w:t>2021</w:t>
      </w:r>
      <w:r w:rsidRPr="00471175">
        <w:t>年經濟部能源局最新公告之歷年電力排碳係數計算。</w:t>
      </w:r>
      <w:r w:rsidRPr="00471175">
        <w:t>GWP</w:t>
      </w:r>
      <w:r w:rsidRPr="00471175">
        <w:t>值則採用</w:t>
      </w:r>
      <w:r w:rsidRPr="00471175">
        <w:t>2007</w:t>
      </w:r>
      <w:r w:rsidRPr="00471175">
        <w:t>年</w:t>
      </w:r>
      <w:r w:rsidRPr="00471175">
        <w:t>IPCC</w:t>
      </w:r>
      <w:r w:rsidRPr="00471175">
        <w:t>第</w:t>
      </w:r>
      <w:r w:rsidRPr="00471175">
        <w:t>4</w:t>
      </w:r>
      <w:r w:rsidRPr="00471175">
        <w:t>次評估報告之溫暖化潛勢值。</w:t>
      </w:r>
    </w:p>
    <w:p w14:paraId="7219D284" w14:textId="77777777" w:rsidR="00F0783F" w:rsidRPr="00471175" w:rsidRDefault="00F0783F" w:rsidP="00F0783F">
      <w:pPr>
        <w:widowControl/>
        <w:spacing w:before="0" w:afterLines="50" w:after="180" w:line="360" w:lineRule="exact"/>
        <w:ind w:leftChars="294" w:left="848" w:hangingChars="59" w:hanging="142"/>
        <w:jc w:val="both"/>
      </w:pPr>
      <w:r w:rsidRPr="00471175">
        <w:t>3.</w:t>
      </w:r>
      <w:r w:rsidRPr="00471175">
        <w:t>範疇三</w:t>
      </w:r>
      <w:r w:rsidRPr="00471175">
        <w:t>(</w:t>
      </w:r>
      <w:r w:rsidRPr="00471175">
        <w:t>類別</w:t>
      </w:r>
      <w:r w:rsidRPr="00471175">
        <w:t>15)</w:t>
      </w:r>
    </w:p>
    <w:p w14:paraId="63ADFC20" w14:textId="77777777" w:rsidR="00F0783F" w:rsidRPr="00471175" w:rsidRDefault="00F0783F" w:rsidP="003E5C16">
      <w:pPr>
        <w:spacing w:before="0" w:afterLines="50" w:after="180" w:line="0" w:lineRule="atLeast"/>
        <w:ind w:leftChars="472" w:left="1411" w:hangingChars="116" w:hanging="278"/>
        <w:jc w:val="both"/>
      </w:pPr>
      <w:r w:rsidRPr="00471175">
        <w:t>(1)</w:t>
      </w:r>
      <w:r w:rsidRPr="00471175">
        <w:t>投資組合財務碳排放</w:t>
      </w:r>
      <w:r w:rsidRPr="00471175">
        <w:t>(</w:t>
      </w:r>
      <w:r w:rsidRPr="00471175">
        <w:t>承擔碳排</w:t>
      </w:r>
      <w:r w:rsidRPr="00471175">
        <w:t>)</w:t>
      </w:r>
      <w:r w:rsidRPr="00471175">
        <w:t>：衡量氣候行動是否與「巴黎協定</w:t>
      </w:r>
      <w:r w:rsidRPr="00471175">
        <w:t>(Paris Agreement)</w:t>
      </w:r>
      <w:r w:rsidRPr="00471175">
        <w:t>」一致的必要基準指標，將溫室氣體轉換為二氧化碳當量</w:t>
      </w:r>
      <w:r w:rsidRPr="00471175">
        <w:t>(tCO2e)</w:t>
      </w:r>
      <w:r w:rsidRPr="00471175">
        <w:t>。</w:t>
      </w:r>
    </w:p>
    <w:p w14:paraId="24AE404D" w14:textId="77777777" w:rsidR="00F0783F" w:rsidRPr="00471175" w:rsidRDefault="00F0783F" w:rsidP="00F0783F">
      <w:pPr>
        <w:pStyle w:val="Default"/>
        <w:spacing w:line="0" w:lineRule="atLeast"/>
        <w:ind w:firstLineChars="590" w:firstLine="1416"/>
        <w:rPr>
          <w:rFonts w:ascii="Times New Roman" w:hAnsi="Times New Roman" w:cs="Times New Roman"/>
          <w:shd w:val="clear" w:color="auto" w:fill="F2F2F2" w:themeFill="background1" w:themeFillShade="F2"/>
        </w:rPr>
      </w:pPr>
      <w:r w:rsidRPr="00471175">
        <w:rPr>
          <w:rFonts w:ascii="Times New Roman" w:hAnsi="Times New Roman" w:cs="Times New Roman"/>
          <w:shd w:val="clear" w:color="auto" w:fill="F2F2F2" w:themeFill="background1" w:themeFillShade="F2"/>
        </w:rPr>
        <w:t>投資組合財務碳排放</w:t>
      </w:r>
      <w:r w:rsidRPr="00471175">
        <w:rPr>
          <w:rFonts w:ascii="Times New Roman" w:hAnsi="Times New Roman" w:cs="Times New Roman"/>
          <w:shd w:val="clear" w:color="auto" w:fill="F2F2F2" w:themeFill="background1" w:themeFillShade="F2"/>
        </w:rPr>
        <w:t>(</w:t>
      </w:r>
      <w:r w:rsidRPr="00471175">
        <w:rPr>
          <w:rFonts w:ascii="Times New Roman" w:hAnsi="Times New Roman" w:cs="Times New Roman"/>
          <w:shd w:val="clear" w:color="auto" w:fill="F2F2F2" w:themeFill="background1" w:themeFillShade="F2"/>
        </w:rPr>
        <w:t>承擔碳排</w:t>
      </w:r>
      <w:r w:rsidRPr="00471175">
        <w:rPr>
          <w:rFonts w:ascii="Times New Roman" w:hAnsi="Times New Roman" w:cs="Times New Roman"/>
          <w:shd w:val="clear" w:color="auto" w:fill="F2F2F2" w:themeFill="background1" w:themeFillShade="F2"/>
        </w:rPr>
        <w:t xml:space="preserve">)= </w:t>
      </w:r>
    </w:p>
    <w:p w14:paraId="2A9D6453" w14:textId="4138A399" w:rsidR="001827D2" w:rsidRPr="00377B46" w:rsidRDefault="00F0783F" w:rsidP="001827D2">
      <w:pPr>
        <w:pStyle w:val="Default"/>
        <w:spacing w:line="0" w:lineRule="atLeast"/>
        <w:ind w:leftChars="236" w:left="566" w:firstLineChars="768" w:firstLine="1843"/>
        <w:rPr>
          <w:rFonts w:ascii="Times New Roman" w:hAnsi="Times New Roman" w:cs="Times New Roman"/>
          <w:shd w:val="clear" w:color="auto" w:fill="F2F2F2" w:themeFill="background1" w:themeFillShade="F2"/>
        </w:rPr>
      </w:pPr>
      <w:r w:rsidRPr="00471175">
        <w:rPr>
          <w:rFonts w:ascii="Times New Roman" w:hAnsi="Times New Roman" w:cs="Times New Roman"/>
          <w:shd w:val="clear" w:color="auto" w:fill="F2F2F2" w:themeFill="background1" w:themeFillShade="F2"/>
        </w:rPr>
        <w:t>Σ</w:t>
      </w:r>
      <w:r w:rsidRPr="00471175">
        <w:rPr>
          <w:rFonts w:ascii="Times New Roman" w:hAnsi="Times New Roman" w:cs="Times New Roman"/>
          <w:shd w:val="clear" w:color="auto" w:fill="F2F2F2" w:themeFill="background1" w:themeFillShade="F2"/>
        </w:rPr>
        <w:t>被投資標的</w:t>
      </w:r>
      <w:r w:rsidR="001827D2" w:rsidRPr="00377B46">
        <w:rPr>
          <w:rFonts w:ascii="Times New Roman" w:hAnsi="Times New Roman" w:cs="Times New Roman" w:hint="eastAsia"/>
          <w:shd w:val="clear" w:color="auto" w:fill="F2F2F2" w:themeFill="background1" w:themeFillShade="F2"/>
        </w:rPr>
        <w:t>(</w:t>
      </w:r>
      <w:r w:rsidR="001827D2" w:rsidRPr="00377B46">
        <w:rPr>
          <w:rFonts w:ascii="Times New Roman" w:hAnsi="Times New Roman" w:cs="Times New Roman" w:hint="eastAsia"/>
          <w:shd w:val="clear" w:color="auto" w:fill="F2F2F2" w:themeFill="background1" w:themeFillShade="F2"/>
        </w:rPr>
        <w:t>範疇一</w:t>
      </w:r>
      <w:r w:rsidR="00F72A8E" w:rsidRPr="00377B46">
        <w:rPr>
          <w:rFonts w:ascii="新細明體" w:eastAsia="新細明體" w:hAnsi="新細明體" w:cs="Times New Roman" w:hint="eastAsia"/>
          <w:shd w:val="clear" w:color="auto" w:fill="F2F2F2" w:themeFill="background1" w:themeFillShade="F2"/>
        </w:rPr>
        <w:t>、</w:t>
      </w:r>
      <w:r w:rsidR="001827D2" w:rsidRPr="00377B46">
        <w:rPr>
          <w:rFonts w:ascii="Times New Roman" w:hAnsi="Times New Roman" w:cs="Times New Roman" w:hint="eastAsia"/>
          <w:shd w:val="clear" w:color="auto" w:fill="F2F2F2" w:themeFill="background1" w:themeFillShade="F2"/>
        </w:rPr>
        <w:t>二</w:t>
      </w:r>
      <w:r w:rsidR="001827D2" w:rsidRPr="00377B46">
        <w:rPr>
          <w:rFonts w:ascii="Times New Roman" w:hAnsi="Times New Roman" w:cs="Times New Roman" w:hint="eastAsia"/>
          <w:shd w:val="clear" w:color="auto" w:fill="F2F2F2" w:themeFill="background1" w:themeFillShade="F2"/>
        </w:rPr>
        <w:t>)</w:t>
      </w:r>
      <w:r w:rsidRPr="00377B46">
        <w:rPr>
          <w:rFonts w:ascii="Times New Roman" w:hAnsi="Times New Roman" w:cs="Times New Roman"/>
          <w:shd w:val="clear" w:color="auto" w:fill="F2F2F2" w:themeFill="background1" w:themeFillShade="F2"/>
        </w:rPr>
        <w:t>碳排放</w:t>
      </w:r>
      <w:r w:rsidRPr="00377B46">
        <w:rPr>
          <w:rFonts w:ascii="Cambria Math" w:hAnsi="Cambria Math" w:cs="Cambria Math"/>
          <w:shd w:val="clear" w:color="auto" w:fill="F2F2F2" w:themeFill="background1" w:themeFillShade="F2"/>
        </w:rPr>
        <w:t>𝑖</w:t>
      </w:r>
      <w:r w:rsidRPr="00377B46">
        <w:rPr>
          <w:rFonts w:ascii="Times New Roman" w:hAnsi="Times New Roman" w:cs="Times New Roman"/>
          <w:shd w:val="clear" w:color="auto" w:fill="F2F2F2" w:themeFill="background1" w:themeFillShade="F2"/>
        </w:rPr>
        <w:t>(</w:t>
      </w:r>
      <w:r w:rsidRPr="00377B46">
        <w:rPr>
          <w:rFonts w:ascii="Cambria Math" w:hAnsi="Cambria Math" w:cs="Cambria Math"/>
          <w:shd w:val="clear" w:color="auto" w:fill="F2F2F2" w:themeFill="background1" w:themeFillShade="F2"/>
        </w:rPr>
        <w:t>𝐸𝑚𝑖𝑠𝑠𝑖𝑜𝑛𝑠</w:t>
      </w:r>
      <w:r w:rsidRPr="00377B46">
        <w:rPr>
          <w:rFonts w:ascii="Times New Roman" w:hAnsi="Times New Roman" w:cs="Times New Roman"/>
          <w:shd w:val="clear" w:color="auto" w:fill="F2F2F2" w:themeFill="background1" w:themeFillShade="F2"/>
        </w:rPr>
        <w:t>)×</w:t>
      </w:r>
    </w:p>
    <w:p w14:paraId="4BE59A4C" w14:textId="37253CE1" w:rsidR="00F0783F" w:rsidRPr="00377B46" w:rsidRDefault="00F0783F" w:rsidP="006968B7">
      <w:pPr>
        <w:pStyle w:val="Default"/>
        <w:spacing w:afterLines="50" w:after="180" w:line="0" w:lineRule="atLeast"/>
        <w:ind w:leftChars="236" w:left="566" w:firstLineChars="1359" w:firstLine="3262"/>
        <w:rPr>
          <w:rFonts w:ascii="Times New Roman" w:hAnsi="Times New Roman" w:cs="Times New Roman"/>
          <w:shd w:val="clear" w:color="auto" w:fill="F2F2F2" w:themeFill="background1" w:themeFillShade="F2"/>
        </w:rPr>
      </w:pPr>
      <w:r w:rsidRPr="00377B46">
        <w:rPr>
          <w:rFonts w:ascii="Times New Roman" w:hAnsi="Times New Roman" w:cs="Times New Roman"/>
          <w:shd w:val="clear" w:color="auto" w:fill="F2F2F2" w:themeFill="background1" w:themeFillShade="F2"/>
        </w:rPr>
        <w:t>歸因因子</w:t>
      </w:r>
      <w:r w:rsidRPr="00377B46">
        <w:rPr>
          <w:rFonts w:ascii="Cambria Math" w:hAnsi="Cambria Math" w:cs="Cambria Math"/>
          <w:shd w:val="clear" w:color="auto" w:fill="F2F2F2" w:themeFill="background1" w:themeFillShade="F2"/>
        </w:rPr>
        <w:t>𝑖</w:t>
      </w:r>
      <w:r w:rsidRPr="00377B46">
        <w:rPr>
          <w:rFonts w:ascii="Times New Roman" w:hAnsi="Times New Roman" w:cs="Times New Roman"/>
          <w:shd w:val="clear" w:color="auto" w:fill="F2F2F2" w:themeFill="background1" w:themeFillShade="F2"/>
        </w:rPr>
        <w:t>(</w:t>
      </w:r>
      <w:r w:rsidRPr="00377B46">
        <w:rPr>
          <w:rFonts w:ascii="Cambria Math" w:hAnsi="Cambria Math" w:cs="Cambria Math"/>
          <w:shd w:val="clear" w:color="auto" w:fill="F2F2F2" w:themeFill="background1" w:themeFillShade="F2"/>
        </w:rPr>
        <w:t>𝐴𝑡𝑡𝑟𝑖𝑏𝑢𝑡𝑖𝑜𝑛</w:t>
      </w:r>
      <w:r w:rsidRPr="00377B46">
        <w:rPr>
          <w:rFonts w:ascii="Times New Roman" w:hAnsi="Times New Roman" w:cs="Times New Roman"/>
          <w:shd w:val="clear" w:color="auto" w:fill="F2F2F2" w:themeFill="background1" w:themeFillShade="F2"/>
        </w:rPr>
        <w:t xml:space="preserve"> </w:t>
      </w:r>
      <w:r w:rsidRPr="00377B46">
        <w:rPr>
          <w:rFonts w:ascii="Cambria Math" w:hAnsi="Cambria Math" w:cs="Cambria Math"/>
          <w:shd w:val="clear" w:color="auto" w:fill="F2F2F2" w:themeFill="background1" w:themeFillShade="F2"/>
        </w:rPr>
        <w:t>𝑓𝑎𝑐𝑡𝑜𝑟</w:t>
      </w:r>
      <w:r w:rsidRPr="00377B46">
        <w:rPr>
          <w:rFonts w:ascii="Times New Roman" w:hAnsi="Times New Roman" w:cs="Times New Roman"/>
          <w:shd w:val="clear" w:color="auto" w:fill="F2F2F2" w:themeFill="background1" w:themeFillShade="F2"/>
        </w:rPr>
        <w:t>)</w:t>
      </w:r>
    </w:p>
    <w:p w14:paraId="28F818D3" w14:textId="7861A9B0" w:rsidR="006968B7" w:rsidRPr="00377B46" w:rsidRDefault="006968B7" w:rsidP="003E0A85">
      <w:pPr>
        <w:spacing w:before="0" w:afterLines="50" w:after="180" w:line="0" w:lineRule="atLeast"/>
        <w:ind w:leftChars="517" w:left="1241" w:firstLineChars="1122" w:firstLine="2020"/>
        <w:jc w:val="both"/>
        <w:rPr>
          <w:sz w:val="18"/>
          <w:szCs w:val="18"/>
        </w:rPr>
      </w:pPr>
      <w:r w:rsidRPr="00377B46">
        <w:rPr>
          <w:sz w:val="18"/>
          <w:szCs w:val="18"/>
        </w:rPr>
        <w:t>【註】歸因因子</w:t>
      </w:r>
      <w:r w:rsidRPr="00377B46">
        <w:rPr>
          <w:sz w:val="18"/>
          <w:szCs w:val="18"/>
        </w:rPr>
        <w:t>=</w:t>
      </w:r>
      <w:r w:rsidRPr="00377B46">
        <w:rPr>
          <w:sz w:val="18"/>
          <w:szCs w:val="18"/>
        </w:rPr>
        <w:t>持有巿值</w:t>
      </w:r>
      <w:r w:rsidR="0036276C" w:rsidRPr="00377B46">
        <w:rPr>
          <w:rFonts w:hint="eastAsia"/>
          <w:sz w:val="18"/>
          <w:szCs w:val="18"/>
        </w:rPr>
        <w:t>／</w:t>
      </w:r>
      <w:r w:rsidRPr="00377B46">
        <w:rPr>
          <w:sz w:val="18"/>
          <w:szCs w:val="18"/>
        </w:rPr>
        <w:t>EVIC</w:t>
      </w:r>
      <w:r w:rsidR="0036276C" w:rsidRPr="00377B46">
        <w:rPr>
          <w:rFonts w:hint="eastAsia"/>
          <w:sz w:val="18"/>
          <w:szCs w:val="18"/>
        </w:rPr>
        <w:t xml:space="preserve"> </w:t>
      </w:r>
      <w:r w:rsidRPr="00377B46">
        <w:rPr>
          <w:sz w:val="18"/>
          <w:szCs w:val="18"/>
        </w:rPr>
        <w:t>(</w:t>
      </w:r>
      <w:r w:rsidR="0036276C" w:rsidRPr="00377B46">
        <w:rPr>
          <w:sz w:val="18"/>
          <w:szCs w:val="18"/>
        </w:rPr>
        <w:t>Enterprise Value Including Cash)</w:t>
      </w:r>
    </w:p>
    <w:p w14:paraId="425D24A9" w14:textId="0262F25A" w:rsidR="00F0783F" w:rsidRPr="00377B46" w:rsidRDefault="00F0783F" w:rsidP="003E5C16">
      <w:pPr>
        <w:spacing w:before="0" w:after="0" w:line="0" w:lineRule="atLeast"/>
        <w:ind w:leftChars="447" w:left="1275" w:hangingChars="84" w:hanging="202"/>
        <w:jc w:val="both"/>
      </w:pPr>
      <w:r w:rsidRPr="00377B46">
        <w:t>(2)</w:t>
      </w:r>
      <w:r w:rsidRPr="00377B46">
        <w:t>投資組合碳足跡：每百萬元投資金額之碳排放量</w:t>
      </w:r>
      <w:r w:rsidRPr="00377B46">
        <w:t>(tCO2e/$M)</w:t>
      </w:r>
      <w:r w:rsidRPr="00377B46">
        <w:t>。</w:t>
      </w:r>
    </w:p>
    <w:p w14:paraId="0A543313" w14:textId="77777777" w:rsidR="00F0783F" w:rsidRPr="00377B46" w:rsidRDefault="00F0783F" w:rsidP="00F0783F">
      <w:pPr>
        <w:spacing w:before="120" w:afterLines="50" w:after="180" w:line="0" w:lineRule="atLeast"/>
        <w:ind w:leftChars="708" w:left="1984" w:hanging="285"/>
        <w:jc w:val="both"/>
      </w:pPr>
      <m:oMathPara>
        <m:oMathParaPr>
          <m:jc m:val="left"/>
        </m:oMathParaPr>
        <m:oMath>
          <m:r>
            <m:rPr>
              <m:sty m:val="p"/>
            </m:rPr>
            <w:rPr>
              <w:rFonts w:ascii="Cambria Math" w:hAnsi="Cambria Math"/>
              <w:shd w:val="clear" w:color="auto" w:fill="F2F2F2" w:themeFill="background1" w:themeFillShade="F2"/>
            </w:rPr>
            <m:t>投資組合碳足跡</m:t>
          </m:r>
          <m:r>
            <m:rPr>
              <m:sty m:val="p"/>
            </m:rPr>
            <w:rPr>
              <w:rFonts w:ascii="Cambria Math" w:hAnsi="Cambria Math"/>
              <w:shd w:val="clear" w:color="auto" w:fill="F2F2F2" w:themeFill="background1" w:themeFillShade="F2"/>
            </w:rPr>
            <m:t>=</m:t>
          </m:r>
          <m:f>
            <m:fPr>
              <m:ctrlPr>
                <w:rPr>
                  <w:rFonts w:ascii="Cambria Math" w:hAnsi="Cambria Math"/>
                  <w:iCs/>
                  <w:shd w:val="clear" w:color="auto" w:fill="F2F2F2" w:themeFill="background1" w:themeFillShade="F2"/>
                </w:rPr>
              </m:ctrlPr>
            </m:fPr>
            <m:num>
              <m:r>
                <m:rPr>
                  <m:sty m:val="p"/>
                </m:rPr>
                <w:rPr>
                  <w:rFonts w:ascii="Cambria Math" w:hAnsi="Cambria Math"/>
                  <w:shd w:val="clear" w:color="auto" w:fill="F2F2F2" w:themeFill="background1" w:themeFillShade="F2"/>
                </w:rPr>
                <m:t>承擔碳排</m:t>
              </m:r>
            </m:num>
            <m:den>
              <m:r>
                <m:rPr>
                  <m:sty m:val="p"/>
                </m:rPr>
                <w:rPr>
                  <w:rFonts w:ascii="Cambria Math" w:hAnsi="Cambria Math"/>
                  <w:shd w:val="clear" w:color="auto" w:fill="F2F2F2" w:themeFill="background1" w:themeFillShade="F2"/>
                </w:rPr>
                <m:t>持有市值</m:t>
              </m:r>
              <m:r>
                <m:rPr>
                  <m:sty m:val="p"/>
                </m:rPr>
                <w:rPr>
                  <w:rFonts w:ascii="Cambria Math" w:hAnsi="Cambria Math"/>
                  <w:shd w:val="clear" w:color="auto" w:fill="F2F2F2" w:themeFill="background1" w:themeFillShade="F2"/>
                </w:rPr>
                <m:t>(</m:t>
              </m:r>
              <m:r>
                <m:rPr>
                  <m:sty m:val="p"/>
                </m:rPr>
                <w:rPr>
                  <w:rFonts w:ascii="Cambria Math" w:hAnsi="Cambria Math"/>
                  <w:shd w:val="clear" w:color="auto" w:fill="F2F2F2" w:themeFill="background1" w:themeFillShade="F2"/>
                </w:rPr>
                <m:t>百萬元</m:t>
              </m:r>
              <m:r>
                <m:rPr>
                  <m:sty m:val="p"/>
                </m:rPr>
                <w:rPr>
                  <w:rFonts w:ascii="Cambria Math" w:hAnsi="Cambria Math"/>
                  <w:shd w:val="clear" w:color="auto" w:fill="F2F2F2" w:themeFill="background1" w:themeFillShade="F2"/>
                </w:rPr>
                <m:t>)</m:t>
              </m:r>
            </m:den>
          </m:f>
        </m:oMath>
      </m:oMathPara>
    </w:p>
    <w:p w14:paraId="5B3824E9" w14:textId="77777777" w:rsidR="00F0783F" w:rsidRPr="00377B46" w:rsidRDefault="00F0783F" w:rsidP="003E5C16">
      <w:pPr>
        <w:spacing w:before="0" w:afterLines="50" w:after="180" w:line="0" w:lineRule="atLeast"/>
        <w:ind w:leftChars="415" w:left="1284" w:hanging="288"/>
        <w:jc w:val="both"/>
      </w:pPr>
      <w:r w:rsidRPr="00377B46">
        <w:t>(3)</w:t>
      </w:r>
      <w:bookmarkStart w:id="17" w:name="_Hlk139373006"/>
      <w:r w:rsidRPr="00377B46">
        <w:t>投資組合加權平均碳密度</w:t>
      </w:r>
      <w:bookmarkEnd w:id="17"/>
      <w:r w:rsidRPr="00377B46">
        <w:t>：依投資標的占整體部位作為權重，加權計算投資標的每百萬元營收之碳排放量</w:t>
      </w:r>
      <w:r w:rsidRPr="00377B46">
        <w:t>(tCO2e/$Mrevenue)</w:t>
      </w:r>
      <w:r w:rsidRPr="00377B46">
        <w:t>。</w:t>
      </w:r>
    </w:p>
    <w:p w14:paraId="13ECE3A7" w14:textId="0A6E36CA" w:rsidR="00F0783F" w:rsidRPr="00471175" w:rsidRDefault="00F0783F" w:rsidP="00F0783F">
      <w:pPr>
        <w:spacing w:before="0" w:afterLines="50" w:after="180" w:line="0" w:lineRule="atLeast"/>
        <w:ind w:leftChars="-117" w:left="852" w:hanging="1133"/>
        <w:jc w:val="both"/>
      </w:pPr>
      <m:oMathPara>
        <m:oMathParaPr>
          <m:jc m:val="right"/>
        </m:oMathParaPr>
        <m:oMath>
          <m:r>
            <m:rPr>
              <m:sty m:val="p"/>
            </m:rPr>
            <w:rPr>
              <w:rFonts w:ascii="Cambria Math" w:hAnsi="Cambria Math"/>
              <w:shd w:val="clear" w:color="auto" w:fill="F2F2F2" w:themeFill="background1" w:themeFillShade="F2"/>
            </w:rPr>
            <m:t>投資組合加權平均碳密度</m:t>
          </m:r>
          <m:r>
            <m:rPr>
              <m:sty m:val="p"/>
            </m:rPr>
            <w:rPr>
              <w:rFonts w:ascii="Cambria Math" w:hAnsi="Cambria Math"/>
              <w:shd w:val="clear" w:color="auto" w:fill="F2F2F2" w:themeFill="background1" w:themeFillShade="F2"/>
            </w:rPr>
            <m:t>=</m:t>
          </m:r>
          <m:r>
            <m:rPr>
              <m:sty m:val="p"/>
            </m:rPr>
            <w:rPr>
              <w:rFonts w:ascii="Cambria Math" w:hAnsi="Cambria Math"/>
              <w:shd w:val="clear" w:color="auto" w:fill="F2F2F2" w:themeFill="background1" w:themeFillShade="F2"/>
            </w:rPr>
            <m:t>投資組合權重</m:t>
          </m:r>
          <m:r>
            <m:rPr>
              <m:sty m:val="p"/>
            </m:rPr>
            <w:rPr>
              <w:rFonts w:ascii="Cambria Math" w:hAnsi="Cambria Math"/>
              <w:shd w:val="clear" w:color="auto" w:fill="F2F2F2" w:themeFill="background1" w:themeFillShade="F2"/>
            </w:rPr>
            <m:t>×</m:t>
          </m:r>
          <m:f>
            <m:fPr>
              <m:ctrlPr>
                <w:rPr>
                  <w:rFonts w:ascii="Cambria Math" w:hAnsi="Cambria Math"/>
                  <w:iCs/>
                  <w:shd w:val="clear" w:color="auto" w:fill="F2F2F2" w:themeFill="background1" w:themeFillShade="F2"/>
                </w:rPr>
              </m:ctrlPr>
            </m:fPr>
            <m:num>
              <m:r>
                <m:rPr>
                  <m:sty m:val="p"/>
                </m:rPr>
                <w:rPr>
                  <w:rFonts w:ascii="Cambria Math" w:hAnsi="Cambria Math" w:hint="eastAsia"/>
                  <w:shd w:val="clear" w:color="auto" w:fill="F2F2F2" w:themeFill="background1" w:themeFillShade="F2"/>
                </w:rPr>
                <m:t>被</m:t>
              </m:r>
              <m:r>
                <m:rPr>
                  <m:sty m:val="p"/>
                </m:rPr>
                <w:rPr>
                  <w:rFonts w:ascii="Cambria Math" w:hAnsi="Cambria Math"/>
                  <w:shd w:val="clear" w:color="auto" w:fill="F2F2F2" w:themeFill="background1" w:themeFillShade="F2"/>
                </w:rPr>
                <m:t>投資標的</m:t>
              </m:r>
              <m:d>
                <m:dPr>
                  <m:ctrlPr>
                    <w:rPr>
                      <w:rFonts w:ascii="Cambria Math" w:hAnsi="Cambria Math"/>
                      <w:iCs/>
                      <w:shd w:val="clear" w:color="auto" w:fill="F2F2F2" w:themeFill="background1" w:themeFillShade="F2"/>
                    </w:rPr>
                  </m:ctrlPr>
                </m:dPr>
                <m:e>
                  <m:r>
                    <m:rPr>
                      <m:sty m:val="p"/>
                    </m:rPr>
                    <w:rPr>
                      <w:rFonts w:ascii="Cambria Math" w:hAnsi="Cambria Math"/>
                      <w:shd w:val="clear" w:color="auto" w:fill="F2F2F2" w:themeFill="background1" w:themeFillShade="F2"/>
                    </w:rPr>
                    <m:t>範疇一</m:t>
                  </m:r>
                  <m:r>
                    <m:rPr>
                      <m:sty m:val="p"/>
                    </m:rPr>
                    <w:rPr>
                      <w:rFonts w:ascii="Cambria Math" w:eastAsia="新細明體" w:hAnsi="Cambria Math" w:hint="eastAsia"/>
                      <w:shd w:val="clear" w:color="auto" w:fill="F2F2F2" w:themeFill="background1" w:themeFillShade="F2"/>
                    </w:rPr>
                    <m:t>、</m:t>
                  </m:r>
                  <m:r>
                    <m:rPr>
                      <m:sty m:val="p"/>
                    </m:rPr>
                    <w:rPr>
                      <w:rFonts w:ascii="Cambria Math" w:hAnsi="Cambria Math"/>
                      <w:shd w:val="clear" w:color="auto" w:fill="F2F2F2" w:themeFill="background1" w:themeFillShade="F2"/>
                    </w:rPr>
                    <m:t>二</m:t>
                  </m:r>
                </m:e>
              </m:d>
              <m:r>
                <m:rPr>
                  <m:sty m:val="p"/>
                </m:rPr>
                <w:rPr>
                  <w:rFonts w:ascii="Cambria Math" w:hAnsi="Cambria Math"/>
                  <w:shd w:val="clear" w:color="auto" w:fill="F2F2F2" w:themeFill="background1" w:themeFillShade="F2"/>
                </w:rPr>
                <m:t>碳排放</m:t>
              </m:r>
            </m:num>
            <m:den>
              <m:r>
                <m:rPr>
                  <m:sty m:val="p"/>
                </m:rPr>
                <w:rPr>
                  <w:rFonts w:ascii="Cambria Math" w:hAnsi="Cambria Math"/>
                  <w:shd w:val="clear" w:color="auto" w:fill="F2F2F2" w:themeFill="background1" w:themeFillShade="F2"/>
                </w:rPr>
                <m:t>投資標的營收</m:t>
              </m:r>
              <m:r>
                <m:rPr>
                  <m:sty m:val="p"/>
                </m:rPr>
                <w:rPr>
                  <w:rFonts w:ascii="Cambria Math" w:hAnsi="Cambria Math"/>
                  <w:shd w:val="clear" w:color="auto" w:fill="F2F2F2" w:themeFill="background1" w:themeFillShade="F2"/>
                </w:rPr>
                <m:t>(</m:t>
              </m:r>
              <m:r>
                <m:rPr>
                  <m:sty m:val="p"/>
                </m:rPr>
                <w:rPr>
                  <w:rFonts w:ascii="Cambria Math" w:hAnsi="Cambria Math"/>
                  <w:shd w:val="clear" w:color="auto" w:fill="F2F2F2" w:themeFill="background1" w:themeFillShade="F2"/>
                </w:rPr>
                <m:t>百萬元</m:t>
              </m:r>
              <m:r>
                <m:rPr>
                  <m:sty m:val="p"/>
                </m:rPr>
                <w:rPr>
                  <w:rFonts w:ascii="Cambria Math" w:hAnsi="Cambria Math"/>
                  <w:shd w:val="clear" w:color="auto" w:fill="F2F2F2" w:themeFill="background1" w:themeFillShade="F2"/>
                </w:rPr>
                <m:t>)</m:t>
              </m:r>
            </m:den>
          </m:f>
        </m:oMath>
      </m:oMathPara>
    </w:p>
    <w:p w14:paraId="01E62B74" w14:textId="77777777" w:rsidR="00F0783F" w:rsidRPr="00415962" w:rsidRDefault="00F0783F" w:rsidP="00F0783F">
      <w:pPr>
        <w:spacing w:before="120" w:after="0" w:line="0" w:lineRule="atLeast"/>
        <w:ind w:leftChars="415" w:left="1284" w:hanging="288"/>
        <w:jc w:val="both"/>
        <w:rPr>
          <w:color w:val="414042"/>
          <w:spacing w:val="2"/>
          <w:w w:val="105"/>
          <w:sz w:val="18"/>
          <w:szCs w:val="18"/>
        </w:rPr>
      </w:pPr>
      <w:r w:rsidRPr="00415962">
        <w:lastRenderedPageBreak/>
        <w:t xml:space="preserve">(4) </w:t>
      </w:r>
      <w:r w:rsidRPr="00415962">
        <w:t>盤查覆蓋率</w:t>
      </w:r>
    </w:p>
    <w:p w14:paraId="7AA3BF2B" w14:textId="43CEACF7" w:rsidR="007754F2" w:rsidRPr="002C40D8" w:rsidRDefault="007754F2" w:rsidP="007754F2">
      <w:pPr>
        <w:spacing w:beforeLines="50" w:before="180" w:afterLines="50" w:after="180" w:line="0" w:lineRule="atLeast"/>
        <w:ind w:firstLineChars="590" w:firstLine="1416"/>
        <w:jc w:val="both"/>
      </w:pPr>
      <w:r w:rsidRPr="002C40D8">
        <w:t>A.</w:t>
      </w:r>
      <w:r w:rsidRPr="002C40D8">
        <w:rPr>
          <w:rFonts w:hint="eastAsia"/>
        </w:rPr>
        <w:t>應盤查之基金資產巿值占總管理基金資產巿值比例</w:t>
      </w:r>
    </w:p>
    <w:tbl>
      <w:tblPr>
        <w:tblW w:w="4111" w:type="dxa"/>
        <w:tblInd w:w="2462" w:type="dxa"/>
        <w:tblBorders>
          <w:insideH w:val="single" w:sz="12" w:space="0" w:color="auto"/>
        </w:tblBorders>
        <w:shd w:val="clear" w:color="auto" w:fill="D9D9D9"/>
        <w:tblLook w:val="04A0" w:firstRow="1" w:lastRow="0" w:firstColumn="1" w:lastColumn="0" w:noHBand="0" w:noVBand="1"/>
      </w:tblPr>
      <w:tblGrid>
        <w:gridCol w:w="4111"/>
      </w:tblGrid>
      <w:tr w:rsidR="002C40D8" w:rsidRPr="002C40D8" w14:paraId="03D2D19D" w14:textId="77777777" w:rsidTr="007754F2">
        <w:tc>
          <w:tcPr>
            <w:tcW w:w="4111" w:type="dxa"/>
            <w:shd w:val="clear" w:color="auto" w:fill="D9D9D9"/>
          </w:tcPr>
          <w:p w14:paraId="76E9D665" w14:textId="77777777" w:rsidR="007754F2" w:rsidRPr="002C40D8" w:rsidRDefault="007754F2" w:rsidP="007754F2">
            <w:pPr>
              <w:spacing w:before="0" w:after="0" w:line="0" w:lineRule="atLeast"/>
              <w:jc w:val="center"/>
            </w:pPr>
            <w:r w:rsidRPr="002C40D8">
              <w:rPr>
                <w:rFonts w:hint="eastAsia"/>
              </w:rPr>
              <w:t>應盤查之基金資產市值</w:t>
            </w:r>
            <w:r w:rsidRPr="002C40D8">
              <w:rPr>
                <w:rFonts w:hint="eastAsia"/>
              </w:rPr>
              <w:t>(</w:t>
            </w:r>
            <w:r w:rsidRPr="002C40D8">
              <w:rPr>
                <w:rFonts w:hint="eastAsia"/>
              </w:rPr>
              <w:t>百萬元</w:t>
            </w:r>
            <w:r w:rsidRPr="002C40D8">
              <w:rPr>
                <w:rFonts w:hint="eastAsia"/>
              </w:rPr>
              <w:t>)</w:t>
            </w:r>
            <w:r w:rsidRPr="002C40D8">
              <w:t xml:space="preserve"> </w:t>
            </w:r>
            <w:r w:rsidRPr="002C40D8">
              <w:rPr>
                <w:b/>
                <w:bCs/>
                <w:sz w:val="18"/>
                <w:szCs w:val="18"/>
              </w:rPr>
              <w:t>(</w:t>
            </w:r>
            <w:r w:rsidRPr="002C40D8">
              <w:rPr>
                <w:rFonts w:hint="eastAsia"/>
                <w:b/>
                <w:bCs/>
                <w:sz w:val="18"/>
                <w:szCs w:val="18"/>
              </w:rPr>
              <w:t>註</w:t>
            </w:r>
            <w:r w:rsidRPr="002C40D8">
              <w:rPr>
                <w:rFonts w:hint="eastAsia"/>
                <w:b/>
                <w:bCs/>
                <w:sz w:val="18"/>
                <w:szCs w:val="18"/>
              </w:rPr>
              <w:t>)</w:t>
            </w:r>
            <w:r w:rsidRPr="002C40D8">
              <w:rPr>
                <w:sz w:val="20"/>
                <w:szCs w:val="20"/>
              </w:rPr>
              <w:t xml:space="preserve"> </w:t>
            </w:r>
          </w:p>
        </w:tc>
      </w:tr>
      <w:tr w:rsidR="002C40D8" w:rsidRPr="002C40D8" w14:paraId="6A31AFD9" w14:textId="77777777" w:rsidTr="007754F2">
        <w:tc>
          <w:tcPr>
            <w:tcW w:w="4111" w:type="dxa"/>
            <w:shd w:val="clear" w:color="auto" w:fill="D9D9D9"/>
          </w:tcPr>
          <w:p w14:paraId="49C01D52" w14:textId="77777777" w:rsidR="007754F2" w:rsidRPr="002C40D8" w:rsidRDefault="007754F2" w:rsidP="007754F2">
            <w:pPr>
              <w:spacing w:before="0" w:after="0" w:line="0" w:lineRule="atLeast"/>
              <w:jc w:val="center"/>
            </w:pPr>
            <w:r w:rsidRPr="002C40D8">
              <w:rPr>
                <w:rFonts w:hint="eastAsia"/>
              </w:rPr>
              <w:t>總管理基金資產巿值</w:t>
            </w:r>
            <w:r w:rsidRPr="002C40D8">
              <w:rPr>
                <w:rFonts w:hint="eastAsia"/>
              </w:rPr>
              <w:t>(</w:t>
            </w:r>
            <w:r w:rsidRPr="002C40D8">
              <w:rPr>
                <w:rFonts w:hint="eastAsia"/>
              </w:rPr>
              <w:t>百萬元</w:t>
            </w:r>
            <w:r w:rsidRPr="002C40D8">
              <w:rPr>
                <w:rFonts w:hint="eastAsia"/>
              </w:rPr>
              <w:t>)</w:t>
            </w:r>
          </w:p>
        </w:tc>
      </w:tr>
    </w:tbl>
    <w:p w14:paraId="0F34089A" w14:textId="77777777" w:rsidR="007754F2" w:rsidRPr="003E0A85" w:rsidRDefault="007754F2" w:rsidP="007754F2">
      <w:pPr>
        <w:spacing w:beforeLines="50" w:before="180" w:afterLines="50" w:after="180" w:line="0" w:lineRule="atLeast"/>
        <w:ind w:leftChars="487" w:left="1169" w:firstLineChars="689" w:firstLine="1240"/>
        <w:jc w:val="both"/>
        <w:rPr>
          <w:rFonts w:ascii="標楷體" w:hAnsi="標楷體"/>
          <w:sz w:val="18"/>
          <w:szCs w:val="18"/>
        </w:rPr>
      </w:pPr>
      <w:r w:rsidRPr="003E0A85">
        <w:rPr>
          <w:rFonts w:ascii="標楷體" w:hAnsi="標楷體" w:hint="eastAsia"/>
          <w:sz w:val="18"/>
          <w:szCs w:val="18"/>
        </w:rPr>
        <w:t>【註】係指屬投資組合財務碳排放(範疇三)計算範圍之上巿櫃股票及公司債。</w:t>
      </w:r>
    </w:p>
    <w:p w14:paraId="5A3ABD95" w14:textId="0661CF79" w:rsidR="007754F2" w:rsidRPr="002C40D8" w:rsidRDefault="007754F2" w:rsidP="007754F2">
      <w:pPr>
        <w:spacing w:before="0" w:after="0" w:line="0" w:lineRule="atLeast"/>
        <w:ind w:leftChars="590" w:left="1699" w:hangingChars="118" w:hanging="283"/>
      </w:pPr>
      <w:r w:rsidRPr="002C40D8">
        <w:t>B</w:t>
      </w:r>
      <w:r w:rsidRPr="002C40D8">
        <w:t>各資產別之盤查覆蓋率</w:t>
      </w:r>
      <w:r w:rsidRPr="002C40D8">
        <w:rPr>
          <w:rFonts w:hint="eastAsia"/>
        </w:rPr>
        <w:t>：</w:t>
      </w:r>
      <w:r w:rsidRPr="002C40D8">
        <w:t>各資產別</w:t>
      </w:r>
      <w:r w:rsidRPr="002C40D8">
        <w:rPr>
          <w:rFonts w:hint="eastAsia"/>
        </w:rPr>
        <w:t>(</w:t>
      </w:r>
      <w:r w:rsidRPr="002C40D8">
        <w:rPr>
          <w:rFonts w:hint="eastAsia"/>
        </w:rPr>
        <w:t>上巿櫃股票或公司債</w:t>
      </w:r>
      <w:r w:rsidRPr="002C40D8">
        <w:rPr>
          <w:rFonts w:hint="eastAsia"/>
        </w:rPr>
        <w:t>)</w:t>
      </w:r>
      <w:r w:rsidRPr="002C40D8">
        <w:rPr>
          <w:rFonts w:hint="eastAsia"/>
        </w:rPr>
        <w:t>已</w:t>
      </w:r>
      <w:r w:rsidRPr="002C40D8">
        <w:t>盤查部位</w:t>
      </w:r>
      <w:r w:rsidRPr="002C40D8">
        <w:rPr>
          <w:rFonts w:hint="eastAsia"/>
        </w:rPr>
        <w:t>總巿值</w:t>
      </w:r>
      <w:r w:rsidRPr="002C40D8">
        <w:t>占各資產別</w:t>
      </w:r>
      <w:r w:rsidRPr="002C40D8">
        <w:rPr>
          <w:rFonts w:hint="eastAsia"/>
        </w:rPr>
        <w:t>應盤查</w:t>
      </w:r>
      <w:r w:rsidRPr="002C40D8">
        <w:t>總</w:t>
      </w:r>
      <w:r w:rsidRPr="002C40D8">
        <w:rPr>
          <w:rFonts w:hint="eastAsia"/>
        </w:rPr>
        <w:t>巿值</w:t>
      </w:r>
      <w:r w:rsidRPr="002C40D8">
        <w:t>之比率</w:t>
      </w:r>
    </w:p>
    <w:tbl>
      <w:tblPr>
        <w:tblpPr w:leftFromText="180" w:rightFromText="180" w:vertAnchor="text" w:horzAnchor="margin" w:tblpXSpec="center" w:tblpY="47"/>
        <w:tblOverlap w:val="never"/>
        <w:tblW w:w="0" w:type="auto"/>
        <w:shd w:val="clear" w:color="auto" w:fill="D9D9D9"/>
        <w:tblLook w:val="04A0" w:firstRow="1" w:lastRow="0" w:firstColumn="1" w:lastColumn="0" w:noHBand="0" w:noVBand="1"/>
      </w:tblPr>
      <w:tblGrid>
        <w:gridCol w:w="3966"/>
      </w:tblGrid>
      <w:tr w:rsidR="002C40D8" w:rsidRPr="002C40D8" w14:paraId="68FB3201" w14:textId="77777777" w:rsidTr="000D299A">
        <w:tc>
          <w:tcPr>
            <w:tcW w:w="3966" w:type="dxa"/>
            <w:tcBorders>
              <w:bottom w:val="single" w:sz="12" w:space="0" w:color="auto"/>
            </w:tcBorders>
            <w:shd w:val="clear" w:color="auto" w:fill="D9D9D9"/>
          </w:tcPr>
          <w:p w14:paraId="1A87DB77" w14:textId="77777777" w:rsidR="007754F2" w:rsidRPr="002C40D8" w:rsidRDefault="007754F2" w:rsidP="007754F2">
            <w:pPr>
              <w:spacing w:before="0" w:after="0" w:line="0" w:lineRule="atLeast"/>
              <w:jc w:val="center"/>
              <w:rPr>
                <w:sz w:val="22"/>
                <w:szCs w:val="22"/>
              </w:rPr>
            </w:pPr>
            <w:r w:rsidRPr="002C40D8">
              <w:rPr>
                <w:sz w:val="22"/>
                <w:szCs w:val="22"/>
              </w:rPr>
              <w:t>各資產別</w:t>
            </w:r>
            <w:r w:rsidRPr="002C40D8">
              <w:rPr>
                <w:rFonts w:hint="eastAsia"/>
                <w:sz w:val="22"/>
                <w:szCs w:val="22"/>
              </w:rPr>
              <w:t>已</w:t>
            </w:r>
            <w:r w:rsidRPr="002C40D8">
              <w:rPr>
                <w:sz w:val="22"/>
                <w:szCs w:val="22"/>
              </w:rPr>
              <w:t>盤查部位</w:t>
            </w:r>
            <w:r w:rsidRPr="002C40D8">
              <w:rPr>
                <w:rFonts w:hint="eastAsia"/>
                <w:sz w:val="22"/>
                <w:szCs w:val="22"/>
              </w:rPr>
              <w:t>總巿值</w:t>
            </w:r>
            <w:r w:rsidRPr="002C40D8">
              <w:rPr>
                <w:rFonts w:hint="eastAsia"/>
                <w:sz w:val="22"/>
                <w:szCs w:val="22"/>
              </w:rPr>
              <w:t>(</w:t>
            </w:r>
            <w:r w:rsidRPr="002C40D8">
              <w:rPr>
                <w:rFonts w:hint="eastAsia"/>
                <w:sz w:val="22"/>
                <w:szCs w:val="22"/>
              </w:rPr>
              <w:t>百萬元</w:t>
            </w:r>
            <w:r w:rsidRPr="002C40D8">
              <w:rPr>
                <w:rFonts w:hint="eastAsia"/>
                <w:sz w:val="22"/>
                <w:szCs w:val="22"/>
              </w:rPr>
              <w:t>)</w:t>
            </w:r>
          </w:p>
        </w:tc>
      </w:tr>
      <w:tr w:rsidR="002C40D8" w:rsidRPr="002C40D8" w14:paraId="0F10FA9D" w14:textId="77777777" w:rsidTr="000D299A">
        <w:tc>
          <w:tcPr>
            <w:tcW w:w="3966" w:type="dxa"/>
            <w:tcBorders>
              <w:top w:val="single" w:sz="12" w:space="0" w:color="auto"/>
            </w:tcBorders>
            <w:shd w:val="clear" w:color="auto" w:fill="D9D9D9"/>
          </w:tcPr>
          <w:p w14:paraId="07BA3F09" w14:textId="77777777" w:rsidR="007754F2" w:rsidRPr="002C40D8" w:rsidRDefault="007754F2" w:rsidP="007754F2">
            <w:pPr>
              <w:spacing w:before="0" w:after="0" w:line="0" w:lineRule="atLeast"/>
              <w:jc w:val="center"/>
              <w:rPr>
                <w:sz w:val="22"/>
                <w:szCs w:val="22"/>
              </w:rPr>
            </w:pPr>
            <w:r w:rsidRPr="002C40D8">
              <w:rPr>
                <w:sz w:val="22"/>
                <w:szCs w:val="22"/>
              </w:rPr>
              <w:t>各資產別</w:t>
            </w:r>
            <w:r w:rsidRPr="002C40D8">
              <w:rPr>
                <w:rFonts w:hint="eastAsia"/>
                <w:sz w:val="22"/>
                <w:szCs w:val="22"/>
              </w:rPr>
              <w:t>應盤查</w:t>
            </w:r>
            <w:r w:rsidRPr="002C40D8">
              <w:rPr>
                <w:sz w:val="22"/>
                <w:szCs w:val="22"/>
              </w:rPr>
              <w:t>總</w:t>
            </w:r>
            <w:r w:rsidRPr="002C40D8">
              <w:rPr>
                <w:rFonts w:hint="eastAsia"/>
                <w:sz w:val="22"/>
                <w:szCs w:val="22"/>
              </w:rPr>
              <w:t>巿值</w:t>
            </w:r>
            <w:r w:rsidRPr="002C40D8">
              <w:rPr>
                <w:rFonts w:hint="eastAsia"/>
                <w:sz w:val="22"/>
                <w:szCs w:val="22"/>
              </w:rPr>
              <w:t>(</w:t>
            </w:r>
            <w:r w:rsidRPr="002C40D8">
              <w:rPr>
                <w:rFonts w:hint="eastAsia"/>
                <w:sz w:val="22"/>
                <w:szCs w:val="22"/>
              </w:rPr>
              <w:t>百萬元</w:t>
            </w:r>
            <w:r w:rsidRPr="002C40D8">
              <w:rPr>
                <w:rFonts w:hint="eastAsia"/>
                <w:sz w:val="22"/>
                <w:szCs w:val="22"/>
              </w:rPr>
              <w:t>)</w:t>
            </w:r>
          </w:p>
        </w:tc>
      </w:tr>
    </w:tbl>
    <w:p w14:paraId="5548F0BC" w14:textId="77777777" w:rsidR="007754F2" w:rsidRDefault="007754F2" w:rsidP="007754F2">
      <w:pPr>
        <w:spacing w:before="0" w:after="0" w:line="0" w:lineRule="atLeast"/>
        <w:ind w:leftChars="708" w:left="1984" w:hanging="285"/>
        <w:jc w:val="both"/>
      </w:pPr>
    </w:p>
    <w:p w14:paraId="491E6F26" w14:textId="77777777" w:rsidR="007754F2" w:rsidRDefault="007754F2" w:rsidP="007754F2">
      <w:pPr>
        <w:spacing w:before="0" w:after="0" w:line="0" w:lineRule="atLeast"/>
        <w:ind w:leftChars="708" w:left="1984" w:hanging="285"/>
        <w:jc w:val="both"/>
      </w:pPr>
    </w:p>
    <w:p w14:paraId="452FF992" w14:textId="77777777" w:rsidR="007754F2" w:rsidRPr="00C80FC0" w:rsidRDefault="007754F2" w:rsidP="00F0783F">
      <w:pPr>
        <w:spacing w:before="120" w:afterLines="50" w:after="180" w:line="0" w:lineRule="atLeast"/>
        <w:ind w:leftChars="708" w:left="1984" w:hanging="285"/>
        <w:jc w:val="both"/>
      </w:pPr>
    </w:p>
    <w:p w14:paraId="6C8D043C" w14:textId="4AB63FDA" w:rsidR="00F0783F" w:rsidRPr="00471175" w:rsidRDefault="00F0783F" w:rsidP="00A47B5E">
      <w:pPr>
        <w:widowControl/>
        <w:spacing w:beforeLines="100" w:before="360" w:afterLines="50" w:after="180" w:line="0" w:lineRule="atLeast"/>
        <w:ind w:left="567" w:hangingChars="236" w:hanging="567"/>
        <w:rPr>
          <w:color w:val="0070C0"/>
        </w:rPr>
      </w:pPr>
      <w:r w:rsidRPr="00C80FC0">
        <w:rPr>
          <w:b/>
          <w:bCs/>
        </w:rPr>
        <w:t>三、指標與目標之績效</w:t>
      </w:r>
      <w:r w:rsidR="00723D37" w:rsidRPr="00C80FC0">
        <w:rPr>
          <w:rFonts w:eastAsia="微軟正黑體"/>
          <w:color w:val="0070C0"/>
          <w:sz w:val="16"/>
          <w:szCs w:val="16"/>
        </w:rPr>
        <w:t>【</w:t>
      </w:r>
      <w:r w:rsidR="00546D52" w:rsidRPr="00C80FC0">
        <w:rPr>
          <w:rFonts w:eastAsia="微軟正黑體" w:hint="eastAsia"/>
          <w:color w:val="0070C0"/>
          <w:sz w:val="16"/>
          <w:szCs w:val="16"/>
        </w:rPr>
        <w:t>M.</w:t>
      </w:r>
      <w:r w:rsidR="008D4438">
        <w:rPr>
          <w:rFonts w:eastAsia="微軟正黑體"/>
          <w:color w:val="0070C0"/>
          <w:sz w:val="16"/>
          <w:szCs w:val="16"/>
        </w:rPr>
        <w:t>3</w:t>
      </w:r>
      <w:r w:rsidR="00723D37" w:rsidRPr="00C80FC0">
        <w:rPr>
          <w:rFonts w:eastAsia="微軟正黑體"/>
          <w:color w:val="0070C0"/>
          <w:sz w:val="16"/>
          <w:szCs w:val="16"/>
        </w:rPr>
        <w:t>】</w:t>
      </w:r>
    </w:p>
    <w:p w14:paraId="78E860EA" w14:textId="7C686DFC" w:rsidR="00F0783F" w:rsidRPr="00471175" w:rsidRDefault="00F0783F" w:rsidP="00F0783F">
      <w:pPr>
        <w:widowControl/>
        <w:spacing w:before="0" w:afterLines="50" w:after="180" w:line="240" w:lineRule="auto"/>
        <w:ind w:leftChars="177" w:left="425" w:firstLineChars="234" w:firstLine="562"/>
      </w:pPr>
      <w:r w:rsidRPr="00471175">
        <w:t>A</w:t>
      </w:r>
      <w:r w:rsidRPr="00471175">
        <w:t>投信積極執行環境永續策略和低碳經濟策略，及相關減碳節能目標與行動方案，下表提供</w:t>
      </w:r>
      <w:r w:rsidRPr="00471175">
        <w:t>A</w:t>
      </w:r>
      <w:r w:rsidRPr="00471175">
        <w:t>投信永續發展目標的執行成果。</w:t>
      </w:r>
    </w:p>
    <w:p w14:paraId="05DAD93D" w14:textId="7FE2D8A6" w:rsidR="0078015F" w:rsidRDefault="00F0783F" w:rsidP="00A90416">
      <w:pPr>
        <w:widowControl/>
        <w:spacing w:before="0" w:afterLines="100" w:after="360" w:line="240" w:lineRule="auto"/>
        <w:ind w:leftChars="177" w:left="425" w:firstLineChars="234" w:firstLine="562"/>
      </w:pPr>
      <w:r w:rsidRPr="00471175">
        <w:t>除在綠色能源之能源使用減量乙項，未達所設定之目標外，餘均達標。該項未達標之原因，經查係公司多項電器已使用多年，能源效率較低所致。爰將加速汰舊相關耗能用品，進一步採用節能燈管或高效率</w:t>
      </w:r>
      <w:r w:rsidRPr="00471175">
        <w:t>(</w:t>
      </w:r>
      <w:r w:rsidRPr="00471175">
        <w:t>高</w:t>
      </w:r>
      <w:r w:rsidRPr="00471175">
        <w:t>EER</w:t>
      </w:r>
      <w:r w:rsidRPr="00471175">
        <w:t>值</w:t>
      </w:r>
      <w:r w:rsidRPr="00471175">
        <w:t>)</w:t>
      </w:r>
      <w:r w:rsidRPr="00471175">
        <w:t>電器等改善措施，以積極減少用電量。</w:t>
      </w:r>
    </w:p>
    <w:tbl>
      <w:tblPr>
        <w:tblStyle w:val="aa"/>
        <w:tblW w:w="10349" w:type="dxa"/>
        <w:tblInd w:w="-431" w:type="dxa"/>
        <w:tblLook w:val="04A0" w:firstRow="1" w:lastRow="0" w:firstColumn="1" w:lastColumn="0" w:noHBand="0" w:noVBand="1"/>
      </w:tblPr>
      <w:tblGrid>
        <w:gridCol w:w="565"/>
        <w:gridCol w:w="976"/>
        <w:gridCol w:w="1153"/>
        <w:gridCol w:w="1841"/>
        <w:gridCol w:w="2550"/>
        <w:gridCol w:w="1421"/>
        <w:gridCol w:w="855"/>
        <w:gridCol w:w="988"/>
      </w:tblGrid>
      <w:tr w:rsidR="009B7997" w:rsidRPr="009B7997" w14:paraId="0B1F0FE9" w14:textId="65B3B4B2" w:rsidTr="009B7997">
        <w:trPr>
          <w:tblHeader/>
        </w:trPr>
        <w:tc>
          <w:tcPr>
            <w:tcW w:w="2694" w:type="dxa"/>
            <w:gridSpan w:val="3"/>
            <w:shd w:val="clear" w:color="auto" w:fill="2F5496" w:themeFill="accent5" w:themeFillShade="BF"/>
            <w:vAlign w:val="center"/>
          </w:tcPr>
          <w:p w14:paraId="37CC9FC0" w14:textId="3A51EB4F" w:rsidR="00E561D2" w:rsidRPr="009B7997" w:rsidRDefault="0078015F" w:rsidP="00E561D2">
            <w:pPr>
              <w:adjustRightInd w:val="0"/>
              <w:snapToGrid w:val="0"/>
              <w:spacing w:before="0" w:after="0" w:line="276" w:lineRule="auto"/>
              <w:jc w:val="center"/>
              <w:rPr>
                <w:color w:val="FFFFFF" w:themeColor="background1"/>
              </w:rPr>
            </w:pPr>
            <w:r w:rsidRPr="009B7997">
              <w:rPr>
                <w:color w:val="FFFFFF" w:themeColor="background1"/>
              </w:rPr>
              <w:br w:type="page"/>
            </w:r>
            <w:r w:rsidR="00E561D2" w:rsidRPr="009B7997">
              <w:rPr>
                <w:b/>
                <w:bCs/>
                <w:color w:val="FFFFFF" w:themeColor="background1"/>
              </w:rPr>
              <w:t>指標項目</w:t>
            </w:r>
          </w:p>
        </w:tc>
        <w:tc>
          <w:tcPr>
            <w:tcW w:w="1841" w:type="dxa"/>
            <w:shd w:val="clear" w:color="auto" w:fill="2F5496" w:themeFill="accent5" w:themeFillShade="BF"/>
            <w:vAlign w:val="center"/>
          </w:tcPr>
          <w:p w14:paraId="40195122" w14:textId="77777777" w:rsidR="00E561D2" w:rsidRPr="009B7997" w:rsidRDefault="00E561D2" w:rsidP="00E561D2">
            <w:pPr>
              <w:adjustRightInd w:val="0"/>
              <w:snapToGrid w:val="0"/>
              <w:spacing w:before="0" w:after="0" w:line="276" w:lineRule="auto"/>
              <w:jc w:val="center"/>
              <w:rPr>
                <w:color w:val="FFFFFF" w:themeColor="background1"/>
              </w:rPr>
            </w:pPr>
            <w:r w:rsidRPr="009B7997">
              <w:rPr>
                <w:b/>
                <w:bCs/>
                <w:color w:val="FFFFFF" w:themeColor="background1"/>
              </w:rPr>
              <w:t>2022</w:t>
            </w:r>
            <w:r w:rsidRPr="009B7997">
              <w:rPr>
                <w:b/>
                <w:bCs/>
                <w:color w:val="FFFFFF" w:themeColor="background1"/>
              </w:rPr>
              <w:t>目標</w:t>
            </w:r>
          </w:p>
        </w:tc>
        <w:tc>
          <w:tcPr>
            <w:tcW w:w="2550" w:type="dxa"/>
            <w:shd w:val="clear" w:color="auto" w:fill="2F5496" w:themeFill="accent5" w:themeFillShade="BF"/>
            <w:vAlign w:val="center"/>
          </w:tcPr>
          <w:p w14:paraId="264A4AAA" w14:textId="77777777" w:rsidR="00E561D2" w:rsidRPr="009B7997" w:rsidRDefault="00E561D2" w:rsidP="00E561D2">
            <w:pPr>
              <w:adjustRightInd w:val="0"/>
              <w:snapToGrid w:val="0"/>
              <w:spacing w:before="0" w:after="0" w:line="276" w:lineRule="auto"/>
              <w:jc w:val="center"/>
              <w:rPr>
                <w:color w:val="FFFFFF" w:themeColor="background1"/>
              </w:rPr>
            </w:pPr>
            <w:r w:rsidRPr="009B7997">
              <w:rPr>
                <w:b/>
                <w:color w:val="FFFFFF" w:themeColor="background1"/>
              </w:rPr>
              <w:t>執行績效</w:t>
            </w:r>
          </w:p>
        </w:tc>
        <w:tc>
          <w:tcPr>
            <w:tcW w:w="1421" w:type="dxa"/>
            <w:shd w:val="clear" w:color="auto" w:fill="2F5496" w:themeFill="accent5" w:themeFillShade="BF"/>
          </w:tcPr>
          <w:p w14:paraId="1D4A5D55" w14:textId="547E7AE6" w:rsidR="00E561D2" w:rsidRPr="009B7997" w:rsidRDefault="00E561D2" w:rsidP="00E561D2">
            <w:pPr>
              <w:adjustRightInd w:val="0"/>
              <w:snapToGrid w:val="0"/>
              <w:spacing w:before="0" w:after="0" w:line="0" w:lineRule="atLeast"/>
              <w:jc w:val="center"/>
              <w:rPr>
                <w:b/>
                <w:color w:val="FFFFFF" w:themeColor="background1"/>
                <w:spacing w:val="-20"/>
              </w:rPr>
            </w:pPr>
            <w:r w:rsidRPr="009B7997">
              <w:rPr>
                <w:rFonts w:hint="eastAsia"/>
                <w:b/>
                <w:color w:val="FFFFFF" w:themeColor="background1"/>
                <w:spacing w:val="-20"/>
              </w:rPr>
              <w:t>自</w:t>
            </w:r>
            <w:r w:rsidRPr="009B7997">
              <w:rPr>
                <w:rFonts w:hint="eastAsia"/>
                <w:b/>
                <w:color w:val="FFFFFF" w:themeColor="background1"/>
                <w:spacing w:val="-20"/>
              </w:rPr>
              <w:t>2</w:t>
            </w:r>
            <w:r w:rsidRPr="009B7997">
              <w:rPr>
                <w:b/>
                <w:color w:val="FFFFFF" w:themeColor="background1"/>
                <w:spacing w:val="-20"/>
              </w:rPr>
              <w:t>020(</w:t>
            </w:r>
            <w:r w:rsidRPr="009B7997">
              <w:rPr>
                <w:rFonts w:hint="eastAsia"/>
                <w:b/>
                <w:color w:val="FFFFFF" w:themeColor="background1"/>
                <w:spacing w:val="-20"/>
              </w:rPr>
              <w:t>基準年</w:t>
            </w:r>
            <w:r w:rsidRPr="009B7997">
              <w:rPr>
                <w:rFonts w:hint="eastAsia"/>
                <w:b/>
                <w:color w:val="FFFFFF" w:themeColor="background1"/>
                <w:spacing w:val="-20"/>
              </w:rPr>
              <w:t>)</w:t>
            </w:r>
            <w:r w:rsidRPr="009B7997">
              <w:rPr>
                <w:rFonts w:hint="eastAsia"/>
                <w:b/>
                <w:color w:val="FFFFFF" w:themeColor="background1"/>
                <w:spacing w:val="-20"/>
              </w:rPr>
              <w:t>迄</w:t>
            </w:r>
            <w:r w:rsidRPr="009B7997">
              <w:rPr>
                <w:rFonts w:hint="eastAsia"/>
                <w:b/>
                <w:color w:val="FFFFFF" w:themeColor="background1"/>
                <w:spacing w:val="-20"/>
              </w:rPr>
              <w:t>2</w:t>
            </w:r>
            <w:r w:rsidRPr="009B7997">
              <w:rPr>
                <w:b/>
                <w:color w:val="FFFFFF" w:themeColor="background1"/>
                <w:spacing w:val="-20"/>
              </w:rPr>
              <w:t>022</w:t>
            </w:r>
            <w:r w:rsidRPr="009B7997">
              <w:rPr>
                <w:rFonts w:hint="eastAsia"/>
                <w:b/>
                <w:color w:val="FFFFFF" w:themeColor="background1"/>
                <w:spacing w:val="-20"/>
              </w:rPr>
              <w:t>之</w:t>
            </w:r>
            <w:r w:rsidR="00534546" w:rsidRPr="009B7997">
              <w:rPr>
                <w:rFonts w:hint="eastAsia"/>
                <w:b/>
                <w:color w:val="FFFFFF" w:themeColor="background1"/>
                <w:spacing w:val="-20"/>
              </w:rPr>
              <w:t>累積</w:t>
            </w:r>
            <w:r w:rsidRPr="009B7997">
              <w:rPr>
                <w:rFonts w:hint="eastAsia"/>
                <w:b/>
                <w:color w:val="FFFFFF" w:themeColor="background1"/>
                <w:spacing w:val="-20"/>
              </w:rPr>
              <w:t>達成率</w:t>
            </w:r>
          </w:p>
        </w:tc>
        <w:tc>
          <w:tcPr>
            <w:tcW w:w="855" w:type="dxa"/>
            <w:shd w:val="clear" w:color="auto" w:fill="2F5496" w:themeFill="accent5" w:themeFillShade="BF"/>
            <w:vAlign w:val="center"/>
          </w:tcPr>
          <w:p w14:paraId="579B2B01" w14:textId="77777777" w:rsidR="00E561D2" w:rsidRPr="009B7997" w:rsidRDefault="00E561D2" w:rsidP="00E561D2">
            <w:pPr>
              <w:adjustRightInd w:val="0"/>
              <w:snapToGrid w:val="0"/>
              <w:spacing w:before="0" w:after="0" w:line="0" w:lineRule="atLeast"/>
              <w:jc w:val="center"/>
              <w:rPr>
                <w:b/>
                <w:bCs/>
                <w:color w:val="FFFFFF" w:themeColor="background1"/>
              </w:rPr>
            </w:pPr>
            <w:r w:rsidRPr="009B7997">
              <w:rPr>
                <w:b/>
                <w:bCs/>
                <w:color w:val="FFFFFF" w:themeColor="background1"/>
              </w:rPr>
              <w:t>中期</w:t>
            </w:r>
          </w:p>
          <w:p w14:paraId="224E0AA0" w14:textId="752CED5E" w:rsidR="00E561D2" w:rsidRPr="009B7997" w:rsidRDefault="00E561D2" w:rsidP="00E561D2">
            <w:pPr>
              <w:adjustRightInd w:val="0"/>
              <w:snapToGrid w:val="0"/>
              <w:spacing w:before="0" w:after="0" w:line="0" w:lineRule="atLeast"/>
              <w:jc w:val="center"/>
              <w:rPr>
                <w:b/>
                <w:bCs/>
                <w:color w:val="FFFFFF" w:themeColor="background1"/>
              </w:rPr>
            </w:pPr>
            <w:r w:rsidRPr="009B7997">
              <w:rPr>
                <w:b/>
                <w:bCs/>
                <w:color w:val="FFFFFF" w:themeColor="background1"/>
              </w:rPr>
              <w:t>目標</w:t>
            </w:r>
          </w:p>
          <w:p w14:paraId="0E676D2A" w14:textId="26FA57B2" w:rsidR="00E561D2" w:rsidRPr="009B7997" w:rsidRDefault="00E561D2" w:rsidP="00E561D2">
            <w:pPr>
              <w:adjustRightInd w:val="0"/>
              <w:snapToGrid w:val="0"/>
              <w:spacing w:before="0" w:after="0" w:line="0" w:lineRule="atLeast"/>
              <w:jc w:val="center"/>
              <w:rPr>
                <w:b/>
                <w:color w:val="FFFFFF" w:themeColor="background1"/>
              </w:rPr>
            </w:pPr>
            <w:r w:rsidRPr="009B7997">
              <w:rPr>
                <w:b/>
                <w:bCs/>
                <w:color w:val="FFFFFF" w:themeColor="background1"/>
              </w:rPr>
              <w:t>2030</w:t>
            </w:r>
          </w:p>
        </w:tc>
        <w:tc>
          <w:tcPr>
            <w:tcW w:w="988" w:type="dxa"/>
            <w:shd w:val="clear" w:color="auto" w:fill="2F5496" w:themeFill="accent5" w:themeFillShade="BF"/>
            <w:vAlign w:val="center"/>
          </w:tcPr>
          <w:p w14:paraId="357218C4" w14:textId="77777777" w:rsidR="00E561D2" w:rsidRPr="009B7997" w:rsidRDefault="00E561D2" w:rsidP="00E561D2">
            <w:pPr>
              <w:adjustRightInd w:val="0"/>
              <w:snapToGrid w:val="0"/>
              <w:spacing w:before="0" w:after="0" w:line="0" w:lineRule="atLeast"/>
              <w:jc w:val="center"/>
              <w:rPr>
                <w:b/>
                <w:bCs/>
                <w:color w:val="FFFFFF" w:themeColor="background1"/>
              </w:rPr>
            </w:pPr>
            <w:r w:rsidRPr="009B7997">
              <w:rPr>
                <w:b/>
                <w:bCs/>
                <w:color w:val="FFFFFF" w:themeColor="background1"/>
              </w:rPr>
              <w:t>長期</w:t>
            </w:r>
          </w:p>
          <w:p w14:paraId="6D030AA6" w14:textId="0D5949D5" w:rsidR="00E561D2" w:rsidRPr="009B7997" w:rsidRDefault="00E561D2" w:rsidP="00E561D2">
            <w:pPr>
              <w:adjustRightInd w:val="0"/>
              <w:snapToGrid w:val="0"/>
              <w:spacing w:before="0" w:after="0" w:line="0" w:lineRule="atLeast"/>
              <w:jc w:val="center"/>
              <w:rPr>
                <w:b/>
                <w:bCs/>
                <w:color w:val="FFFFFF" w:themeColor="background1"/>
              </w:rPr>
            </w:pPr>
            <w:r w:rsidRPr="009B7997">
              <w:rPr>
                <w:b/>
                <w:bCs/>
                <w:color w:val="FFFFFF" w:themeColor="background1"/>
              </w:rPr>
              <w:t>目標</w:t>
            </w:r>
          </w:p>
          <w:p w14:paraId="3A28009C" w14:textId="28BC6AFB" w:rsidR="00E561D2" w:rsidRPr="009B7997" w:rsidRDefault="00E561D2" w:rsidP="00E561D2">
            <w:pPr>
              <w:adjustRightInd w:val="0"/>
              <w:snapToGrid w:val="0"/>
              <w:spacing w:before="0" w:after="0" w:line="0" w:lineRule="atLeast"/>
              <w:jc w:val="center"/>
              <w:rPr>
                <w:b/>
                <w:color w:val="FFFFFF" w:themeColor="background1"/>
              </w:rPr>
            </w:pPr>
            <w:r w:rsidRPr="009B7997">
              <w:rPr>
                <w:b/>
                <w:bCs/>
                <w:color w:val="FFFFFF" w:themeColor="background1"/>
              </w:rPr>
              <w:t>2050</w:t>
            </w:r>
          </w:p>
        </w:tc>
      </w:tr>
      <w:tr w:rsidR="00E561D2" w:rsidRPr="00471175" w14:paraId="0C230680" w14:textId="2BAC2263" w:rsidTr="00534546">
        <w:tc>
          <w:tcPr>
            <w:tcW w:w="565" w:type="dxa"/>
            <w:vMerge w:val="restart"/>
            <w:shd w:val="clear" w:color="auto" w:fill="C5E0B3" w:themeFill="accent6" w:themeFillTint="66"/>
            <w:vAlign w:val="center"/>
          </w:tcPr>
          <w:p w14:paraId="41B2214E" w14:textId="77777777" w:rsidR="00E561D2" w:rsidRPr="00471175" w:rsidRDefault="00E561D2" w:rsidP="00E561D2">
            <w:pPr>
              <w:spacing w:before="0" w:after="0" w:line="276" w:lineRule="auto"/>
              <w:jc w:val="center"/>
            </w:pPr>
            <w:r w:rsidRPr="00471175">
              <w:rPr>
                <w:b/>
                <w:bCs/>
              </w:rPr>
              <w:t>環境永續</w:t>
            </w:r>
          </w:p>
        </w:tc>
        <w:tc>
          <w:tcPr>
            <w:tcW w:w="976" w:type="dxa"/>
            <w:vMerge w:val="restart"/>
            <w:shd w:val="clear" w:color="auto" w:fill="C5E0B3" w:themeFill="accent6" w:themeFillTint="66"/>
            <w:vAlign w:val="center"/>
          </w:tcPr>
          <w:p w14:paraId="27BD3AFD" w14:textId="77777777" w:rsidR="00E561D2" w:rsidRPr="00471175" w:rsidRDefault="00E561D2" w:rsidP="00E561D2">
            <w:pPr>
              <w:adjustRightInd w:val="0"/>
              <w:snapToGrid w:val="0"/>
              <w:spacing w:before="0" w:after="0" w:line="276" w:lineRule="auto"/>
              <w:jc w:val="center"/>
              <w:rPr>
                <w:b/>
                <w:bCs/>
              </w:rPr>
            </w:pPr>
            <w:r w:rsidRPr="00471175">
              <w:rPr>
                <w:b/>
                <w:bCs/>
              </w:rPr>
              <w:t>綠色</w:t>
            </w:r>
          </w:p>
          <w:p w14:paraId="69B487FF" w14:textId="64BFA8D7" w:rsidR="00E561D2" w:rsidRPr="00471175" w:rsidRDefault="00E561D2" w:rsidP="00E561D2">
            <w:pPr>
              <w:adjustRightInd w:val="0"/>
              <w:snapToGrid w:val="0"/>
              <w:spacing w:before="0" w:after="0" w:line="276" w:lineRule="auto"/>
              <w:jc w:val="center"/>
            </w:pPr>
            <w:r w:rsidRPr="00471175">
              <w:rPr>
                <w:b/>
                <w:bCs/>
              </w:rPr>
              <w:t>能源</w:t>
            </w:r>
          </w:p>
        </w:tc>
        <w:tc>
          <w:tcPr>
            <w:tcW w:w="1153" w:type="dxa"/>
            <w:shd w:val="clear" w:color="auto" w:fill="C5E0B3" w:themeFill="accent6" w:themeFillTint="66"/>
            <w:vAlign w:val="center"/>
          </w:tcPr>
          <w:p w14:paraId="4DD23999" w14:textId="77777777" w:rsidR="00E561D2" w:rsidRPr="00471175" w:rsidRDefault="00E561D2" w:rsidP="00E561D2">
            <w:pPr>
              <w:adjustRightInd w:val="0"/>
              <w:snapToGrid w:val="0"/>
              <w:spacing w:before="0" w:after="0" w:line="276" w:lineRule="auto"/>
            </w:pPr>
            <w:r w:rsidRPr="00471175">
              <w:t>能源使用減量</w:t>
            </w:r>
          </w:p>
        </w:tc>
        <w:tc>
          <w:tcPr>
            <w:tcW w:w="1841" w:type="dxa"/>
            <w:shd w:val="clear" w:color="auto" w:fill="C5E0B3" w:themeFill="accent6" w:themeFillTint="66"/>
            <w:vAlign w:val="center"/>
          </w:tcPr>
          <w:p w14:paraId="14F87502" w14:textId="77777777" w:rsidR="00E561D2" w:rsidRPr="00471175" w:rsidRDefault="00E561D2" w:rsidP="00E561D2">
            <w:pPr>
              <w:adjustRightInd w:val="0"/>
              <w:snapToGrid w:val="0"/>
              <w:spacing w:before="0" w:after="0" w:line="276" w:lineRule="auto"/>
            </w:pPr>
            <w:r w:rsidRPr="00471175">
              <w:t>減少用電量</w:t>
            </w:r>
            <w:r w:rsidRPr="00471175">
              <w:t>5</w:t>
            </w:r>
            <w:r w:rsidRPr="00471175">
              <w:t>萬度</w:t>
            </w:r>
          </w:p>
        </w:tc>
        <w:tc>
          <w:tcPr>
            <w:tcW w:w="2550" w:type="dxa"/>
            <w:shd w:val="clear" w:color="auto" w:fill="C5E0B3" w:themeFill="accent6" w:themeFillTint="66"/>
          </w:tcPr>
          <w:p w14:paraId="1AAD79B6" w14:textId="77777777" w:rsidR="00E561D2" w:rsidRPr="00471175" w:rsidRDefault="00E561D2" w:rsidP="00E561D2">
            <w:pPr>
              <w:adjustRightInd w:val="0"/>
              <w:snapToGrid w:val="0"/>
              <w:spacing w:before="0" w:after="0" w:line="276" w:lineRule="auto"/>
            </w:pPr>
            <w:r w:rsidRPr="00471175">
              <w:t>2022</w:t>
            </w:r>
            <w:r w:rsidRPr="00471175">
              <w:t>年使用</w:t>
            </w:r>
            <w:r w:rsidRPr="00471175">
              <w:t>80</w:t>
            </w:r>
            <w:r w:rsidRPr="00471175">
              <w:t>萬度，較前一年減少</w:t>
            </w:r>
            <w:r w:rsidRPr="00471175">
              <w:t>4.5</w:t>
            </w:r>
            <w:r w:rsidRPr="00471175">
              <w:t>萬度，略低於目標。</w:t>
            </w:r>
          </w:p>
        </w:tc>
        <w:tc>
          <w:tcPr>
            <w:tcW w:w="1421" w:type="dxa"/>
            <w:shd w:val="clear" w:color="auto" w:fill="C5E0B3" w:themeFill="accent6" w:themeFillTint="66"/>
            <w:vAlign w:val="center"/>
          </w:tcPr>
          <w:p w14:paraId="06EF5C99" w14:textId="18E518AD" w:rsidR="00E561D2" w:rsidRPr="003147DA" w:rsidRDefault="00E561D2" w:rsidP="00E561D2">
            <w:pPr>
              <w:adjustRightInd w:val="0"/>
              <w:snapToGrid w:val="0"/>
              <w:spacing w:before="0" w:after="0" w:line="276" w:lineRule="auto"/>
              <w:jc w:val="center"/>
            </w:pPr>
            <w:r w:rsidRPr="003147DA">
              <w:rPr>
                <w:rFonts w:hint="eastAsia"/>
              </w:rPr>
              <w:t>-</w:t>
            </w:r>
            <w:r w:rsidRPr="003147DA">
              <w:t>3.75%</w:t>
            </w:r>
          </w:p>
        </w:tc>
        <w:tc>
          <w:tcPr>
            <w:tcW w:w="855" w:type="dxa"/>
            <w:shd w:val="clear" w:color="auto" w:fill="C5E0B3" w:themeFill="accent6" w:themeFillTint="66"/>
            <w:vAlign w:val="center"/>
          </w:tcPr>
          <w:p w14:paraId="42FD5B9D" w14:textId="53891803" w:rsidR="00E561D2" w:rsidRPr="003147DA" w:rsidRDefault="00E561D2" w:rsidP="00E561D2">
            <w:pPr>
              <w:adjustRightInd w:val="0"/>
              <w:snapToGrid w:val="0"/>
              <w:spacing w:before="0" w:after="0" w:line="276" w:lineRule="auto"/>
            </w:pPr>
            <w:r w:rsidRPr="003147DA">
              <w:t>-20%</w:t>
            </w:r>
          </w:p>
        </w:tc>
        <w:tc>
          <w:tcPr>
            <w:tcW w:w="988" w:type="dxa"/>
            <w:shd w:val="clear" w:color="auto" w:fill="C5E0B3" w:themeFill="accent6" w:themeFillTint="66"/>
            <w:vAlign w:val="center"/>
          </w:tcPr>
          <w:p w14:paraId="05AFEEE9" w14:textId="4D6B15A3" w:rsidR="00E561D2" w:rsidRPr="003147DA" w:rsidRDefault="00E561D2" w:rsidP="00E561D2">
            <w:pPr>
              <w:adjustRightInd w:val="0"/>
              <w:snapToGrid w:val="0"/>
              <w:spacing w:before="0" w:after="0" w:line="276" w:lineRule="auto"/>
            </w:pPr>
            <w:r w:rsidRPr="003147DA">
              <w:t>-50%</w:t>
            </w:r>
          </w:p>
        </w:tc>
      </w:tr>
      <w:tr w:rsidR="00E561D2" w:rsidRPr="00471175" w14:paraId="30EB465D" w14:textId="496D03EF" w:rsidTr="00534546">
        <w:tc>
          <w:tcPr>
            <w:tcW w:w="565" w:type="dxa"/>
            <w:vMerge/>
            <w:shd w:val="clear" w:color="auto" w:fill="C5E0B3" w:themeFill="accent6" w:themeFillTint="66"/>
            <w:vAlign w:val="center"/>
          </w:tcPr>
          <w:p w14:paraId="36BD05A3" w14:textId="77777777" w:rsidR="00E561D2" w:rsidRPr="00471175" w:rsidRDefault="00E561D2" w:rsidP="00E561D2">
            <w:pPr>
              <w:adjustRightInd w:val="0"/>
              <w:snapToGrid w:val="0"/>
              <w:spacing w:before="0" w:after="0" w:line="276" w:lineRule="auto"/>
              <w:jc w:val="center"/>
            </w:pPr>
          </w:p>
        </w:tc>
        <w:tc>
          <w:tcPr>
            <w:tcW w:w="976" w:type="dxa"/>
            <w:vMerge/>
            <w:shd w:val="clear" w:color="auto" w:fill="C5E0B3" w:themeFill="accent6" w:themeFillTint="66"/>
            <w:vAlign w:val="center"/>
          </w:tcPr>
          <w:p w14:paraId="0C8E0D58" w14:textId="77777777" w:rsidR="00E561D2" w:rsidRPr="00471175" w:rsidRDefault="00E561D2" w:rsidP="00E561D2">
            <w:pPr>
              <w:adjustRightInd w:val="0"/>
              <w:snapToGrid w:val="0"/>
              <w:spacing w:before="0" w:after="0" w:line="276" w:lineRule="auto"/>
              <w:jc w:val="center"/>
            </w:pPr>
          </w:p>
        </w:tc>
        <w:tc>
          <w:tcPr>
            <w:tcW w:w="1153" w:type="dxa"/>
            <w:shd w:val="clear" w:color="auto" w:fill="C5E0B3" w:themeFill="accent6" w:themeFillTint="66"/>
            <w:vAlign w:val="center"/>
          </w:tcPr>
          <w:p w14:paraId="40A29540" w14:textId="77777777" w:rsidR="00E561D2" w:rsidRPr="00471175" w:rsidRDefault="00E561D2" w:rsidP="00E561D2">
            <w:pPr>
              <w:adjustRightInd w:val="0"/>
              <w:snapToGrid w:val="0"/>
              <w:spacing w:before="0" w:after="0" w:line="276" w:lineRule="auto"/>
            </w:pPr>
            <w:r w:rsidRPr="00471175">
              <w:t>使用再生能源</w:t>
            </w:r>
          </w:p>
        </w:tc>
        <w:tc>
          <w:tcPr>
            <w:tcW w:w="1841" w:type="dxa"/>
            <w:shd w:val="clear" w:color="auto" w:fill="C5E0B3" w:themeFill="accent6" w:themeFillTint="66"/>
          </w:tcPr>
          <w:p w14:paraId="38449F81" w14:textId="77777777" w:rsidR="00E561D2" w:rsidRPr="00471175" w:rsidRDefault="00E561D2" w:rsidP="00E561D2">
            <w:pPr>
              <w:pStyle w:val="Default"/>
              <w:spacing w:line="276" w:lineRule="auto"/>
              <w:jc w:val="both"/>
              <w:rPr>
                <w:rFonts w:ascii="Times New Roman" w:hAnsi="Times New Roman" w:cs="Times New Roman"/>
              </w:rPr>
            </w:pPr>
            <w:r w:rsidRPr="00471175">
              <w:rPr>
                <w:rFonts w:ascii="Times New Roman" w:hAnsi="Times New Roman" w:cs="Times New Roman"/>
              </w:rPr>
              <w:t>採購綠電達</w:t>
            </w:r>
            <w:r w:rsidRPr="00471175">
              <w:rPr>
                <w:rFonts w:ascii="Times New Roman" w:hAnsi="Times New Roman" w:cs="Times New Roman"/>
              </w:rPr>
              <w:t>500</w:t>
            </w:r>
            <w:r w:rsidRPr="00471175">
              <w:rPr>
                <w:rFonts w:ascii="Times New Roman" w:hAnsi="Times New Roman" w:cs="Times New Roman"/>
              </w:rPr>
              <w:t>度</w:t>
            </w:r>
          </w:p>
        </w:tc>
        <w:tc>
          <w:tcPr>
            <w:tcW w:w="2550" w:type="dxa"/>
            <w:shd w:val="clear" w:color="auto" w:fill="C5E0B3" w:themeFill="accent6" w:themeFillTint="66"/>
          </w:tcPr>
          <w:p w14:paraId="3BA7D6E1" w14:textId="77777777" w:rsidR="00E561D2" w:rsidRPr="00471175" w:rsidRDefault="00E561D2" w:rsidP="00E561D2">
            <w:pPr>
              <w:adjustRightInd w:val="0"/>
              <w:snapToGrid w:val="0"/>
              <w:spacing w:before="0" w:after="0" w:line="276" w:lineRule="auto"/>
            </w:pPr>
            <w:r w:rsidRPr="00471175">
              <w:t>2022</w:t>
            </w:r>
            <w:r w:rsidRPr="00471175">
              <w:t>年採購</w:t>
            </w:r>
            <w:r w:rsidRPr="00471175">
              <w:t>600</w:t>
            </w:r>
            <w:r w:rsidRPr="00471175">
              <w:t>度，高於目標。</w:t>
            </w:r>
          </w:p>
        </w:tc>
        <w:tc>
          <w:tcPr>
            <w:tcW w:w="1421" w:type="dxa"/>
            <w:shd w:val="clear" w:color="auto" w:fill="C5E0B3" w:themeFill="accent6" w:themeFillTint="66"/>
            <w:vAlign w:val="center"/>
          </w:tcPr>
          <w:p w14:paraId="109EC925" w14:textId="3F54315B" w:rsidR="00E561D2" w:rsidRPr="003147DA" w:rsidRDefault="00534546" w:rsidP="00E561D2">
            <w:pPr>
              <w:adjustRightInd w:val="0"/>
              <w:snapToGrid w:val="0"/>
              <w:spacing w:before="0" w:after="0" w:line="276" w:lineRule="auto"/>
              <w:jc w:val="center"/>
            </w:pPr>
            <w:r w:rsidRPr="003147DA">
              <w:t>+</w:t>
            </w:r>
            <w:r w:rsidRPr="003147DA">
              <w:rPr>
                <w:rFonts w:hint="eastAsia"/>
              </w:rPr>
              <w:t>6</w:t>
            </w:r>
            <w:r w:rsidRPr="003147DA">
              <w:t>.1%</w:t>
            </w:r>
          </w:p>
        </w:tc>
        <w:tc>
          <w:tcPr>
            <w:tcW w:w="855" w:type="dxa"/>
            <w:shd w:val="clear" w:color="auto" w:fill="C5E0B3" w:themeFill="accent6" w:themeFillTint="66"/>
            <w:vAlign w:val="center"/>
          </w:tcPr>
          <w:p w14:paraId="6579304C" w14:textId="2029F34C" w:rsidR="00E561D2" w:rsidRPr="003147DA" w:rsidRDefault="00E561D2" w:rsidP="00E561D2">
            <w:pPr>
              <w:adjustRightInd w:val="0"/>
              <w:snapToGrid w:val="0"/>
              <w:spacing w:before="0" w:after="0" w:line="276" w:lineRule="auto"/>
            </w:pPr>
            <w:r w:rsidRPr="003147DA">
              <w:t>+30%</w:t>
            </w:r>
          </w:p>
        </w:tc>
        <w:tc>
          <w:tcPr>
            <w:tcW w:w="988" w:type="dxa"/>
            <w:shd w:val="clear" w:color="auto" w:fill="C5E0B3" w:themeFill="accent6" w:themeFillTint="66"/>
            <w:vAlign w:val="center"/>
          </w:tcPr>
          <w:p w14:paraId="763CD6DD" w14:textId="04675F5D" w:rsidR="00E561D2" w:rsidRPr="003147DA" w:rsidRDefault="00E561D2" w:rsidP="00E561D2">
            <w:pPr>
              <w:adjustRightInd w:val="0"/>
              <w:snapToGrid w:val="0"/>
              <w:spacing w:before="0" w:after="0" w:line="276" w:lineRule="auto"/>
            </w:pPr>
            <w:r w:rsidRPr="003147DA">
              <w:t>+90%</w:t>
            </w:r>
          </w:p>
        </w:tc>
      </w:tr>
      <w:tr w:rsidR="00534546" w:rsidRPr="00471175" w14:paraId="4861BAB3" w14:textId="170BE3D5" w:rsidTr="00534546">
        <w:tc>
          <w:tcPr>
            <w:tcW w:w="565" w:type="dxa"/>
            <w:vMerge/>
            <w:shd w:val="clear" w:color="auto" w:fill="C5E0B3" w:themeFill="accent6" w:themeFillTint="66"/>
            <w:vAlign w:val="center"/>
          </w:tcPr>
          <w:p w14:paraId="4CF72258" w14:textId="77777777" w:rsidR="00E561D2" w:rsidRPr="00471175" w:rsidRDefault="00E561D2" w:rsidP="00E561D2">
            <w:pPr>
              <w:adjustRightInd w:val="0"/>
              <w:snapToGrid w:val="0"/>
              <w:spacing w:before="0" w:after="0" w:line="276" w:lineRule="auto"/>
              <w:jc w:val="center"/>
            </w:pPr>
          </w:p>
        </w:tc>
        <w:tc>
          <w:tcPr>
            <w:tcW w:w="976" w:type="dxa"/>
            <w:vMerge w:val="restart"/>
            <w:shd w:val="clear" w:color="auto" w:fill="C5E0B3" w:themeFill="accent6" w:themeFillTint="66"/>
            <w:vAlign w:val="center"/>
          </w:tcPr>
          <w:p w14:paraId="324FFFAA" w14:textId="77777777" w:rsidR="00E561D2" w:rsidRPr="00471175" w:rsidRDefault="00E561D2" w:rsidP="00E561D2">
            <w:pPr>
              <w:adjustRightInd w:val="0"/>
              <w:snapToGrid w:val="0"/>
              <w:spacing w:before="0" w:after="0" w:line="276" w:lineRule="auto"/>
              <w:jc w:val="center"/>
              <w:rPr>
                <w:b/>
                <w:bCs/>
              </w:rPr>
            </w:pPr>
            <w:r w:rsidRPr="00471175">
              <w:rPr>
                <w:b/>
                <w:bCs/>
              </w:rPr>
              <w:t>綠色</w:t>
            </w:r>
          </w:p>
          <w:p w14:paraId="3FED6B87" w14:textId="218CD18E" w:rsidR="00E561D2" w:rsidRPr="00471175" w:rsidRDefault="00E561D2" w:rsidP="00E561D2">
            <w:pPr>
              <w:adjustRightInd w:val="0"/>
              <w:snapToGrid w:val="0"/>
              <w:spacing w:before="0" w:after="0" w:line="276" w:lineRule="auto"/>
              <w:jc w:val="center"/>
            </w:pPr>
            <w:r w:rsidRPr="00471175">
              <w:rPr>
                <w:b/>
                <w:bCs/>
              </w:rPr>
              <w:t>營運</w:t>
            </w:r>
          </w:p>
        </w:tc>
        <w:tc>
          <w:tcPr>
            <w:tcW w:w="1153" w:type="dxa"/>
            <w:vMerge w:val="restart"/>
            <w:shd w:val="clear" w:color="auto" w:fill="C5E0B3" w:themeFill="accent6" w:themeFillTint="66"/>
            <w:vAlign w:val="center"/>
          </w:tcPr>
          <w:p w14:paraId="1242E08E" w14:textId="77777777" w:rsidR="00E561D2" w:rsidRPr="00471175" w:rsidRDefault="00E561D2" w:rsidP="00E561D2">
            <w:pPr>
              <w:adjustRightInd w:val="0"/>
              <w:snapToGrid w:val="0"/>
              <w:spacing w:before="0" w:after="0" w:line="276" w:lineRule="auto"/>
            </w:pPr>
            <w:r w:rsidRPr="00471175">
              <w:t>職場轉型</w:t>
            </w:r>
          </w:p>
        </w:tc>
        <w:tc>
          <w:tcPr>
            <w:tcW w:w="1841" w:type="dxa"/>
            <w:shd w:val="clear" w:color="auto" w:fill="C5E0B3" w:themeFill="accent6" w:themeFillTint="66"/>
          </w:tcPr>
          <w:p w14:paraId="2AAD5824" w14:textId="77777777" w:rsidR="00E561D2" w:rsidRPr="00471175" w:rsidRDefault="00E561D2" w:rsidP="00E561D2">
            <w:pPr>
              <w:adjustRightInd w:val="0"/>
              <w:snapToGrid w:val="0"/>
              <w:spacing w:before="0" w:after="0" w:line="276" w:lineRule="auto"/>
            </w:pPr>
            <w:r w:rsidRPr="00471175">
              <w:t>安排環境教育課程，平均每人</w:t>
            </w:r>
            <w:r w:rsidRPr="00471175">
              <w:t>2</w:t>
            </w:r>
            <w:r w:rsidRPr="00471175">
              <w:t>小時上課時數。</w:t>
            </w:r>
          </w:p>
        </w:tc>
        <w:tc>
          <w:tcPr>
            <w:tcW w:w="2550" w:type="dxa"/>
            <w:shd w:val="clear" w:color="auto" w:fill="C5E0B3" w:themeFill="accent6" w:themeFillTint="66"/>
          </w:tcPr>
          <w:p w14:paraId="571B2B87" w14:textId="77777777" w:rsidR="00E561D2" w:rsidRPr="00471175" w:rsidRDefault="00E561D2" w:rsidP="00E561D2">
            <w:pPr>
              <w:adjustRightInd w:val="0"/>
              <w:snapToGrid w:val="0"/>
              <w:spacing w:before="0" w:after="0" w:line="276" w:lineRule="auto"/>
            </w:pPr>
            <w:r w:rsidRPr="00471175">
              <w:t>2022</w:t>
            </w:r>
            <w:r w:rsidRPr="00471175">
              <w:t>年辦理</w:t>
            </w:r>
            <w:r w:rsidRPr="00471175">
              <w:t>3</w:t>
            </w:r>
            <w:r w:rsidRPr="00471175">
              <w:t>場教育訓練，共計</w:t>
            </w:r>
            <w:r w:rsidRPr="00471175">
              <w:t>9</w:t>
            </w:r>
            <w:r w:rsidRPr="00471175">
              <w:t>小時，高於目標。</w:t>
            </w:r>
          </w:p>
        </w:tc>
        <w:tc>
          <w:tcPr>
            <w:tcW w:w="1421" w:type="dxa"/>
            <w:vMerge w:val="restart"/>
            <w:shd w:val="clear" w:color="auto" w:fill="C5E0B3" w:themeFill="accent6" w:themeFillTint="66"/>
            <w:vAlign w:val="center"/>
          </w:tcPr>
          <w:p w14:paraId="67821899" w14:textId="1A81C687" w:rsidR="00E561D2" w:rsidRPr="003147DA" w:rsidRDefault="00534546" w:rsidP="00E561D2">
            <w:pPr>
              <w:adjustRightInd w:val="0"/>
              <w:snapToGrid w:val="0"/>
              <w:spacing w:before="0" w:after="0" w:line="276" w:lineRule="auto"/>
              <w:jc w:val="center"/>
            </w:pPr>
            <w:r w:rsidRPr="003147DA">
              <w:rPr>
                <w:rFonts w:hint="eastAsia"/>
              </w:rPr>
              <w:t>+</w:t>
            </w:r>
            <w:r w:rsidRPr="003147DA">
              <w:t>12%</w:t>
            </w:r>
          </w:p>
        </w:tc>
        <w:tc>
          <w:tcPr>
            <w:tcW w:w="855" w:type="dxa"/>
            <w:vMerge w:val="restart"/>
            <w:shd w:val="clear" w:color="auto" w:fill="C5E0B3" w:themeFill="accent6" w:themeFillTint="66"/>
            <w:vAlign w:val="center"/>
          </w:tcPr>
          <w:p w14:paraId="0522D1D1" w14:textId="0238A57F" w:rsidR="00E561D2" w:rsidRPr="003147DA" w:rsidRDefault="00E561D2" w:rsidP="00E561D2">
            <w:pPr>
              <w:adjustRightInd w:val="0"/>
              <w:snapToGrid w:val="0"/>
              <w:spacing w:before="0" w:after="0" w:line="276" w:lineRule="auto"/>
            </w:pPr>
            <w:r w:rsidRPr="003147DA">
              <w:t>+50%</w:t>
            </w:r>
          </w:p>
        </w:tc>
        <w:tc>
          <w:tcPr>
            <w:tcW w:w="988" w:type="dxa"/>
            <w:vMerge w:val="restart"/>
            <w:shd w:val="clear" w:color="auto" w:fill="C5E0B3" w:themeFill="accent6" w:themeFillTint="66"/>
            <w:vAlign w:val="center"/>
          </w:tcPr>
          <w:p w14:paraId="3E302C7C" w14:textId="5231A7BE" w:rsidR="00E561D2" w:rsidRPr="003147DA" w:rsidRDefault="00E561D2" w:rsidP="00E561D2">
            <w:pPr>
              <w:adjustRightInd w:val="0"/>
              <w:snapToGrid w:val="0"/>
              <w:spacing w:before="0" w:after="0" w:line="276" w:lineRule="auto"/>
            </w:pPr>
            <w:r w:rsidRPr="003147DA">
              <w:t>+90%</w:t>
            </w:r>
          </w:p>
        </w:tc>
      </w:tr>
      <w:tr w:rsidR="00534546" w:rsidRPr="00471175" w14:paraId="6C4F8772" w14:textId="59275D2C" w:rsidTr="00534546">
        <w:tc>
          <w:tcPr>
            <w:tcW w:w="565" w:type="dxa"/>
            <w:vMerge/>
            <w:shd w:val="clear" w:color="auto" w:fill="C5E0B3" w:themeFill="accent6" w:themeFillTint="66"/>
            <w:vAlign w:val="center"/>
          </w:tcPr>
          <w:p w14:paraId="68444B01" w14:textId="77777777" w:rsidR="00E561D2" w:rsidRPr="00471175" w:rsidRDefault="00E561D2" w:rsidP="00E561D2">
            <w:pPr>
              <w:adjustRightInd w:val="0"/>
              <w:snapToGrid w:val="0"/>
              <w:spacing w:before="0" w:after="0" w:line="276" w:lineRule="auto"/>
              <w:jc w:val="center"/>
            </w:pPr>
          </w:p>
        </w:tc>
        <w:tc>
          <w:tcPr>
            <w:tcW w:w="976" w:type="dxa"/>
            <w:vMerge/>
            <w:shd w:val="clear" w:color="auto" w:fill="C5E0B3" w:themeFill="accent6" w:themeFillTint="66"/>
            <w:vAlign w:val="center"/>
          </w:tcPr>
          <w:p w14:paraId="1EFE475F" w14:textId="77777777" w:rsidR="00E561D2" w:rsidRPr="00471175" w:rsidRDefault="00E561D2" w:rsidP="00E561D2">
            <w:pPr>
              <w:adjustRightInd w:val="0"/>
              <w:snapToGrid w:val="0"/>
              <w:spacing w:before="0" w:after="0" w:line="276" w:lineRule="auto"/>
              <w:jc w:val="center"/>
              <w:rPr>
                <w:b/>
                <w:bCs/>
              </w:rPr>
            </w:pPr>
          </w:p>
        </w:tc>
        <w:tc>
          <w:tcPr>
            <w:tcW w:w="1153" w:type="dxa"/>
            <w:vMerge/>
            <w:shd w:val="clear" w:color="auto" w:fill="C5E0B3" w:themeFill="accent6" w:themeFillTint="66"/>
            <w:vAlign w:val="center"/>
          </w:tcPr>
          <w:p w14:paraId="1C04D178" w14:textId="77777777" w:rsidR="00E561D2" w:rsidRPr="00471175" w:rsidRDefault="00E561D2" w:rsidP="00E561D2">
            <w:pPr>
              <w:adjustRightInd w:val="0"/>
              <w:snapToGrid w:val="0"/>
              <w:spacing w:before="0" w:after="0" w:line="276" w:lineRule="auto"/>
            </w:pPr>
          </w:p>
        </w:tc>
        <w:tc>
          <w:tcPr>
            <w:tcW w:w="1841" w:type="dxa"/>
            <w:shd w:val="clear" w:color="auto" w:fill="C5E0B3" w:themeFill="accent6" w:themeFillTint="66"/>
          </w:tcPr>
          <w:p w14:paraId="7FE4A6C8" w14:textId="77777777" w:rsidR="00E561D2" w:rsidRPr="00471175" w:rsidRDefault="00E561D2" w:rsidP="00534546">
            <w:pPr>
              <w:adjustRightInd w:val="0"/>
              <w:snapToGrid w:val="0"/>
              <w:spacing w:before="0" w:after="0" w:line="276" w:lineRule="auto"/>
              <w:ind w:rightChars="-44" w:right="-106"/>
            </w:pPr>
            <w:r w:rsidRPr="00471175">
              <w:t>舉辦戶外參訪、旅遊活動，並導入實體生態保育素材，讓員工身</w:t>
            </w:r>
            <w:r w:rsidRPr="00471175">
              <w:lastRenderedPageBreak/>
              <w:t>歷其境感受環境保護之重要。</w:t>
            </w:r>
          </w:p>
        </w:tc>
        <w:tc>
          <w:tcPr>
            <w:tcW w:w="2550" w:type="dxa"/>
            <w:shd w:val="clear" w:color="auto" w:fill="C5E0B3" w:themeFill="accent6" w:themeFillTint="66"/>
          </w:tcPr>
          <w:p w14:paraId="01DF3DB9" w14:textId="77777777" w:rsidR="00E561D2" w:rsidRPr="00471175" w:rsidRDefault="00E561D2" w:rsidP="00E561D2">
            <w:pPr>
              <w:adjustRightInd w:val="0"/>
              <w:snapToGrid w:val="0"/>
              <w:spacing w:before="0" w:after="0" w:line="276" w:lineRule="auto"/>
            </w:pPr>
            <w:r w:rsidRPr="00471175">
              <w:lastRenderedPageBreak/>
              <w:t>2022/5/5</w:t>
            </w:r>
            <w:r w:rsidRPr="00471175">
              <w:t>由董事長帶領共</w:t>
            </w:r>
            <w:r w:rsidRPr="00471175">
              <w:t>18</w:t>
            </w:r>
            <w:r w:rsidRPr="00471175">
              <w:t>位同仁參加北海環保志工活動，同仁揮汗參與棲地復育</w:t>
            </w:r>
            <w:r w:rsidRPr="00471175">
              <w:lastRenderedPageBreak/>
              <w:t>工作，為生態守護盡一份心力。</w:t>
            </w:r>
          </w:p>
        </w:tc>
        <w:tc>
          <w:tcPr>
            <w:tcW w:w="1421" w:type="dxa"/>
            <w:vMerge/>
            <w:shd w:val="clear" w:color="auto" w:fill="C5E0B3" w:themeFill="accent6" w:themeFillTint="66"/>
            <w:vAlign w:val="center"/>
          </w:tcPr>
          <w:p w14:paraId="00CDB50A" w14:textId="77777777" w:rsidR="00E561D2" w:rsidRPr="00534546" w:rsidRDefault="00E561D2" w:rsidP="00E561D2">
            <w:pPr>
              <w:adjustRightInd w:val="0"/>
              <w:snapToGrid w:val="0"/>
              <w:spacing w:before="0" w:after="0" w:line="276" w:lineRule="auto"/>
              <w:jc w:val="center"/>
              <w:rPr>
                <w:color w:val="FF0000"/>
                <w:highlight w:val="yellow"/>
              </w:rPr>
            </w:pPr>
          </w:p>
        </w:tc>
        <w:tc>
          <w:tcPr>
            <w:tcW w:w="855" w:type="dxa"/>
            <w:vMerge/>
            <w:shd w:val="clear" w:color="auto" w:fill="C5E0B3" w:themeFill="accent6" w:themeFillTint="66"/>
            <w:vAlign w:val="center"/>
          </w:tcPr>
          <w:p w14:paraId="3007D93E" w14:textId="77777777" w:rsidR="00E561D2" w:rsidRPr="00534546" w:rsidRDefault="00E561D2" w:rsidP="00E561D2">
            <w:pPr>
              <w:adjustRightInd w:val="0"/>
              <w:snapToGrid w:val="0"/>
              <w:spacing w:before="0" w:after="0" w:line="276" w:lineRule="auto"/>
              <w:rPr>
                <w:color w:val="FF0000"/>
                <w:highlight w:val="yellow"/>
              </w:rPr>
            </w:pPr>
          </w:p>
        </w:tc>
        <w:tc>
          <w:tcPr>
            <w:tcW w:w="988" w:type="dxa"/>
            <w:vMerge/>
            <w:shd w:val="clear" w:color="auto" w:fill="C5E0B3" w:themeFill="accent6" w:themeFillTint="66"/>
            <w:vAlign w:val="center"/>
          </w:tcPr>
          <w:p w14:paraId="562E4FCD" w14:textId="23D7FCBE" w:rsidR="00E561D2" w:rsidRPr="00534546" w:rsidRDefault="00E561D2" w:rsidP="00E561D2">
            <w:pPr>
              <w:adjustRightInd w:val="0"/>
              <w:snapToGrid w:val="0"/>
              <w:spacing w:before="0" w:after="0" w:line="276" w:lineRule="auto"/>
              <w:rPr>
                <w:color w:val="FF0000"/>
                <w:highlight w:val="yellow"/>
              </w:rPr>
            </w:pPr>
          </w:p>
        </w:tc>
      </w:tr>
      <w:tr w:rsidR="00E561D2" w:rsidRPr="00471175" w14:paraId="0F8E9DA2" w14:textId="49B85E1D" w:rsidTr="00534546">
        <w:tc>
          <w:tcPr>
            <w:tcW w:w="565" w:type="dxa"/>
            <w:vMerge/>
            <w:shd w:val="clear" w:color="auto" w:fill="C5E0B3" w:themeFill="accent6" w:themeFillTint="66"/>
            <w:vAlign w:val="center"/>
          </w:tcPr>
          <w:p w14:paraId="420C04D2" w14:textId="77777777" w:rsidR="00E561D2" w:rsidRPr="00471175" w:rsidRDefault="00E561D2" w:rsidP="00E561D2">
            <w:pPr>
              <w:adjustRightInd w:val="0"/>
              <w:snapToGrid w:val="0"/>
              <w:spacing w:before="0" w:after="0" w:line="276" w:lineRule="auto"/>
              <w:jc w:val="center"/>
            </w:pPr>
          </w:p>
        </w:tc>
        <w:tc>
          <w:tcPr>
            <w:tcW w:w="976" w:type="dxa"/>
            <w:vMerge/>
            <w:shd w:val="clear" w:color="auto" w:fill="C5E0B3" w:themeFill="accent6" w:themeFillTint="66"/>
            <w:vAlign w:val="center"/>
          </w:tcPr>
          <w:p w14:paraId="6221C620" w14:textId="77777777" w:rsidR="00E561D2" w:rsidRPr="00471175" w:rsidRDefault="00E561D2" w:rsidP="00E561D2">
            <w:pPr>
              <w:adjustRightInd w:val="0"/>
              <w:snapToGrid w:val="0"/>
              <w:spacing w:before="0" w:after="0" w:line="276" w:lineRule="auto"/>
              <w:jc w:val="center"/>
            </w:pPr>
          </w:p>
        </w:tc>
        <w:tc>
          <w:tcPr>
            <w:tcW w:w="1153" w:type="dxa"/>
            <w:shd w:val="clear" w:color="auto" w:fill="C5E0B3" w:themeFill="accent6" w:themeFillTint="66"/>
            <w:vAlign w:val="center"/>
          </w:tcPr>
          <w:p w14:paraId="44BAB1A9" w14:textId="77777777" w:rsidR="00E561D2" w:rsidRPr="00471175" w:rsidRDefault="00E561D2" w:rsidP="00E561D2">
            <w:pPr>
              <w:adjustRightInd w:val="0"/>
              <w:snapToGrid w:val="0"/>
              <w:spacing w:before="0" w:after="0" w:line="276" w:lineRule="auto"/>
            </w:pPr>
            <w:r w:rsidRPr="00471175">
              <w:t>減碳</w:t>
            </w:r>
          </w:p>
          <w:p w14:paraId="493E79C9" w14:textId="22FC7F35" w:rsidR="00E561D2" w:rsidRPr="00471175" w:rsidRDefault="00E561D2" w:rsidP="00E561D2">
            <w:pPr>
              <w:adjustRightInd w:val="0"/>
              <w:snapToGrid w:val="0"/>
              <w:spacing w:before="0" w:after="0" w:line="276" w:lineRule="auto"/>
            </w:pPr>
            <w:r w:rsidRPr="00471175">
              <w:t>(</w:t>
            </w:r>
            <w:r w:rsidRPr="00471175">
              <w:t>範疇一二</w:t>
            </w:r>
            <w:r w:rsidRPr="00471175">
              <w:t>)</w:t>
            </w:r>
          </w:p>
        </w:tc>
        <w:tc>
          <w:tcPr>
            <w:tcW w:w="1841" w:type="dxa"/>
            <w:shd w:val="clear" w:color="auto" w:fill="C5E0B3" w:themeFill="accent6" w:themeFillTint="66"/>
          </w:tcPr>
          <w:p w14:paraId="7CD2E23E" w14:textId="77777777" w:rsidR="00E561D2" w:rsidRPr="00471175" w:rsidRDefault="00E561D2" w:rsidP="00E561D2">
            <w:pPr>
              <w:adjustRightInd w:val="0"/>
              <w:snapToGrid w:val="0"/>
              <w:spacing w:before="0" w:after="0" w:line="276" w:lineRule="auto"/>
            </w:pPr>
            <w:r w:rsidRPr="00471175">
              <w:rPr>
                <w:color w:val="000000" w:themeColor="text1"/>
              </w:rPr>
              <w:t>減少</w:t>
            </w:r>
            <w:r w:rsidRPr="00471175">
              <w:rPr>
                <w:color w:val="000000" w:themeColor="text1"/>
              </w:rPr>
              <w:t>10</w:t>
            </w:r>
            <w:r w:rsidRPr="00471175">
              <w:t xml:space="preserve"> tCO2e</w:t>
            </w:r>
          </w:p>
        </w:tc>
        <w:tc>
          <w:tcPr>
            <w:tcW w:w="2550" w:type="dxa"/>
            <w:shd w:val="clear" w:color="auto" w:fill="C5E0B3" w:themeFill="accent6" w:themeFillTint="66"/>
          </w:tcPr>
          <w:p w14:paraId="413E56A4" w14:textId="77777777" w:rsidR="00E561D2" w:rsidRPr="00471175" w:rsidRDefault="00E561D2" w:rsidP="00E561D2">
            <w:pPr>
              <w:adjustRightInd w:val="0"/>
              <w:snapToGrid w:val="0"/>
              <w:spacing w:before="0" w:after="0" w:line="276" w:lineRule="auto"/>
            </w:pPr>
            <w:r w:rsidRPr="00471175">
              <w:rPr>
                <w:color w:val="000000" w:themeColor="text1"/>
              </w:rPr>
              <w:t>2022</w:t>
            </w:r>
            <w:r w:rsidRPr="00471175">
              <w:rPr>
                <w:color w:val="000000" w:themeColor="text1"/>
              </w:rPr>
              <w:t>年碳排量</w:t>
            </w:r>
            <w:r w:rsidRPr="00471175">
              <w:rPr>
                <w:color w:val="000000" w:themeColor="text1"/>
              </w:rPr>
              <w:t>414</w:t>
            </w:r>
            <w:r w:rsidRPr="00471175">
              <w:t xml:space="preserve"> tCO2e</w:t>
            </w:r>
            <w:r w:rsidRPr="00471175">
              <w:rPr>
                <w:color w:val="000000" w:themeColor="text1"/>
              </w:rPr>
              <w:t>，較前一年減少</w:t>
            </w:r>
            <w:r w:rsidRPr="00471175">
              <w:rPr>
                <w:color w:val="000000" w:themeColor="text1"/>
              </w:rPr>
              <w:t>18</w:t>
            </w:r>
            <w:r w:rsidRPr="00471175">
              <w:t xml:space="preserve"> tCO2e</w:t>
            </w:r>
            <w:r w:rsidRPr="00471175">
              <w:rPr>
                <w:color w:val="000000" w:themeColor="text1"/>
              </w:rPr>
              <w:t>，高於目標。</w:t>
            </w:r>
          </w:p>
        </w:tc>
        <w:tc>
          <w:tcPr>
            <w:tcW w:w="1421" w:type="dxa"/>
            <w:shd w:val="clear" w:color="auto" w:fill="C5E0B3" w:themeFill="accent6" w:themeFillTint="66"/>
            <w:vAlign w:val="center"/>
          </w:tcPr>
          <w:p w14:paraId="13D62008" w14:textId="656A502B" w:rsidR="00E561D2" w:rsidRPr="003147DA" w:rsidRDefault="00534546" w:rsidP="00E561D2">
            <w:pPr>
              <w:adjustRightInd w:val="0"/>
              <w:snapToGrid w:val="0"/>
              <w:spacing w:before="0" w:after="0" w:line="276" w:lineRule="auto"/>
              <w:jc w:val="center"/>
            </w:pPr>
            <w:r w:rsidRPr="003147DA">
              <w:rPr>
                <w:rFonts w:hint="eastAsia"/>
              </w:rPr>
              <w:t>-</w:t>
            </w:r>
            <w:r w:rsidRPr="003147DA">
              <w:t>10%</w:t>
            </w:r>
          </w:p>
        </w:tc>
        <w:tc>
          <w:tcPr>
            <w:tcW w:w="855" w:type="dxa"/>
            <w:shd w:val="clear" w:color="auto" w:fill="C5E0B3" w:themeFill="accent6" w:themeFillTint="66"/>
            <w:vAlign w:val="center"/>
          </w:tcPr>
          <w:p w14:paraId="24CDAB98" w14:textId="16AF36EC" w:rsidR="00E561D2" w:rsidRPr="003147DA" w:rsidRDefault="00E561D2" w:rsidP="00E561D2">
            <w:pPr>
              <w:adjustRightInd w:val="0"/>
              <w:snapToGrid w:val="0"/>
              <w:spacing w:before="0" w:after="0" w:line="276" w:lineRule="auto"/>
            </w:pPr>
            <w:r w:rsidRPr="003147DA">
              <w:t>-45%</w:t>
            </w:r>
          </w:p>
        </w:tc>
        <w:tc>
          <w:tcPr>
            <w:tcW w:w="988" w:type="dxa"/>
            <w:shd w:val="clear" w:color="auto" w:fill="C5E0B3" w:themeFill="accent6" w:themeFillTint="66"/>
            <w:vAlign w:val="center"/>
          </w:tcPr>
          <w:p w14:paraId="40FF54EE" w14:textId="075B0A5D" w:rsidR="00E561D2" w:rsidRPr="003147DA" w:rsidRDefault="00E561D2" w:rsidP="00E561D2">
            <w:pPr>
              <w:adjustRightInd w:val="0"/>
              <w:snapToGrid w:val="0"/>
              <w:spacing w:before="0" w:after="0" w:line="276" w:lineRule="auto"/>
            </w:pPr>
            <w:r w:rsidRPr="003147DA">
              <w:t>-100%</w:t>
            </w:r>
          </w:p>
        </w:tc>
      </w:tr>
      <w:tr w:rsidR="00E561D2" w:rsidRPr="00471175" w14:paraId="7B01E979" w14:textId="1E69F280" w:rsidTr="00534546">
        <w:tc>
          <w:tcPr>
            <w:tcW w:w="565" w:type="dxa"/>
            <w:vMerge/>
            <w:shd w:val="clear" w:color="auto" w:fill="C5E0B3" w:themeFill="accent6" w:themeFillTint="66"/>
            <w:vAlign w:val="center"/>
          </w:tcPr>
          <w:p w14:paraId="6D421156" w14:textId="77777777" w:rsidR="00E561D2" w:rsidRPr="00471175" w:rsidRDefault="00E561D2" w:rsidP="00E561D2">
            <w:pPr>
              <w:adjustRightInd w:val="0"/>
              <w:snapToGrid w:val="0"/>
              <w:spacing w:before="0" w:after="0" w:line="276" w:lineRule="auto"/>
              <w:jc w:val="center"/>
            </w:pPr>
          </w:p>
        </w:tc>
        <w:tc>
          <w:tcPr>
            <w:tcW w:w="976" w:type="dxa"/>
            <w:vMerge/>
            <w:shd w:val="clear" w:color="auto" w:fill="C5E0B3" w:themeFill="accent6" w:themeFillTint="66"/>
            <w:vAlign w:val="center"/>
          </w:tcPr>
          <w:p w14:paraId="1AA00702" w14:textId="77777777" w:rsidR="00E561D2" w:rsidRPr="00471175" w:rsidRDefault="00E561D2" w:rsidP="00E561D2">
            <w:pPr>
              <w:adjustRightInd w:val="0"/>
              <w:snapToGrid w:val="0"/>
              <w:spacing w:before="0" w:after="0" w:line="276" w:lineRule="auto"/>
              <w:jc w:val="center"/>
            </w:pPr>
          </w:p>
        </w:tc>
        <w:tc>
          <w:tcPr>
            <w:tcW w:w="1153" w:type="dxa"/>
            <w:shd w:val="clear" w:color="auto" w:fill="C5E0B3" w:themeFill="accent6" w:themeFillTint="66"/>
            <w:vAlign w:val="center"/>
          </w:tcPr>
          <w:p w14:paraId="08398776" w14:textId="77777777" w:rsidR="00E561D2" w:rsidRPr="00471175" w:rsidRDefault="00E561D2" w:rsidP="00E561D2">
            <w:pPr>
              <w:spacing w:before="0" w:after="0" w:line="276" w:lineRule="auto"/>
            </w:pPr>
            <w:r w:rsidRPr="00471175">
              <w:t>水資源減耗</w:t>
            </w:r>
          </w:p>
        </w:tc>
        <w:tc>
          <w:tcPr>
            <w:tcW w:w="1841" w:type="dxa"/>
            <w:shd w:val="clear" w:color="auto" w:fill="C5E0B3" w:themeFill="accent6" w:themeFillTint="66"/>
          </w:tcPr>
          <w:p w14:paraId="220E6208" w14:textId="77777777" w:rsidR="00E561D2" w:rsidRPr="00471175" w:rsidRDefault="00E561D2" w:rsidP="00E561D2">
            <w:pPr>
              <w:spacing w:before="0" w:after="0" w:line="276" w:lineRule="auto"/>
            </w:pPr>
            <w:r w:rsidRPr="00471175">
              <w:t>全台營運據點不超過</w:t>
            </w:r>
            <w:r w:rsidRPr="00471175">
              <w:t>2</w:t>
            </w:r>
            <w:r w:rsidRPr="00471175">
              <w:t>萬度</w:t>
            </w:r>
          </w:p>
        </w:tc>
        <w:tc>
          <w:tcPr>
            <w:tcW w:w="2550" w:type="dxa"/>
            <w:shd w:val="clear" w:color="auto" w:fill="C5E0B3" w:themeFill="accent6" w:themeFillTint="66"/>
          </w:tcPr>
          <w:p w14:paraId="1CD38E2C" w14:textId="77777777" w:rsidR="00E561D2" w:rsidRPr="00471175" w:rsidRDefault="00E561D2" w:rsidP="00E561D2">
            <w:pPr>
              <w:adjustRightInd w:val="0"/>
              <w:snapToGrid w:val="0"/>
              <w:spacing w:before="0" w:after="0" w:line="276" w:lineRule="auto"/>
            </w:pPr>
            <w:r w:rsidRPr="00471175">
              <w:t>2022</w:t>
            </w:r>
            <w:r w:rsidRPr="00471175">
              <w:t>年全台營運據點用水量共計</w:t>
            </w:r>
            <w:r w:rsidRPr="00471175">
              <w:t>1.8</w:t>
            </w:r>
            <w:r w:rsidRPr="00471175">
              <w:t>萬度，高於目標。</w:t>
            </w:r>
          </w:p>
        </w:tc>
        <w:tc>
          <w:tcPr>
            <w:tcW w:w="1421" w:type="dxa"/>
            <w:shd w:val="clear" w:color="auto" w:fill="C5E0B3" w:themeFill="accent6" w:themeFillTint="66"/>
            <w:vAlign w:val="center"/>
          </w:tcPr>
          <w:p w14:paraId="0A38D630" w14:textId="5B8AB217" w:rsidR="00E561D2" w:rsidRPr="003147DA" w:rsidRDefault="00534546" w:rsidP="00E561D2">
            <w:pPr>
              <w:adjustRightInd w:val="0"/>
              <w:snapToGrid w:val="0"/>
              <w:spacing w:before="0" w:after="0" w:line="276" w:lineRule="auto"/>
              <w:jc w:val="center"/>
            </w:pPr>
            <w:r w:rsidRPr="003147DA">
              <w:rPr>
                <w:rFonts w:hint="eastAsia"/>
              </w:rPr>
              <w:t>-</w:t>
            </w:r>
            <w:r w:rsidRPr="003147DA">
              <w:t>7%</w:t>
            </w:r>
          </w:p>
        </w:tc>
        <w:tc>
          <w:tcPr>
            <w:tcW w:w="855" w:type="dxa"/>
            <w:shd w:val="clear" w:color="auto" w:fill="C5E0B3" w:themeFill="accent6" w:themeFillTint="66"/>
            <w:vAlign w:val="center"/>
          </w:tcPr>
          <w:p w14:paraId="126D1374" w14:textId="217ED0BC" w:rsidR="00E561D2" w:rsidRPr="003147DA" w:rsidRDefault="00E561D2" w:rsidP="00E561D2">
            <w:pPr>
              <w:adjustRightInd w:val="0"/>
              <w:snapToGrid w:val="0"/>
              <w:spacing w:before="0" w:after="0" w:line="276" w:lineRule="auto"/>
            </w:pPr>
            <w:r w:rsidRPr="003147DA">
              <w:t>-30%</w:t>
            </w:r>
          </w:p>
        </w:tc>
        <w:tc>
          <w:tcPr>
            <w:tcW w:w="988" w:type="dxa"/>
            <w:shd w:val="clear" w:color="auto" w:fill="C5E0B3" w:themeFill="accent6" w:themeFillTint="66"/>
            <w:vAlign w:val="center"/>
          </w:tcPr>
          <w:p w14:paraId="6188C947" w14:textId="191A7A0A" w:rsidR="00E561D2" w:rsidRPr="003147DA" w:rsidRDefault="00E561D2" w:rsidP="00E561D2">
            <w:pPr>
              <w:adjustRightInd w:val="0"/>
              <w:snapToGrid w:val="0"/>
              <w:spacing w:before="0" w:after="0" w:line="276" w:lineRule="auto"/>
            </w:pPr>
            <w:r w:rsidRPr="003147DA">
              <w:t>-90%</w:t>
            </w:r>
          </w:p>
        </w:tc>
      </w:tr>
      <w:tr w:rsidR="00E561D2" w:rsidRPr="00471175" w14:paraId="58CFF49C" w14:textId="579E8C26" w:rsidTr="00534546">
        <w:tc>
          <w:tcPr>
            <w:tcW w:w="565" w:type="dxa"/>
            <w:vMerge/>
            <w:shd w:val="clear" w:color="auto" w:fill="C5E0B3" w:themeFill="accent6" w:themeFillTint="66"/>
            <w:vAlign w:val="center"/>
          </w:tcPr>
          <w:p w14:paraId="1366CFB4" w14:textId="77777777" w:rsidR="00E561D2" w:rsidRPr="00471175" w:rsidRDefault="00E561D2" w:rsidP="00E561D2">
            <w:pPr>
              <w:adjustRightInd w:val="0"/>
              <w:snapToGrid w:val="0"/>
              <w:spacing w:before="0" w:after="0" w:line="276" w:lineRule="auto"/>
              <w:jc w:val="center"/>
            </w:pPr>
          </w:p>
        </w:tc>
        <w:tc>
          <w:tcPr>
            <w:tcW w:w="976" w:type="dxa"/>
            <w:vMerge/>
            <w:shd w:val="clear" w:color="auto" w:fill="C5E0B3" w:themeFill="accent6" w:themeFillTint="66"/>
            <w:vAlign w:val="center"/>
          </w:tcPr>
          <w:p w14:paraId="6A3AF2E5" w14:textId="77777777" w:rsidR="00E561D2" w:rsidRPr="00471175" w:rsidRDefault="00E561D2" w:rsidP="00E561D2">
            <w:pPr>
              <w:adjustRightInd w:val="0"/>
              <w:snapToGrid w:val="0"/>
              <w:spacing w:before="0" w:after="0" w:line="276" w:lineRule="auto"/>
              <w:jc w:val="center"/>
            </w:pPr>
          </w:p>
        </w:tc>
        <w:tc>
          <w:tcPr>
            <w:tcW w:w="1153" w:type="dxa"/>
            <w:shd w:val="clear" w:color="auto" w:fill="C5E0B3" w:themeFill="accent6" w:themeFillTint="66"/>
            <w:vAlign w:val="center"/>
          </w:tcPr>
          <w:p w14:paraId="72853878" w14:textId="77777777" w:rsidR="00E561D2" w:rsidRPr="00471175" w:rsidRDefault="00E561D2" w:rsidP="00E561D2">
            <w:pPr>
              <w:spacing w:before="0" w:after="0" w:line="276" w:lineRule="auto"/>
            </w:pPr>
            <w:r w:rsidRPr="00471175">
              <w:t>廢棄物減量</w:t>
            </w:r>
          </w:p>
        </w:tc>
        <w:tc>
          <w:tcPr>
            <w:tcW w:w="1841" w:type="dxa"/>
            <w:shd w:val="clear" w:color="auto" w:fill="C5E0B3" w:themeFill="accent6" w:themeFillTint="66"/>
          </w:tcPr>
          <w:p w14:paraId="7BD44867" w14:textId="77777777" w:rsidR="00E561D2" w:rsidRPr="00471175" w:rsidRDefault="00E561D2" w:rsidP="00534546">
            <w:pPr>
              <w:spacing w:before="0" w:after="0" w:line="276" w:lineRule="auto"/>
              <w:ind w:rightChars="-44" w:right="-106"/>
            </w:pPr>
            <w:r w:rsidRPr="00471175">
              <w:t>資源分類回收不低於</w:t>
            </w:r>
            <w:r w:rsidRPr="00471175">
              <w:t>600</w:t>
            </w:r>
            <w:r w:rsidRPr="00471175">
              <w:t>公斤</w:t>
            </w:r>
          </w:p>
        </w:tc>
        <w:tc>
          <w:tcPr>
            <w:tcW w:w="2550" w:type="dxa"/>
            <w:shd w:val="clear" w:color="auto" w:fill="C5E0B3" w:themeFill="accent6" w:themeFillTint="66"/>
          </w:tcPr>
          <w:p w14:paraId="19EA9E84" w14:textId="77777777" w:rsidR="00E561D2" w:rsidRPr="00471175" w:rsidRDefault="00E561D2" w:rsidP="00E561D2">
            <w:pPr>
              <w:adjustRightInd w:val="0"/>
              <w:snapToGrid w:val="0"/>
              <w:spacing w:before="0" w:after="0" w:line="276" w:lineRule="auto"/>
            </w:pPr>
            <w:r w:rsidRPr="00471175">
              <w:t>2022</w:t>
            </w:r>
            <w:r w:rsidRPr="00471175">
              <w:t>年資源分類回收合計</w:t>
            </w:r>
            <w:r w:rsidRPr="00471175">
              <w:t>720</w:t>
            </w:r>
            <w:r w:rsidRPr="00471175">
              <w:t>公斤，高於目標</w:t>
            </w:r>
            <w:r w:rsidRPr="00471175">
              <w:t>20%</w:t>
            </w:r>
            <w:r w:rsidRPr="00471175">
              <w:t>。</w:t>
            </w:r>
          </w:p>
        </w:tc>
        <w:tc>
          <w:tcPr>
            <w:tcW w:w="1421" w:type="dxa"/>
            <w:shd w:val="clear" w:color="auto" w:fill="C5E0B3" w:themeFill="accent6" w:themeFillTint="66"/>
            <w:vAlign w:val="center"/>
          </w:tcPr>
          <w:p w14:paraId="0CBA32DB" w14:textId="68DD951E" w:rsidR="00E561D2" w:rsidRPr="003147DA" w:rsidRDefault="00534546" w:rsidP="00E561D2">
            <w:pPr>
              <w:adjustRightInd w:val="0"/>
              <w:snapToGrid w:val="0"/>
              <w:spacing w:before="0" w:after="0" w:line="276" w:lineRule="auto"/>
              <w:jc w:val="center"/>
            </w:pPr>
            <w:r w:rsidRPr="003147DA">
              <w:rPr>
                <w:rFonts w:hint="eastAsia"/>
              </w:rPr>
              <w:t>-</w:t>
            </w:r>
            <w:r w:rsidRPr="003147DA">
              <w:t>9%</w:t>
            </w:r>
          </w:p>
        </w:tc>
        <w:tc>
          <w:tcPr>
            <w:tcW w:w="855" w:type="dxa"/>
            <w:shd w:val="clear" w:color="auto" w:fill="C5E0B3" w:themeFill="accent6" w:themeFillTint="66"/>
            <w:vAlign w:val="center"/>
          </w:tcPr>
          <w:p w14:paraId="17681BBF" w14:textId="27C89EE3" w:rsidR="00E561D2" w:rsidRPr="003147DA" w:rsidRDefault="00E561D2" w:rsidP="00E561D2">
            <w:pPr>
              <w:adjustRightInd w:val="0"/>
              <w:snapToGrid w:val="0"/>
              <w:spacing w:before="0" w:after="0" w:line="276" w:lineRule="auto"/>
            </w:pPr>
            <w:r w:rsidRPr="003147DA">
              <w:t>-40%</w:t>
            </w:r>
          </w:p>
        </w:tc>
        <w:tc>
          <w:tcPr>
            <w:tcW w:w="988" w:type="dxa"/>
            <w:shd w:val="clear" w:color="auto" w:fill="C5E0B3" w:themeFill="accent6" w:themeFillTint="66"/>
            <w:vAlign w:val="center"/>
          </w:tcPr>
          <w:p w14:paraId="78736219" w14:textId="5684285B" w:rsidR="00E561D2" w:rsidRPr="003147DA" w:rsidRDefault="00E561D2" w:rsidP="00E561D2">
            <w:pPr>
              <w:adjustRightInd w:val="0"/>
              <w:snapToGrid w:val="0"/>
              <w:spacing w:before="0" w:after="0" w:line="276" w:lineRule="auto"/>
            </w:pPr>
            <w:r w:rsidRPr="003147DA">
              <w:t>-70%</w:t>
            </w:r>
          </w:p>
        </w:tc>
      </w:tr>
      <w:tr w:rsidR="00E561D2" w:rsidRPr="00471175" w14:paraId="1A2F9388" w14:textId="7D87402E" w:rsidTr="00534546">
        <w:trPr>
          <w:trHeight w:val="895"/>
        </w:trPr>
        <w:tc>
          <w:tcPr>
            <w:tcW w:w="565" w:type="dxa"/>
            <w:shd w:val="clear" w:color="auto" w:fill="FFF2CC" w:themeFill="accent4" w:themeFillTint="33"/>
            <w:vAlign w:val="center"/>
          </w:tcPr>
          <w:p w14:paraId="3CE7E987" w14:textId="77777777" w:rsidR="00E561D2" w:rsidRPr="00471175" w:rsidRDefault="00E561D2" w:rsidP="00E561D2">
            <w:pPr>
              <w:spacing w:before="0" w:after="0" w:line="276" w:lineRule="auto"/>
              <w:jc w:val="center"/>
            </w:pPr>
            <w:r w:rsidRPr="00471175">
              <w:rPr>
                <w:b/>
              </w:rPr>
              <w:t>低碳經濟</w:t>
            </w:r>
          </w:p>
        </w:tc>
        <w:tc>
          <w:tcPr>
            <w:tcW w:w="976" w:type="dxa"/>
            <w:shd w:val="clear" w:color="auto" w:fill="FFF2CC" w:themeFill="accent4" w:themeFillTint="33"/>
            <w:vAlign w:val="center"/>
          </w:tcPr>
          <w:p w14:paraId="27F6A641" w14:textId="77777777" w:rsidR="00E561D2" w:rsidRPr="00471175" w:rsidRDefault="00E561D2" w:rsidP="00E561D2">
            <w:pPr>
              <w:spacing w:before="0" w:after="0" w:line="240" w:lineRule="auto"/>
              <w:jc w:val="center"/>
              <w:rPr>
                <w:b/>
              </w:rPr>
            </w:pPr>
            <w:r w:rsidRPr="00471175">
              <w:rPr>
                <w:b/>
                <w:bCs/>
              </w:rPr>
              <w:t>金融資產淨零排放</w:t>
            </w:r>
          </w:p>
        </w:tc>
        <w:tc>
          <w:tcPr>
            <w:tcW w:w="1153" w:type="dxa"/>
            <w:shd w:val="clear" w:color="auto" w:fill="FFF2CC" w:themeFill="accent4" w:themeFillTint="33"/>
            <w:vAlign w:val="center"/>
          </w:tcPr>
          <w:p w14:paraId="3C54C6A8" w14:textId="77777777" w:rsidR="00E561D2" w:rsidRPr="00471175" w:rsidRDefault="00E561D2" w:rsidP="00E561D2">
            <w:pPr>
              <w:spacing w:before="0" w:after="0" w:line="240" w:lineRule="auto"/>
            </w:pPr>
            <w:r w:rsidRPr="00471175">
              <w:t>科學減碳目標</w:t>
            </w:r>
            <w:r w:rsidRPr="00471175">
              <w:t>-</w:t>
            </w:r>
            <w:r w:rsidRPr="00471175">
              <w:t>投融資組合減碳路徑</w:t>
            </w:r>
          </w:p>
        </w:tc>
        <w:tc>
          <w:tcPr>
            <w:tcW w:w="1841" w:type="dxa"/>
            <w:shd w:val="clear" w:color="auto" w:fill="FFF2CC" w:themeFill="accent4" w:themeFillTint="33"/>
            <w:vAlign w:val="center"/>
          </w:tcPr>
          <w:p w14:paraId="1B55F9F8" w14:textId="77777777" w:rsidR="00E561D2" w:rsidRPr="00471175" w:rsidRDefault="00E561D2" w:rsidP="00E561D2">
            <w:pPr>
              <w:spacing w:before="0" w:after="0" w:line="240" w:lineRule="auto"/>
            </w:pPr>
            <w:r w:rsidRPr="00471175">
              <w:t>減少</w:t>
            </w:r>
            <w:r w:rsidRPr="00471175">
              <w:t>20%</w:t>
            </w:r>
          </w:p>
        </w:tc>
        <w:tc>
          <w:tcPr>
            <w:tcW w:w="2550" w:type="dxa"/>
            <w:shd w:val="clear" w:color="auto" w:fill="FFF2CC" w:themeFill="accent4" w:themeFillTint="33"/>
          </w:tcPr>
          <w:p w14:paraId="4C6357E4" w14:textId="77777777" w:rsidR="00E561D2" w:rsidRPr="00471175" w:rsidRDefault="00E561D2" w:rsidP="00E561D2">
            <w:pPr>
              <w:adjustRightInd w:val="0"/>
              <w:snapToGrid w:val="0"/>
              <w:spacing w:before="0" w:after="0" w:line="240" w:lineRule="auto"/>
              <w:ind w:rightChars="-44" w:right="-106"/>
            </w:pPr>
            <w:r w:rsidRPr="00471175">
              <w:t>2022</w:t>
            </w:r>
            <w:r w:rsidRPr="00471175">
              <w:t>年承擔碳排為</w:t>
            </w:r>
            <w:r w:rsidRPr="00471175">
              <w:t>18 tCO2e</w:t>
            </w:r>
            <w:r w:rsidRPr="00471175">
              <w:t>，較前一年之</w:t>
            </w:r>
            <w:r w:rsidRPr="00471175">
              <w:t>26 tCO2e</w:t>
            </w:r>
            <w:r w:rsidRPr="00471175">
              <w:t>，減少</w:t>
            </w:r>
            <w:r w:rsidRPr="00471175">
              <w:t>44%</w:t>
            </w:r>
            <w:r w:rsidRPr="00471175">
              <w:t>，高於目標。</w:t>
            </w:r>
          </w:p>
        </w:tc>
        <w:tc>
          <w:tcPr>
            <w:tcW w:w="1421" w:type="dxa"/>
            <w:shd w:val="clear" w:color="auto" w:fill="FFF2CC" w:themeFill="accent4" w:themeFillTint="33"/>
            <w:vAlign w:val="center"/>
          </w:tcPr>
          <w:p w14:paraId="7E6E0994" w14:textId="16AE05F1" w:rsidR="00E561D2" w:rsidRPr="003147DA" w:rsidRDefault="00534546" w:rsidP="00E561D2">
            <w:pPr>
              <w:adjustRightInd w:val="0"/>
              <w:snapToGrid w:val="0"/>
              <w:spacing w:before="0" w:after="0" w:line="240" w:lineRule="auto"/>
              <w:ind w:rightChars="-44" w:right="-106"/>
              <w:jc w:val="center"/>
            </w:pPr>
            <w:r w:rsidRPr="003147DA">
              <w:rPr>
                <w:rFonts w:hint="eastAsia"/>
              </w:rPr>
              <w:t>-</w:t>
            </w:r>
            <w:r w:rsidRPr="003147DA">
              <w:t>7%</w:t>
            </w:r>
          </w:p>
        </w:tc>
        <w:tc>
          <w:tcPr>
            <w:tcW w:w="855" w:type="dxa"/>
            <w:shd w:val="clear" w:color="auto" w:fill="FFF2CC" w:themeFill="accent4" w:themeFillTint="33"/>
            <w:vAlign w:val="center"/>
          </w:tcPr>
          <w:p w14:paraId="00E000BB" w14:textId="270D0640" w:rsidR="00E561D2" w:rsidRPr="003147DA" w:rsidRDefault="00E561D2" w:rsidP="00E561D2">
            <w:pPr>
              <w:adjustRightInd w:val="0"/>
              <w:snapToGrid w:val="0"/>
              <w:spacing w:before="0" w:after="0" w:line="240" w:lineRule="auto"/>
              <w:ind w:rightChars="-44" w:right="-106"/>
            </w:pPr>
            <w:r w:rsidRPr="003147DA">
              <w:t>-30%</w:t>
            </w:r>
          </w:p>
        </w:tc>
        <w:tc>
          <w:tcPr>
            <w:tcW w:w="988" w:type="dxa"/>
            <w:shd w:val="clear" w:color="auto" w:fill="FFF2CC" w:themeFill="accent4" w:themeFillTint="33"/>
            <w:vAlign w:val="center"/>
          </w:tcPr>
          <w:p w14:paraId="48B62284" w14:textId="39B57AE6" w:rsidR="00E561D2" w:rsidRPr="003147DA" w:rsidRDefault="00E561D2" w:rsidP="00E561D2">
            <w:pPr>
              <w:adjustRightInd w:val="0"/>
              <w:snapToGrid w:val="0"/>
              <w:spacing w:before="0" w:after="0" w:line="240" w:lineRule="auto"/>
              <w:ind w:rightChars="-44" w:right="-106"/>
            </w:pPr>
            <w:r w:rsidRPr="003147DA">
              <w:t>-100%</w:t>
            </w:r>
          </w:p>
        </w:tc>
      </w:tr>
    </w:tbl>
    <w:p w14:paraId="6F5D5C0A" w14:textId="77777777" w:rsidR="001C7DE1" w:rsidRDefault="001C7DE1">
      <w:pPr>
        <w:widowControl/>
        <w:spacing w:before="0" w:after="0" w:line="240" w:lineRule="auto"/>
        <w:rPr>
          <w:rFonts w:eastAsia="新細明體"/>
          <w:b/>
          <w:bCs/>
          <w:kern w:val="52"/>
          <w:sz w:val="28"/>
          <w:szCs w:val="28"/>
        </w:rPr>
      </w:pPr>
      <w:bookmarkStart w:id="18" w:name="_Toc144912779"/>
      <w:r>
        <w:rPr>
          <w:rFonts w:eastAsia="新細明體"/>
          <w:sz w:val="28"/>
          <w:szCs w:val="28"/>
        </w:rPr>
        <w:br w:type="page"/>
      </w:r>
    </w:p>
    <w:p w14:paraId="70D750CF" w14:textId="06DF2730" w:rsidR="004561A0" w:rsidRDefault="008979D7" w:rsidP="002825CD">
      <w:pPr>
        <w:pStyle w:val="1"/>
        <w:tabs>
          <w:tab w:val="left" w:pos="8222"/>
        </w:tabs>
        <w:spacing w:before="0" w:after="0" w:line="0" w:lineRule="atLeast"/>
        <w:ind w:left="549" w:rightChars="512" w:right="1229" w:hangingChars="196" w:hanging="549"/>
        <w:jc w:val="center"/>
        <w:rPr>
          <w:rFonts w:ascii="Times New Roman" w:eastAsia="標楷體" w:hAnsi="Times New Roman" w:cs="Times New Roman"/>
          <w:sz w:val="28"/>
          <w:szCs w:val="28"/>
        </w:rPr>
      </w:pPr>
      <w:r w:rsidRPr="00471175">
        <w:rPr>
          <w:rFonts w:ascii="Times New Roman" w:eastAsia="新細明體" w:hAnsi="Times New Roman" w:cs="Times New Roman"/>
          <w:sz w:val="28"/>
          <w:szCs w:val="28"/>
        </w:rPr>
        <w:lastRenderedPageBreak/>
        <w:t>【</w:t>
      </w:r>
      <w:r w:rsidR="00B92A9F" w:rsidRPr="00471175">
        <w:rPr>
          <w:rFonts w:ascii="Times New Roman" w:eastAsia="標楷體" w:hAnsi="Times New Roman" w:cs="Times New Roman"/>
          <w:sz w:val="28"/>
          <w:szCs w:val="28"/>
        </w:rPr>
        <w:t>附錄</w:t>
      </w:r>
      <w:r w:rsidRPr="00471175">
        <w:rPr>
          <w:rFonts w:ascii="Times New Roman" w:eastAsia="新細明體" w:hAnsi="Times New Roman" w:cs="Times New Roman"/>
          <w:sz w:val="28"/>
          <w:szCs w:val="28"/>
        </w:rPr>
        <w:t>】</w:t>
      </w:r>
      <w:r w:rsidRPr="00471175">
        <w:rPr>
          <w:rFonts w:ascii="Times New Roman" w:eastAsia="標楷體" w:hAnsi="Times New Roman" w:cs="Times New Roman"/>
          <w:sz w:val="28"/>
          <w:szCs w:val="28"/>
        </w:rPr>
        <w:t>氣候變遷情境分析與資訊揭露及溫室氣體排放範疇三可行性試作工作小組</w:t>
      </w:r>
      <w:r w:rsidR="00D04254" w:rsidRPr="00471175">
        <w:rPr>
          <w:rFonts w:ascii="Times New Roman" w:eastAsia="標楷體" w:hAnsi="Times New Roman" w:cs="Times New Roman"/>
          <w:sz w:val="28"/>
          <w:szCs w:val="28"/>
        </w:rPr>
        <w:t>成員</w:t>
      </w:r>
      <w:bookmarkEnd w:id="18"/>
    </w:p>
    <w:p w14:paraId="0278EA2D" w14:textId="7273FBE8" w:rsidR="00F533A3" w:rsidRPr="00F533A3" w:rsidRDefault="00F533A3" w:rsidP="00F533A3">
      <w:pPr>
        <w:spacing w:before="0" w:after="120" w:line="0" w:lineRule="atLeast"/>
        <w:ind w:firstLineChars="236" w:firstLine="566"/>
      </w:pPr>
      <w:r>
        <w:rPr>
          <w:rFonts w:hint="eastAsia"/>
        </w:rPr>
        <w:t>本工作小組係</w:t>
      </w:r>
      <w:r w:rsidRPr="00F533A3">
        <w:rPr>
          <w:rFonts w:hint="eastAsia"/>
        </w:rPr>
        <w:t>依主管機關指示</w:t>
      </w:r>
      <w:r>
        <w:rPr>
          <w:rFonts w:hint="eastAsia"/>
        </w:rPr>
        <w:t>，</w:t>
      </w:r>
      <w:r w:rsidRPr="00F533A3">
        <w:rPr>
          <w:rFonts w:hint="eastAsia"/>
        </w:rPr>
        <w:t>為驗證與落實</w:t>
      </w:r>
      <w:r>
        <w:rPr>
          <w:rFonts w:hint="eastAsia"/>
        </w:rPr>
        <w:t>相關</w:t>
      </w:r>
      <w:r w:rsidRPr="00F533A3">
        <w:rPr>
          <w:rFonts w:hint="eastAsia"/>
        </w:rPr>
        <w:t>指引與範例之可行性，</w:t>
      </w:r>
      <w:r w:rsidR="0005447F">
        <w:rPr>
          <w:rFonts w:hint="eastAsia"/>
        </w:rPr>
        <w:t>邀請</w:t>
      </w:r>
      <w:r w:rsidRPr="00F533A3">
        <w:rPr>
          <w:rFonts w:hint="eastAsia"/>
        </w:rPr>
        <w:t>大、中、小型投信，及資產管理規模達</w:t>
      </w:r>
      <w:r w:rsidRPr="00F533A3">
        <w:rPr>
          <w:rFonts w:hint="eastAsia"/>
        </w:rPr>
        <w:t>6</w:t>
      </w:r>
      <w:r w:rsidRPr="00F533A3">
        <w:rPr>
          <w:rFonts w:hint="eastAsia"/>
        </w:rPr>
        <w:t>千億第一批實施永續報告書之投信，共</w:t>
      </w:r>
      <w:r w:rsidRPr="00F533A3">
        <w:rPr>
          <w:rFonts w:hint="eastAsia"/>
        </w:rPr>
        <w:t>10</w:t>
      </w:r>
      <w:r w:rsidRPr="00F533A3">
        <w:rPr>
          <w:rFonts w:hint="eastAsia"/>
        </w:rPr>
        <w:t>家業者</w:t>
      </w:r>
      <w:r>
        <w:rPr>
          <w:rFonts w:hint="eastAsia"/>
        </w:rPr>
        <w:t>所</w:t>
      </w:r>
      <w:r w:rsidRPr="00F533A3">
        <w:rPr>
          <w:rFonts w:hint="eastAsia"/>
        </w:rPr>
        <w:t>組成</w:t>
      </w:r>
      <w:r>
        <w:rPr>
          <w:rFonts w:hint="eastAsia"/>
        </w:rPr>
        <w:t>。自</w:t>
      </w:r>
      <w:r>
        <w:rPr>
          <w:rFonts w:hint="eastAsia"/>
        </w:rPr>
        <w:t>1</w:t>
      </w:r>
      <w:r>
        <w:t>12</w:t>
      </w:r>
      <w:r>
        <w:rPr>
          <w:rFonts w:hint="eastAsia"/>
        </w:rPr>
        <w:t>年</w:t>
      </w:r>
      <w:r>
        <w:rPr>
          <w:rFonts w:hint="eastAsia"/>
        </w:rPr>
        <w:t>2</w:t>
      </w:r>
      <w:r>
        <w:rPr>
          <w:rFonts w:hint="eastAsia"/>
        </w:rPr>
        <w:t>月至</w:t>
      </w:r>
      <w:r>
        <w:rPr>
          <w:rFonts w:hint="eastAsia"/>
        </w:rPr>
        <w:t>1</w:t>
      </w:r>
      <w:r>
        <w:t>0</w:t>
      </w:r>
      <w:r>
        <w:rPr>
          <w:rFonts w:hint="eastAsia"/>
        </w:rPr>
        <w:t>月間召開</w:t>
      </w:r>
      <w:r>
        <w:rPr>
          <w:rFonts w:hint="eastAsia"/>
        </w:rPr>
        <w:t>5</w:t>
      </w:r>
      <w:r>
        <w:rPr>
          <w:rFonts w:hint="eastAsia"/>
        </w:rPr>
        <w:t>次會議，</w:t>
      </w:r>
      <w:r w:rsidR="00EB6A75">
        <w:rPr>
          <w:rFonts w:hint="eastAsia"/>
        </w:rPr>
        <w:t>積極投入試作並參與討論，終完成</w:t>
      </w:r>
      <w:r>
        <w:rPr>
          <w:rFonts w:hint="eastAsia"/>
        </w:rPr>
        <w:t>本範例，</w:t>
      </w:r>
      <w:r w:rsidR="00EB6A75">
        <w:rPr>
          <w:rFonts w:hint="eastAsia"/>
        </w:rPr>
        <w:t>爰將小組成員名單列示於后，以資銘謝。</w:t>
      </w:r>
    </w:p>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5641"/>
      </w:tblGrid>
      <w:tr w:rsidR="00C2753E" w:rsidRPr="00471175" w14:paraId="2E0C1152" w14:textId="77777777" w:rsidTr="00C2753E">
        <w:trPr>
          <w:cantSplit/>
          <w:trHeight w:val="290"/>
          <w:jc w:val="center"/>
        </w:trPr>
        <w:tc>
          <w:tcPr>
            <w:tcW w:w="7372" w:type="dxa"/>
            <w:gridSpan w:val="2"/>
            <w:shd w:val="clear" w:color="auto" w:fill="E7E6E6"/>
            <w:vAlign w:val="center"/>
          </w:tcPr>
          <w:p w14:paraId="09CE6F40" w14:textId="7D189888" w:rsidR="00C2753E" w:rsidRPr="00471175" w:rsidRDefault="00C2753E" w:rsidP="00C2753E">
            <w:pPr>
              <w:snapToGrid w:val="0"/>
              <w:spacing w:before="0" w:after="0" w:line="0" w:lineRule="atLeast"/>
              <w:jc w:val="center"/>
              <w:rPr>
                <w:b/>
                <w:bCs/>
              </w:rPr>
            </w:pPr>
            <w:r w:rsidRPr="00471175">
              <w:rPr>
                <w:b/>
                <w:bCs/>
              </w:rPr>
              <w:t>主</w:t>
            </w:r>
            <w:r w:rsidR="00FB5B4C" w:rsidRPr="00471175">
              <w:rPr>
                <w:b/>
                <w:bCs/>
              </w:rPr>
              <w:t xml:space="preserve"> </w:t>
            </w:r>
            <w:r w:rsidRPr="00471175">
              <w:rPr>
                <w:b/>
                <w:bCs/>
              </w:rPr>
              <w:t>席</w:t>
            </w:r>
          </w:p>
        </w:tc>
      </w:tr>
      <w:tr w:rsidR="00C2753E" w:rsidRPr="00471175" w14:paraId="59D54A98" w14:textId="77777777" w:rsidTr="00C2753E">
        <w:trPr>
          <w:cantSplit/>
          <w:trHeight w:val="252"/>
          <w:jc w:val="center"/>
        </w:trPr>
        <w:tc>
          <w:tcPr>
            <w:tcW w:w="1731" w:type="dxa"/>
            <w:shd w:val="clear" w:color="auto" w:fill="auto"/>
            <w:vAlign w:val="center"/>
          </w:tcPr>
          <w:p w14:paraId="5EED23FE" w14:textId="4E2AD1ED" w:rsidR="00C2753E" w:rsidRPr="00471175" w:rsidRDefault="00C2753E" w:rsidP="00C2753E">
            <w:pPr>
              <w:snapToGrid w:val="0"/>
              <w:spacing w:before="0" w:after="0" w:line="0" w:lineRule="atLeast"/>
            </w:pPr>
            <w:r w:rsidRPr="00471175">
              <w:t>安聯投信</w:t>
            </w:r>
          </w:p>
        </w:tc>
        <w:tc>
          <w:tcPr>
            <w:tcW w:w="5641" w:type="dxa"/>
            <w:shd w:val="clear" w:color="auto" w:fill="auto"/>
            <w:vAlign w:val="center"/>
          </w:tcPr>
          <w:p w14:paraId="4A8A9F17" w14:textId="5BC44E75" w:rsidR="00C2753E" w:rsidRPr="00471175" w:rsidRDefault="00C2753E" w:rsidP="00C2753E">
            <w:pPr>
              <w:snapToGrid w:val="0"/>
              <w:spacing w:before="0" w:after="0" w:line="0" w:lineRule="atLeast"/>
            </w:pPr>
            <w:r w:rsidRPr="00471175">
              <w:t>張呈傑</w:t>
            </w:r>
            <w:r w:rsidRPr="00471175">
              <w:t xml:space="preserve"> (</w:t>
            </w:r>
            <w:r w:rsidRPr="00471175">
              <w:t>副總裁</w:t>
            </w:r>
            <w:r w:rsidRPr="00471175">
              <w:t>)</w:t>
            </w:r>
          </w:p>
        </w:tc>
      </w:tr>
      <w:tr w:rsidR="00C2753E" w:rsidRPr="00471175" w14:paraId="5B33584F" w14:textId="77777777" w:rsidTr="00C2753E">
        <w:trPr>
          <w:cantSplit/>
          <w:trHeight w:val="227"/>
          <w:jc w:val="center"/>
        </w:trPr>
        <w:tc>
          <w:tcPr>
            <w:tcW w:w="7372" w:type="dxa"/>
            <w:gridSpan w:val="2"/>
            <w:shd w:val="clear" w:color="auto" w:fill="E7E6E6"/>
            <w:vAlign w:val="center"/>
          </w:tcPr>
          <w:p w14:paraId="2C9D09EE" w14:textId="33A09DBB" w:rsidR="00C2753E" w:rsidRPr="00471175" w:rsidRDefault="00C2753E" w:rsidP="00C2753E">
            <w:pPr>
              <w:snapToGrid w:val="0"/>
              <w:spacing w:before="0" w:after="0" w:line="0" w:lineRule="atLeast"/>
              <w:ind w:firstLineChars="366" w:firstLine="879"/>
              <w:jc w:val="center"/>
              <w:rPr>
                <w:b/>
                <w:bCs/>
              </w:rPr>
            </w:pPr>
            <w:r w:rsidRPr="00471175">
              <w:rPr>
                <w:b/>
                <w:bCs/>
              </w:rPr>
              <w:t>成</w:t>
            </w:r>
            <w:r w:rsidR="00FB5B4C" w:rsidRPr="00471175">
              <w:rPr>
                <w:b/>
                <w:bCs/>
              </w:rPr>
              <w:t xml:space="preserve"> </w:t>
            </w:r>
            <w:r w:rsidRPr="00471175">
              <w:rPr>
                <w:b/>
                <w:bCs/>
              </w:rPr>
              <w:t>員</w:t>
            </w:r>
            <w:r w:rsidRPr="00471175">
              <w:rPr>
                <w:b/>
                <w:bCs/>
              </w:rPr>
              <w:t xml:space="preserve"> </w:t>
            </w:r>
            <w:r w:rsidRPr="00471175">
              <w:rPr>
                <w:sz w:val="20"/>
                <w:szCs w:val="20"/>
              </w:rPr>
              <w:t>(</w:t>
            </w:r>
            <w:r w:rsidRPr="00471175">
              <w:rPr>
                <w:sz w:val="20"/>
                <w:szCs w:val="20"/>
              </w:rPr>
              <w:t>依筆序</w:t>
            </w:r>
            <w:r w:rsidRPr="00471175">
              <w:rPr>
                <w:sz w:val="20"/>
                <w:szCs w:val="20"/>
              </w:rPr>
              <w:t>)</w:t>
            </w:r>
          </w:p>
        </w:tc>
      </w:tr>
      <w:tr w:rsidR="002E6F77" w:rsidRPr="00471175" w14:paraId="32349ABF" w14:textId="77777777" w:rsidTr="00C2753E">
        <w:trPr>
          <w:trHeight w:val="281"/>
          <w:jc w:val="center"/>
        </w:trPr>
        <w:tc>
          <w:tcPr>
            <w:tcW w:w="1731" w:type="dxa"/>
            <w:vMerge w:val="restart"/>
            <w:shd w:val="clear" w:color="auto" w:fill="auto"/>
            <w:vAlign w:val="center"/>
          </w:tcPr>
          <w:p w14:paraId="2001405F" w14:textId="3D018136" w:rsidR="002E6F77" w:rsidRPr="00471175" w:rsidRDefault="002E6F77" w:rsidP="002E6F77">
            <w:pPr>
              <w:snapToGrid w:val="0"/>
              <w:spacing w:before="0" w:after="0" w:line="0" w:lineRule="atLeast"/>
            </w:pPr>
            <w:r w:rsidRPr="00471175">
              <w:t>元大投信</w:t>
            </w:r>
          </w:p>
        </w:tc>
        <w:tc>
          <w:tcPr>
            <w:tcW w:w="5641" w:type="dxa"/>
            <w:shd w:val="clear" w:color="auto" w:fill="auto"/>
            <w:vAlign w:val="center"/>
          </w:tcPr>
          <w:p w14:paraId="6B0F3E39" w14:textId="5E94FC6D" w:rsidR="002E6F77" w:rsidRPr="00471175" w:rsidRDefault="002E6F77" w:rsidP="002E6F77">
            <w:pPr>
              <w:snapToGrid w:val="0"/>
              <w:spacing w:before="0" w:after="0" w:line="0" w:lineRule="atLeast"/>
            </w:pPr>
            <w:r>
              <w:rPr>
                <w:rFonts w:hint="eastAsia"/>
              </w:rPr>
              <w:t>林育如</w:t>
            </w:r>
            <w:r>
              <w:t xml:space="preserve"> (</w:t>
            </w:r>
            <w:r>
              <w:rPr>
                <w:rFonts w:hint="eastAsia"/>
              </w:rPr>
              <w:t>行政管理部</w:t>
            </w:r>
            <w:r>
              <w:t>/</w:t>
            </w:r>
            <w:r>
              <w:rPr>
                <w:rFonts w:hint="eastAsia"/>
              </w:rPr>
              <w:t>副總</w:t>
            </w:r>
            <w:r>
              <w:t>)</w:t>
            </w:r>
          </w:p>
        </w:tc>
      </w:tr>
      <w:tr w:rsidR="002E6F77" w:rsidRPr="00471175" w14:paraId="5B23E54C" w14:textId="77777777" w:rsidTr="00C2753E">
        <w:trPr>
          <w:trHeight w:val="279"/>
          <w:jc w:val="center"/>
        </w:trPr>
        <w:tc>
          <w:tcPr>
            <w:tcW w:w="1731" w:type="dxa"/>
            <w:vMerge/>
            <w:shd w:val="clear" w:color="auto" w:fill="auto"/>
            <w:vAlign w:val="center"/>
          </w:tcPr>
          <w:p w14:paraId="27215A12" w14:textId="77777777" w:rsidR="002E6F77" w:rsidRPr="00471175" w:rsidRDefault="002E6F77" w:rsidP="002E6F77">
            <w:pPr>
              <w:snapToGrid w:val="0"/>
              <w:spacing w:before="0" w:after="0" w:line="0" w:lineRule="atLeast"/>
            </w:pPr>
          </w:p>
        </w:tc>
        <w:tc>
          <w:tcPr>
            <w:tcW w:w="5641" w:type="dxa"/>
            <w:shd w:val="clear" w:color="auto" w:fill="auto"/>
            <w:vAlign w:val="center"/>
          </w:tcPr>
          <w:p w14:paraId="45891F5C" w14:textId="13CDAEC7" w:rsidR="002E6F77" w:rsidRPr="00471175" w:rsidRDefault="002E6F77" w:rsidP="002E6F77">
            <w:pPr>
              <w:snapToGrid w:val="0"/>
              <w:spacing w:before="0" w:after="0" w:line="0" w:lineRule="atLeast"/>
            </w:pPr>
            <w:r>
              <w:rPr>
                <w:rFonts w:hint="eastAsia"/>
              </w:rPr>
              <w:t>陳品橋</w:t>
            </w:r>
            <w:r>
              <w:t xml:space="preserve"> (</w:t>
            </w:r>
            <w:r>
              <w:rPr>
                <w:rFonts w:hint="eastAsia"/>
              </w:rPr>
              <w:t>環球市場投資部</w:t>
            </w:r>
            <w:r>
              <w:t>/</w:t>
            </w:r>
            <w:r>
              <w:rPr>
                <w:rFonts w:hint="eastAsia"/>
              </w:rPr>
              <w:t>專業資深協理</w:t>
            </w:r>
            <w:r>
              <w:t>)</w:t>
            </w:r>
          </w:p>
        </w:tc>
      </w:tr>
      <w:tr w:rsidR="002E6F77" w:rsidRPr="00471175" w14:paraId="21BF2FC6" w14:textId="77777777" w:rsidTr="00C2753E">
        <w:trPr>
          <w:trHeight w:val="279"/>
          <w:jc w:val="center"/>
        </w:trPr>
        <w:tc>
          <w:tcPr>
            <w:tcW w:w="1731" w:type="dxa"/>
            <w:vMerge/>
            <w:shd w:val="clear" w:color="auto" w:fill="auto"/>
            <w:vAlign w:val="center"/>
          </w:tcPr>
          <w:p w14:paraId="0B20878E" w14:textId="77777777" w:rsidR="002E6F77" w:rsidRPr="00471175" w:rsidRDefault="002E6F77" w:rsidP="002E6F77">
            <w:pPr>
              <w:snapToGrid w:val="0"/>
              <w:spacing w:before="0" w:after="0" w:line="0" w:lineRule="atLeast"/>
            </w:pPr>
          </w:p>
        </w:tc>
        <w:tc>
          <w:tcPr>
            <w:tcW w:w="5641" w:type="dxa"/>
            <w:shd w:val="clear" w:color="auto" w:fill="auto"/>
            <w:vAlign w:val="center"/>
          </w:tcPr>
          <w:p w14:paraId="79FCF81F" w14:textId="032E50A5" w:rsidR="002E6F77" w:rsidRPr="00471175" w:rsidRDefault="002E6F77" w:rsidP="002E6F77">
            <w:pPr>
              <w:snapToGrid w:val="0"/>
              <w:spacing w:before="0" w:after="0" w:line="0" w:lineRule="atLeast"/>
            </w:pPr>
            <w:r>
              <w:rPr>
                <w:rFonts w:hint="eastAsia"/>
              </w:rPr>
              <w:t>邱榮豐</w:t>
            </w:r>
            <w:r>
              <w:t xml:space="preserve"> (</w:t>
            </w:r>
            <w:r>
              <w:rPr>
                <w:rFonts w:hint="eastAsia"/>
              </w:rPr>
              <w:t>行政管理部</w:t>
            </w:r>
            <w:r>
              <w:t>/</w:t>
            </w:r>
            <w:r>
              <w:rPr>
                <w:rFonts w:hint="eastAsia"/>
              </w:rPr>
              <w:t>協理</w:t>
            </w:r>
            <w:r>
              <w:t>)</w:t>
            </w:r>
          </w:p>
        </w:tc>
      </w:tr>
      <w:tr w:rsidR="002E6F77" w:rsidRPr="00471175" w14:paraId="26FE535C" w14:textId="77777777" w:rsidTr="00C2753E">
        <w:trPr>
          <w:trHeight w:val="279"/>
          <w:jc w:val="center"/>
        </w:trPr>
        <w:tc>
          <w:tcPr>
            <w:tcW w:w="1731" w:type="dxa"/>
            <w:vMerge/>
            <w:shd w:val="clear" w:color="auto" w:fill="auto"/>
            <w:vAlign w:val="center"/>
          </w:tcPr>
          <w:p w14:paraId="3E989446" w14:textId="77777777" w:rsidR="002E6F77" w:rsidRPr="00471175" w:rsidRDefault="002E6F77" w:rsidP="002E6F77">
            <w:pPr>
              <w:snapToGrid w:val="0"/>
              <w:spacing w:before="0" w:after="0" w:line="0" w:lineRule="atLeast"/>
            </w:pPr>
          </w:p>
        </w:tc>
        <w:tc>
          <w:tcPr>
            <w:tcW w:w="5641" w:type="dxa"/>
            <w:shd w:val="clear" w:color="auto" w:fill="auto"/>
            <w:vAlign w:val="center"/>
          </w:tcPr>
          <w:p w14:paraId="7E7D16FF" w14:textId="48430BD4" w:rsidR="002E6F77" w:rsidRPr="00471175" w:rsidRDefault="002E6F77" w:rsidP="002E6F77">
            <w:pPr>
              <w:snapToGrid w:val="0"/>
              <w:spacing w:before="0" w:after="0" w:line="0" w:lineRule="atLeast"/>
            </w:pPr>
            <w:r>
              <w:rPr>
                <w:rFonts w:hint="eastAsia"/>
              </w:rPr>
              <w:t>秦</w:t>
            </w:r>
            <w:r>
              <w:rPr>
                <w:rFonts w:hint="eastAsia"/>
              </w:rPr>
              <w:t xml:space="preserve"> </w:t>
            </w:r>
            <w:r>
              <w:t xml:space="preserve"> </w:t>
            </w:r>
            <w:r>
              <w:rPr>
                <w:rFonts w:hint="eastAsia"/>
              </w:rPr>
              <w:t>卉</w:t>
            </w:r>
            <w:r>
              <w:t xml:space="preserve"> (</w:t>
            </w:r>
            <w:r>
              <w:rPr>
                <w:rFonts w:hint="eastAsia"/>
              </w:rPr>
              <w:t>風險管理部</w:t>
            </w:r>
            <w:r>
              <w:t>/</w:t>
            </w:r>
            <w:r>
              <w:rPr>
                <w:rFonts w:hint="eastAsia"/>
              </w:rPr>
              <w:t>協理</w:t>
            </w:r>
            <w:r>
              <w:t>)</w:t>
            </w:r>
          </w:p>
        </w:tc>
      </w:tr>
      <w:tr w:rsidR="002E6F77" w:rsidRPr="00471175" w14:paraId="720DD08C" w14:textId="77777777" w:rsidTr="00C2753E">
        <w:trPr>
          <w:trHeight w:val="279"/>
          <w:jc w:val="center"/>
        </w:trPr>
        <w:tc>
          <w:tcPr>
            <w:tcW w:w="1731" w:type="dxa"/>
            <w:vMerge/>
            <w:shd w:val="clear" w:color="auto" w:fill="auto"/>
            <w:vAlign w:val="center"/>
          </w:tcPr>
          <w:p w14:paraId="05D0B044" w14:textId="77777777" w:rsidR="002E6F77" w:rsidRPr="00471175" w:rsidRDefault="002E6F77" w:rsidP="002E6F77">
            <w:pPr>
              <w:snapToGrid w:val="0"/>
              <w:spacing w:before="0" w:after="0" w:line="0" w:lineRule="atLeast"/>
            </w:pPr>
          </w:p>
        </w:tc>
        <w:tc>
          <w:tcPr>
            <w:tcW w:w="5641" w:type="dxa"/>
            <w:shd w:val="clear" w:color="auto" w:fill="auto"/>
            <w:vAlign w:val="center"/>
          </w:tcPr>
          <w:p w14:paraId="3206CAE4" w14:textId="5F7A940E" w:rsidR="002E6F77" w:rsidRPr="00471175" w:rsidRDefault="002E6F77" w:rsidP="002E6F77">
            <w:pPr>
              <w:snapToGrid w:val="0"/>
              <w:spacing w:before="0" w:after="0" w:line="0" w:lineRule="atLeast"/>
            </w:pPr>
            <w:r>
              <w:rPr>
                <w:rFonts w:hint="eastAsia"/>
              </w:rPr>
              <w:t>王祥帆</w:t>
            </w:r>
            <w:r>
              <w:t xml:space="preserve"> (</w:t>
            </w:r>
            <w:r>
              <w:rPr>
                <w:rFonts w:hint="eastAsia"/>
              </w:rPr>
              <w:t>風險管理部</w:t>
            </w:r>
            <w:r>
              <w:t>/</w:t>
            </w:r>
            <w:r>
              <w:rPr>
                <w:rFonts w:hint="eastAsia"/>
              </w:rPr>
              <w:t>專業經理</w:t>
            </w:r>
            <w:r>
              <w:t>)</w:t>
            </w:r>
          </w:p>
        </w:tc>
      </w:tr>
      <w:tr w:rsidR="002E6F77" w:rsidRPr="00471175" w14:paraId="60BC0DBC" w14:textId="77777777" w:rsidTr="00C2753E">
        <w:trPr>
          <w:trHeight w:val="279"/>
          <w:jc w:val="center"/>
        </w:trPr>
        <w:tc>
          <w:tcPr>
            <w:tcW w:w="1731" w:type="dxa"/>
            <w:vMerge/>
            <w:shd w:val="clear" w:color="auto" w:fill="auto"/>
            <w:vAlign w:val="center"/>
          </w:tcPr>
          <w:p w14:paraId="1706775C" w14:textId="77777777" w:rsidR="002E6F77" w:rsidRPr="00471175" w:rsidRDefault="002E6F77" w:rsidP="002E6F77">
            <w:pPr>
              <w:snapToGrid w:val="0"/>
              <w:spacing w:before="0" w:after="0" w:line="0" w:lineRule="atLeast"/>
            </w:pPr>
          </w:p>
        </w:tc>
        <w:tc>
          <w:tcPr>
            <w:tcW w:w="5641" w:type="dxa"/>
            <w:shd w:val="clear" w:color="auto" w:fill="auto"/>
            <w:vAlign w:val="center"/>
          </w:tcPr>
          <w:p w14:paraId="6E1DB87F" w14:textId="0C1D5BFA" w:rsidR="002E6F77" w:rsidRPr="00471175" w:rsidRDefault="002E6F77" w:rsidP="002E6F77">
            <w:pPr>
              <w:snapToGrid w:val="0"/>
              <w:spacing w:before="0" w:after="0" w:line="0" w:lineRule="atLeast"/>
            </w:pPr>
            <w:r>
              <w:rPr>
                <w:rFonts w:hint="eastAsia"/>
              </w:rPr>
              <w:t>李怡婷</w:t>
            </w:r>
            <w:r>
              <w:t xml:space="preserve"> (</w:t>
            </w:r>
            <w:r>
              <w:rPr>
                <w:rFonts w:hint="eastAsia"/>
              </w:rPr>
              <w:t>指數暨量化投資事業群</w:t>
            </w:r>
            <w:r>
              <w:t>/</w:t>
            </w:r>
            <w:r>
              <w:rPr>
                <w:rFonts w:hint="eastAsia"/>
              </w:rPr>
              <w:t>專業襄理</w:t>
            </w:r>
            <w:r>
              <w:t>)</w:t>
            </w:r>
          </w:p>
        </w:tc>
      </w:tr>
      <w:tr w:rsidR="00C2753E" w:rsidRPr="00471175" w14:paraId="4A8A8DAE" w14:textId="77777777" w:rsidTr="00C2753E">
        <w:trPr>
          <w:trHeight w:val="279"/>
          <w:jc w:val="center"/>
        </w:trPr>
        <w:tc>
          <w:tcPr>
            <w:tcW w:w="1731" w:type="dxa"/>
            <w:shd w:val="clear" w:color="auto" w:fill="auto"/>
            <w:vAlign w:val="center"/>
          </w:tcPr>
          <w:p w14:paraId="2967C475" w14:textId="77777777" w:rsidR="00C2753E" w:rsidRPr="00471175" w:rsidRDefault="00C2753E" w:rsidP="00C2753E">
            <w:pPr>
              <w:snapToGrid w:val="0"/>
              <w:spacing w:before="0" w:after="0" w:line="0" w:lineRule="atLeast"/>
            </w:pPr>
            <w:r w:rsidRPr="00471175">
              <w:t>保德信投信</w:t>
            </w:r>
          </w:p>
        </w:tc>
        <w:tc>
          <w:tcPr>
            <w:tcW w:w="5641" w:type="dxa"/>
            <w:shd w:val="clear" w:color="auto" w:fill="auto"/>
            <w:vAlign w:val="center"/>
          </w:tcPr>
          <w:p w14:paraId="0CE88A35" w14:textId="77777777" w:rsidR="00C2753E" w:rsidRPr="00471175" w:rsidRDefault="00C2753E" w:rsidP="00C2753E">
            <w:pPr>
              <w:snapToGrid w:val="0"/>
              <w:spacing w:before="0" w:after="0" w:line="0" w:lineRule="atLeast"/>
            </w:pPr>
            <w:r w:rsidRPr="00471175">
              <w:t>湯君年</w:t>
            </w:r>
            <w:r w:rsidRPr="00471175">
              <w:t xml:space="preserve"> (</w:t>
            </w:r>
            <w:r w:rsidRPr="00471175">
              <w:t>經理</w:t>
            </w:r>
            <w:r w:rsidRPr="00471175">
              <w:t>)</w:t>
            </w:r>
          </w:p>
        </w:tc>
      </w:tr>
      <w:tr w:rsidR="00B250A2" w:rsidRPr="00471175" w14:paraId="41479DD1" w14:textId="77777777" w:rsidTr="006F3CFA">
        <w:trPr>
          <w:jc w:val="center"/>
        </w:trPr>
        <w:tc>
          <w:tcPr>
            <w:tcW w:w="1731" w:type="dxa"/>
            <w:vMerge w:val="restart"/>
            <w:shd w:val="clear" w:color="auto" w:fill="auto"/>
            <w:vAlign w:val="center"/>
          </w:tcPr>
          <w:p w14:paraId="406A2A79" w14:textId="77777777" w:rsidR="00B250A2" w:rsidRPr="00471175" w:rsidRDefault="00B250A2" w:rsidP="00B250A2">
            <w:pPr>
              <w:snapToGrid w:val="0"/>
              <w:spacing w:before="0" w:after="0" w:line="0" w:lineRule="atLeast"/>
              <w:ind w:rightChars="-70" w:right="-168"/>
            </w:pPr>
            <w:r w:rsidRPr="00471175">
              <w:t>施羅德投信</w:t>
            </w:r>
          </w:p>
        </w:tc>
        <w:tc>
          <w:tcPr>
            <w:tcW w:w="5641" w:type="dxa"/>
            <w:shd w:val="clear" w:color="auto" w:fill="auto"/>
          </w:tcPr>
          <w:p w14:paraId="43EC2AC4" w14:textId="41D30755" w:rsidR="00B250A2" w:rsidRPr="00471175" w:rsidRDefault="00B250A2" w:rsidP="00B250A2">
            <w:pPr>
              <w:snapToGrid w:val="0"/>
              <w:spacing w:before="0" w:after="0" w:line="0" w:lineRule="atLeast"/>
            </w:pPr>
            <w:r w:rsidRPr="00AA6FB3">
              <w:rPr>
                <w:rFonts w:hint="eastAsia"/>
              </w:rPr>
              <w:t>趙書秀</w:t>
            </w:r>
            <w:r w:rsidRPr="00AA6FB3">
              <w:rPr>
                <w:rFonts w:hint="eastAsia"/>
              </w:rPr>
              <w:t>(</w:t>
            </w:r>
            <w:r w:rsidRPr="00AA6FB3">
              <w:rPr>
                <w:rFonts w:hint="eastAsia"/>
              </w:rPr>
              <w:t>法務暨法令遵循部</w:t>
            </w:r>
            <w:r w:rsidRPr="00AA6FB3">
              <w:rPr>
                <w:rFonts w:hint="eastAsia"/>
              </w:rPr>
              <w:t>/</w:t>
            </w:r>
            <w:r w:rsidRPr="00AA6FB3">
              <w:rPr>
                <w:rFonts w:hint="eastAsia"/>
              </w:rPr>
              <w:t>協理</w:t>
            </w:r>
            <w:r w:rsidRPr="00AA6FB3">
              <w:rPr>
                <w:rFonts w:hint="eastAsia"/>
              </w:rPr>
              <w:t>)</w:t>
            </w:r>
          </w:p>
        </w:tc>
      </w:tr>
      <w:tr w:rsidR="00B250A2" w:rsidRPr="00471175" w14:paraId="1F05A214" w14:textId="77777777" w:rsidTr="006F3CFA">
        <w:trPr>
          <w:jc w:val="center"/>
        </w:trPr>
        <w:tc>
          <w:tcPr>
            <w:tcW w:w="1731" w:type="dxa"/>
            <w:vMerge/>
            <w:shd w:val="clear" w:color="auto" w:fill="auto"/>
            <w:vAlign w:val="center"/>
          </w:tcPr>
          <w:p w14:paraId="57B2049C" w14:textId="77777777" w:rsidR="00B250A2" w:rsidRPr="00471175" w:rsidRDefault="00B250A2" w:rsidP="00B250A2">
            <w:pPr>
              <w:snapToGrid w:val="0"/>
              <w:spacing w:before="0" w:after="0" w:line="0" w:lineRule="atLeast"/>
              <w:ind w:rightChars="-70" w:right="-168"/>
            </w:pPr>
          </w:p>
        </w:tc>
        <w:tc>
          <w:tcPr>
            <w:tcW w:w="5641" w:type="dxa"/>
            <w:shd w:val="clear" w:color="auto" w:fill="auto"/>
          </w:tcPr>
          <w:p w14:paraId="6367C536" w14:textId="57CD0D1D" w:rsidR="00B250A2" w:rsidRPr="00471175" w:rsidRDefault="00B250A2" w:rsidP="00B250A2">
            <w:pPr>
              <w:snapToGrid w:val="0"/>
              <w:spacing w:before="0" w:after="0" w:line="0" w:lineRule="atLeast"/>
            </w:pPr>
            <w:r w:rsidRPr="00AA6FB3">
              <w:rPr>
                <w:rFonts w:hint="eastAsia"/>
              </w:rPr>
              <w:t>吳明勳</w:t>
            </w:r>
            <w:r w:rsidRPr="00AA6FB3">
              <w:rPr>
                <w:rFonts w:hint="eastAsia"/>
              </w:rPr>
              <w:t xml:space="preserve"> (</w:t>
            </w:r>
            <w:r w:rsidRPr="00AA6FB3">
              <w:rPr>
                <w:rFonts w:hint="eastAsia"/>
              </w:rPr>
              <w:t>風險管理部</w:t>
            </w:r>
            <w:r w:rsidRPr="00AA6FB3">
              <w:rPr>
                <w:rFonts w:hint="eastAsia"/>
              </w:rPr>
              <w:t>/</w:t>
            </w:r>
            <w:r w:rsidRPr="00AA6FB3">
              <w:rPr>
                <w:rFonts w:hint="eastAsia"/>
              </w:rPr>
              <w:t>協理</w:t>
            </w:r>
            <w:r w:rsidRPr="00AA6FB3">
              <w:rPr>
                <w:rFonts w:hint="eastAsia"/>
              </w:rPr>
              <w:t>)</w:t>
            </w:r>
          </w:p>
        </w:tc>
      </w:tr>
      <w:tr w:rsidR="00B250A2" w:rsidRPr="00471175" w14:paraId="4C8309CE" w14:textId="77777777" w:rsidTr="006F3CFA">
        <w:trPr>
          <w:jc w:val="center"/>
        </w:trPr>
        <w:tc>
          <w:tcPr>
            <w:tcW w:w="1731" w:type="dxa"/>
            <w:vMerge/>
            <w:shd w:val="clear" w:color="auto" w:fill="auto"/>
            <w:vAlign w:val="center"/>
          </w:tcPr>
          <w:p w14:paraId="737E3D14" w14:textId="77777777" w:rsidR="00B250A2" w:rsidRPr="00471175" w:rsidRDefault="00B250A2" w:rsidP="00B250A2">
            <w:pPr>
              <w:snapToGrid w:val="0"/>
              <w:spacing w:before="0" w:after="0" w:line="0" w:lineRule="atLeast"/>
              <w:ind w:rightChars="-70" w:right="-168"/>
            </w:pPr>
          </w:p>
        </w:tc>
        <w:tc>
          <w:tcPr>
            <w:tcW w:w="5641" w:type="dxa"/>
            <w:shd w:val="clear" w:color="auto" w:fill="auto"/>
          </w:tcPr>
          <w:p w14:paraId="4CFA2685" w14:textId="65D22D81" w:rsidR="00B250A2" w:rsidRPr="00471175" w:rsidRDefault="00B250A2" w:rsidP="00B250A2">
            <w:pPr>
              <w:snapToGrid w:val="0"/>
              <w:spacing w:before="0" w:after="0" w:line="0" w:lineRule="atLeast"/>
            </w:pPr>
            <w:r w:rsidRPr="00AA6FB3">
              <w:rPr>
                <w:rFonts w:hint="eastAsia"/>
              </w:rPr>
              <w:t>張巍瀚</w:t>
            </w:r>
            <w:r w:rsidRPr="00AA6FB3">
              <w:rPr>
                <w:rFonts w:hint="eastAsia"/>
              </w:rPr>
              <w:t xml:space="preserve"> (</w:t>
            </w:r>
            <w:r w:rsidRPr="00AA6FB3">
              <w:rPr>
                <w:rFonts w:hint="eastAsia"/>
              </w:rPr>
              <w:t>投資部</w:t>
            </w:r>
            <w:r w:rsidRPr="00AA6FB3">
              <w:rPr>
                <w:rFonts w:hint="eastAsia"/>
              </w:rPr>
              <w:t>/</w:t>
            </w:r>
            <w:r w:rsidRPr="00AA6FB3">
              <w:rPr>
                <w:rFonts w:hint="eastAsia"/>
              </w:rPr>
              <w:t>副理</w:t>
            </w:r>
            <w:r w:rsidRPr="00AA6FB3">
              <w:rPr>
                <w:rFonts w:hint="eastAsia"/>
              </w:rPr>
              <w:t>)</w:t>
            </w:r>
          </w:p>
        </w:tc>
      </w:tr>
      <w:tr w:rsidR="00B250A2" w:rsidRPr="00471175" w14:paraId="5FC53ADB" w14:textId="77777777" w:rsidTr="006F3CFA">
        <w:trPr>
          <w:jc w:val="center"/>
        </w:trPr>
        <w:tc>
          <w:tcPr>
            <w:tcW w:w="1731" w:type="dxa"/>
            <w:vMerge/>
            <w:shd w:val="clear" w:color="auto" w:fill="auto"/>
            <w:vAlign w:val="center"/>
          </w:tcPr>
          <w:p w14:paraId="5A1C0A90" w14:textId="77777777" w:rsidR="00B250A2" w:rsidRPr="00471175" w:rsidRDefault="00B250A2" w:rsidP="00B250A2">
            <w:pPr>
              <w:snapToGrid w:val="0"/>
              <w:spacing w:before="0" w:after="0" w:line="0" w:lineRule="atLeast"/>
              <w:ind w:rightChars="-70" w:right="-168"/>
            </w:pPr>
          </w:p>
        </w:tc>
        <w:tc>
          <w:tcPr>
            <w:tcW w:w="5641" w:type="dxa"/>
            <w:shd w:val="clear" w:color="auto" w:fill="auto"/>
          </w:tcPr>
          <w:p w14:paraId="00CE1148" w14:textId="2BC5FEF1" w:rsidR="00B250A2" w:rsidRPr="00471175" w:rsidRDefault="00B250A2" w:rsidP="00B250A2">
            <w:pPr>
              <w:snapToGrid w:val="0"/>
              <w:spacing w:before="0" w:after="0" w:line="0" w:lineRule="atLeast"/>
            </w:pPr>
            <w:r w:rsidRPr="00AA6FB3">
              <w:rPr>
                <w:rFonts w:hint="eastAsia"/>
              </w:rPr>
              <w:t>胡峪瑄</w:t>
            </w:r>
            <w:r w:rsidRPr="00AA6FB3">
              <w:rPr>
                <w:rFonts w:hint="eastAsia"/>
              </w:rPr>
              <w:t xml:space="preserve"> (</w:t>
            </w:r>
            <w:r w:rsidRPr="00AA6FB3">
              <w:rPr>
                <w:rFonts w:hint="eastAsia"/>
              </w:rPr>
              <w:t>行政總務部</w:t>
            </w:r>
            <w:r w:rsidRPr="00AA6FB3">
              <w:rPr>
                <w:rFonts w:hint="eastAsia"/>
              </w:rPr>
              <w:t>/</w:t>
            </w:r>
            <w:r w:rsidRPr="00AA6FB3">
              <w:rPr>
                <w:rFonts w:hint="eastAsia"/>
              </w:rPr>
              <w:t>副理</w:t>
            </w:r>
            <w:r w:rsidRPr="00AA6FB3">
              <w:rPr>
                <w:rFonts w:hint="eastAsia"/>
              </w:rPr>
              <w:t xml:space="preserve">) </w:t>
            </w:r>
          </w:p>
        </w:tc>
      </w:tr>
      <w:tr w:rsidR="00B250A2" w:rsidRPr="00471175" w14:paraId="5774CD99" w14:textId="77777777" w:rsidTr="00C2753E">
        <w:trPr>
          <w:jc w:val="center"/>
        </w:trPr>
        <w:tc>
          <w:tcPr>
            <w:tcW w:w="1731" w:type="dxa"/>
            <w:vMerge w:val="restart"/>
            <w:shd w:val="clear" w:color="auto" w:fill="auto"/>
            <w:vAlign w:val="center"/>
          </w:tcPr>
          <w:p w14:paraId="2C6FC2F2" w14:textId="77777777" w:rsidR="00B250A2" w:rsidRPr="00471175" w:rsidRDefault="00B250A2" w:rsidP="00B250A2">
            <w:pPr>
              <w:snapToGrid w:val="0"/>
              <w:spacing w:before="0" w:after="0" w:line="0" w:lineRule="atLeast"/>
            </w:pPr>
            <w:r w:rsidRPr="00471175">
              <w:t>國泰投信</w:t>
            </w:r>
          </w:p>
        </w:tc>
        <w:tc>
          <w:tcPr>
            <w:tcW w:w="5641" w:type="dxa"/>
            <w:shd w:val="clear" w:color="auto" w:fill="auto"/>
            <w:vAlign w:val="center"/>
          </w:tcPr>
          <w:p w14:paraId="56967A28" w14:textId="77777777" w:rsidR="00B250A2" w:rsidRPr="00471175" w:rsidRDefault="00B250A2" w:rsidP="00B250A2">
            <w:pPr>
              <w:snapToGrid w:val="0"/>
              <w:spacing w:before="0" w:after="0" w:line="0" w:lineRule="atLeast"/>
            </w:pPr>
            <w:r w:rsidRPr="00471175">
              <w:t>李旼易</w:t>
            </w:r>
            <w:r w:rsidRPr="00471175">
              <w:t xml:space="preserve"> (</w:t>
            </w:r>
            <w:r w:rsidRPr="00471175">
              <w:t>永續辦公室</w:t>
            </w:r>
            <w:r w:rsidRPr="00471175">
              <w:t>/</w:t>
            </w:r>
            <w:r w:rsidRPr="00471175">
              <w:t>資深經理</w:t>
            </w:r>
            <w:r w:rsidRPr="00471175">
              <w:t>)</w:t>
            </w:r>
          </w:p>
        </w:tc>
      </w:tr>
      <w:tr w:rsidR="00B250A2" w:rsidRPr="00471175" w14:paraId="36152D15" w14:textId="77777777" w:rsidTr="00C2753E">
        <w:trPr>
          <w:jc w:val="center"/>
        </w:trPr>
        <w:tc>
          <w:tcPr>
            <w:tcW w:w="1731" w:type="dxa"/>
            <w:vMerge/>
            <w:shd w:val="clear" w:color="auto" w:fill="auto"/>
            <w:vAlign w:val="center"/>
          </w:tcPr>
          <w:p w14:paraId="37003A47" w14:textId="77777777" w:rsidR="00B250A2" w:rsidRPr="00471175" w:rsidRDefault="00B250A2" w:rsidP="00B250A2">
            <w:pPr>
              <w:snapToGrid w:val="0"/>
              <w:spacing w:before="0" w:after="0" w:line="0" w:lineRule="atLeast"/>
            </w:pPr>
          </w:p>
        </w:tc>
        <w:tc>
          <w:tcPr>
            <w:tcW w:w="5641" w:type="dxa"/>
            <w:shd w:val="clear" w:color="auto" w:fill="auto"/>
            <w:vAlign w:val="center"/>
          </w:tcPr>
          <w:p w14:paraId="1EC88B83" w14:textId="4AC185F9" w:rsidR="00B250A2" w:rsidRPr="00471175" w:rsidRDefault="00B250A2" w:rsidP="00B250A2">
            <w:pPr>
              <w:snapToGrid w:val="0"/>
              <w:spacing w:before="0" w:after="0" w:line="0" w:lineRule="atLeast"/>
            </w:pPr>
            <w:r w:rsidRPr="00471175">
              <w:t>邱建仁</w:t>
            </w:r>
            <w:r w:rsidRPr="00471175">
              <w:t xml:space="preserve"> (</w:t>
            </w:r>
            <w:r w:rsidRPr="00471175">
              <w:t>風險管理處</w:t>
            </w:r>
            <w:r w:rsidRPr="00471175">
              <w:t>/</w:t>
            </w:r>
            <w:r w:rsidRPr="00471175">
              <w:t>副總</w:t>
            </w:r>
            <w:r w:rsidRPr="00471175">
              <w:t>)</w:t>
            </w:r>
          </w:p>
        </w:tc>
      </w:tr>
      <w:tr w:rsidR="00B250A2" w:rsidRPr="00471175" w14:paraId="67D166A5" w14:textId="77777777" w:rsidTr="00C2753E">
        <w:trPr>
          <w:jc w:val="center"/>
        </w:trPr>
        <w:tc>
          <w:tcPr>
            <w:tcW w:w="1731" w:type="dxa"/>
            <w:vMerge/>
            <w:shd w:val="clear" w:color="auto" w:fill="auto"/>
            <w:vAlign w:val="center"/>
          </w:tcPr>
          <w:p w14:paraId="656F5E9C" w14:textId="77777777" w:rsidR="00B250A2" w:rsidRPr="00471175" w:rsidRDefault="00B250A2" w:rsidP="00B250A2">
            <w:pPr>
              <w:snapToGrid w:val="0"/>
              <w:spacing w:before="0" w:after="0" w:line="0" w:lineRule="atLeast"/>
            </w:pPr>
          </w:p>
        </w:tc>
        <w:tc>
          <w:tcPr>
            <w:tcW w:w="5641" w:type="dxa"/>
            <w:shd w:val="clear" w:color="auto" w:fill="auto"/>
            <w:vAlign w:val="center"/>
          </w:tcPr>
          <w:p w14:paraId="7C8D7AA8" w14:textId="7D3D6DCE" w:rsidR="00B250A2" w:rsidRPr="00471175" w:rsidRDefault="00B250A2" w:rsidP="00B250A2">
            <w:pPr>
              <w:snapToGrid w:val="0"/>
              <w:spacing w:before="0" w:after="0" w:line="0" w:lineRule="atLeast"/>
            </w:pPr>
            <w:r w:rsidRPr="00471175">
              <w:t>呂珮菁</w:t>
            </w:r>
            <w:r w:rsidRPr="00471175">
              <w:t xml:space="preserve"> (</w:t>
            </w:r>
            <w:r w:rsidRPr="00471175">
              <w:t>永續辦公室</w:t>
            </w:r>
            <w:r w:rsidRPr="00471175">
              <w:t>/</w:t>
            </w:r>
            <w:r w:rsidRPr="00471175">
              <w:t>副理</w:t>
            </w:r>
            <w:r w:rsidRPr="00471175">
              <w:t>)</w:t>
            </w:r>
          </w:p>
        </w:tc>
      </w:tr>
      <w:tr w:rsidR="00B250A2" w:rsidRPr="00471175" w14:paraId="0E05B251" w14:textId="77777777" w:rsidTr="00C2753E">
        <w:trPr>
          <w:jc w:val="center"/>
        </w:trPr>
        <w:tc>
          <w:tcPr>
            <w:tcW w:w="1731" w:type="dxa"/>
            <w:vMerge w:val="restart"/>
            <w:shd w:val="clear" w:color="auto" w:fill="auto"/>
            <w:vAlign w:val="center"/>
          </w:tcPr>
          <w:p w14:paraId="675BACCB" w14:textId="77777777" w:rsidR="00B250A2" w:rsidRPr="00471175" w:rsidRDefault="00B250A2" w:rsidP="00B250A2">
            <w:pPr>
              <w:snapToGrid w:val="0"/>
              <w:spacing w:before="0" w:after="0" w:line="0" w:lineRule="atLeast"/>
              <w:ind w:rightChars="-70" w:right="-168"/>
            </w:pPr>
            <w:r w:rsidRPr="00471175">
              <w:t>第一金投信</w:t>
            </w:r>
          </w:p>
        </w:tc>
        <w:tc>
          <w:tcPr>
            <w:tcW w:w="5641" w:type="dxa"/>
            <w:shd w:val="clear" w:color="auto" w:fill="auto"/>
            <w:vAlign w:val="center"/>
          </w:tcPr>
          <w:p w14:paraId="4300D451" w14:textId="77777777" w:rsidR="00B250A2" w:rsidRPr="00471175" w:rsidRDefault="00B250A2" w:rsidP="00B250A2">
            <w:pPr>
              <w:snapToGrid w:val="0"/>
              <w:spacing w:before="0" w:after="0" w:line="0" w:lineRule="atLeast"/>
            </w:pPr>
            <w:r w:rsidRPr="00471175">
              <w:t>何芮凝</w:t>
            </w:r>
            <w:r w:rsidRPr="00471175">
              <w:t xml:space="preserve"> (</w:t>
            </w:r>
            <w:r w:rsidRPr="00471175">
              <w:t>風險管理部</w:t>
            </w:r>
            <w:r w:rsidRPr="00471175">
              <w:t>/</w:t>
            </w:r>
            <w:r w:rsidRPr="00471175">
              <w:t>協理</w:t>
            </w:r>
            <w:r w:rsidRPr="00471175">
              <w:t>)</w:t>
            </w:r>
          </w:p>
        </w:tc>
      </w:tr>
      <w:tr w:rsidR="00B250A2" w:rsidRPr="00471175" w14:paraId="21617683" w14:textId="77777777" w:rsidTr="00C2753E">
        <w:trPr>
          <w:jc w:val="center"/>
        </w:trPr>
        <w:tc>
          <w:tcPr>
            <w:tcW w:w="1731" w:type="dxa"/>
            <w:vMerge/>
            <w:shd w:val="clear" w:color="auto" w:fill="auto"/>
            <w:vAlign w:val="center"/>
          </w:tcPr>
          <w:p w14:paraId="0B96863A" w14:textId="77777777" w:rsidR="00B250A2" w:rsidRPr="00471175" w:rsidRDefault="00B250A2" w:rsidP="00B250A2">
            <w:pPr>
              <w:snapToGrid w:val="0"/>
              <w:spacing w:before="0" w:after="0" w:line="0" w:lineRule="atLeast"/>
            </w:pPr>
          </w:p>
        </w:tc>
        <w:tc>
          <w:tcPr>
            <w:tcW w:w="5641" w:type="dxa"/>
            <w:shd w:val="clear" w:color="auto" w:fill="auto"/>
            <w:vAlign w:val="center"/>
          </w:tcPr>
          <w:p w14:paraId="28A80669" w14:textId="77777777" w:rsidR="00B250A2" w:rsidRPr="00471175" w:rsidRDefault="00B250A2" w:rsidP="00B250A2">
            <w:pPr>
              <w:snapToGrid w:val="0"/>
              <w:spacing w:before="0" w:after="0" w:line="0" w:lineRule="atLeast"/>
            </w:pPr>
            <w:r w:rsidRPr="00471175">
              <w:t>曾萬勝</w:t>
            </w:r>
            <w:r w:rsidRPr="00471175">
              <w:t xml:space="preserve"> (</w:t>
            </w:r>
            <w:r w:rsidRPr="00471175">
              <w:t>投資處</w:t>
            </w:r>
            <w:r w:rsidRPr="00471175">
              <w:t>/</w:t>
            </w:r>
            <w:r w:rsidRPr="00471175">
              <w:t>投資經理</w:t>
            </w:r>
            <w:r w:rsidRPr="00471175">
              <w:t>)</w:t>
            </w:r>
          </w:p>
        </w:tc>
      </w:tr>
      <w:tr w:rsidR="00B250A2" w:rsidRPr="00471175" w14:paraId="02E8FEE6" w14:textId="77777777" w:rsidTr="00C2753E">
        <w:trPr>
          <w:jc w:val="center"/>
        </w:trPr>
        <w:tc>
          <w:tcPr>
            <w:tcW w:w="1731" w:type="dxa"/>
            <w:vMerge/>
            <w:shd w:val="clear" w:color="auto" w:fill="auto"/>
            <w:vAlign w:val="center"/>
          </w:tcPr>
          <w:p w14:paraId="330C377D" w14:textId="77777777" w:rsidR="00B250A2" w:rsidRPr="00471175" w:rsidRDefault="00B250A2" w:rsidP="00B250A2">
            <w:pPr>
              <w:snapToGrid w:val="0"/>
              <w:spacing w:before="0" w:after="0" w:line="0" w:lineRule="atLeast"/>
            </w:pPr>
          </w:p>
        </w:tc>
        <w:tc>
          <w:tcPr>
            <w:tcW w:w="5641" w:type="dxa"/>
            <w:shd w:val="clear" w:color="auto" w:fill="auto"/>
            <w:vAlign w:val="center"/>
          </w:tcPr>
          <w:p w14:paraId="76B97D37" w14:textId="77777777" w:rsidR="00B250A2" w:rsidRPr="00471175" w:rsidRDefault="00B250A2" w:rsidP="00B250A2">
            <w:pPr>
              <w:snapToGrid w:val="0"/>
              <w:spacing w:before="0" w:after="0" w:line="0" w:lineRule="atLeast"/>
            </w:pPr>
            <w:r w:rsidRPr="00471175">
              <w:t>程建彰</w:t>
            </w:r>
            <w:r w:rsidRPr="00471175">
              <w:t xml:space="preserve"> (</w:t>
            </w:r>
            <w:r w:rsidRPr="00471175">
              <w:t>風險管理部</w:t>
            </w:r>
            <w:r w:rsidRPr="00471175">
              <w:t>/</w:t>
            </w:r>
            <w:r w:rsidRPr="00471175">
              <w:t>襄理</w:t>
            </w:r>
            <w:r w:rsidRPr="00471175">
              <w:t>)</w:t>
            </w:r>
          </w:p>
        </w:tc>
      </w:tr>
      <w:tr w:rsidR="00B250A2" w:rsidRPr="00471175" w14:paraId="5F41EF8F" w14:textId="77777777" w:rsidTr="00C2753E">
        <w:trPr>
          <w:trHeight w:val="229"/>
          <w:jc w:val="center"/>
        </w:trPr>
        <w:tc>
          <w:tcPr>
            <w:tcW w:w="1731" w:type="dxa"/>
            <w:vMerge w:val="restart"/>
            <w:shd w:val="clear" w:color="auto" w:fill="auto"/>
            <w:vAlign w:val="center"/>
          </w:tcPr>
          <w:p w14:paraId="3F877959" w14:textId="77777777" w:rsidR="00B250A2" w:rsidRPr="00471175" w:rsidRDefault="00B250A2" w:rsidP="00B250A2">
            <w:pPr>
              <w:snapToGrid w:val="0"/>
              <w:spacing w:before="0" w:after="0" w:line="0" w:lineRule="atLeast"/>
            </w:pPr>
            <w:r w:rsidRPr="00471175">
              <w:t>富達投信</w:t>
            </w:r>
          </w:p>
        </w:tc>
        <w:tc>
          <w:tcPr>
            <w:tcW w:w="5641" w:type="dxa"/>
            <w:shd w:val="clear" w:color="auto" w:fill="auto"/>
            <w:vAlign w:val="center"/>
          </w:tcPr>
          <w:p w14:paraId="4B47233A" w14:textId="77777777" w:rsidR="00B250A2" w:rsidRPr="00471175" w:rsidRDefault="00B250A2" w:rsidP="00B250A2">
            <w:pPr>
              <w:snapToGrid w:val="0"/>
              <w:spacing w:before="0" w:after="0" w:line="0" w:lineRule="atLeast"/>
            </w:pPr>
            <w:r w:rsidRPr="00471175">
              <w:t>郭秀鳳</w:t>
            </w:r>
            <w:r w:rsidRPr="00471175">
              <w:t xml:space="preserve"> (</w:t>
            </w:r>
            <w:r w:rsidRPr="00471175">
              <w:t>機構法人業務部</w:t>
            </w:r>
            <w:r w:rsidRPr="00471175">
              <w:t>/</w:t>
            </w:r>
            <w:r w:rsidRPr="00471175">
              <w:t>副總</w:t>
            </w:r>
            <w:r w:rsidRPr="00471175">
              <w:t>)</w:t>
            </w:r>
          </w:p>
        </w:tc>
      </w:tr>
      <w:tr w:rsidR="00B250A2" w:rsidRPr="00471175" w14:paraId="44CFFE1C" w14:textId="77777777" w:rsidTr="00C2753E">
        <w:trPr>
          <w:trHeight w:val="227"/>
          <w:jc w:val="center"/>
        </w:trPr>
        <w:tc>
          <w:tcPr>
            <w:tcW w:w="1731" w:type="dxa"/>
            <w:vMerge/>
            <w:shd w:val="clear" w:color="auto" w:fill="auto"/>
            <w:vAlign w:val="center"/>
          </w:tcPr>
          <w:p w14:paraId="7F902C9F" w14:textId="77777777" w:rsidR="00B250A2" w:rsidRPr="00471175" w:rsidRDefault="00B250A2" w:rsidP="00B250A2">
            <w:pPr>
              <w:snapToGrid w:val="0"/>
              <w:spacing w:before="0" w:after="0" w:line="0" w:lineRule="atLeast"/>
            </w:pPr>
          </w:p>
        </w:tc>
        <w:tc>
          <w:tcPr>
            <w:tcW w:w="5641" w:type="dxa"/>
            <w:shd w:val="clear" w:color="auto" w:fill="auto"/>
            <w:vAlign w:val="center"/>
          </w:tcPr>
          <w:p w14:paraId="590CC147" w14:textId="77777777" w:rsidR="00B250A2" w:rsidRPr="00471175" w:rsidRDefault="00B250A2" w:rsidP="00B250A2">
            <w:pPr>
              <w:snapToGrid w:val="0"/>
              <w:spacing w:before="0" w:after="0" w:line="0" w:lineRule="atLeast"/>
            </w:pPr>
            <w:r w:rsidRPr="00471175">
              <w:t>紀力萱</w:t>
            </w:r>
            <w:r w:rsidRPr="00471175">
              <w:t xml:space="preserve"> (</w:t>
            </w:r>
            <w:r w:rsidRPr="00471175">
              <w:t>法令遵循部</w:t>
            </w:r>
            <w:r w:rsidRPr="00471175">
              <w:t>/</w:t>
            </w:r>
            <w:r w:rsidRPr="00471175">
              <w:t>副總</w:t>
            </w:r>
            <w:r w:rsidRPr="00471175">
              <w:t>)</w:t>
            </w:r>
          </w:p>
        </w:tc>
      </w:tr>
      <w:tr w:rsidR="00B250A2" w:rsidRPr="00471175" w14:paraId="32E22C00" w14:textId="77777777" w:rsidTr="00C2753E">
        <w:trPr>
          <w:trHeight w:val="227"/>
          <w:jc w:val="center"/>
        </w:trPr>
        <w:tc>
          <w:tcPr>
            <w:tcW w:w="1731" w:type="dxa"/>
            <w:vMerge/>
            <w:shd w:val="clear" w:color="auto" w:fill="auto"/>
            <w:vAlign w:val="center"/>
          </w:tcPr>
          <w:p w14:paraId="7A544592" w14:textId="77777777" w:rsidR="00B250A2" w:rsidRPr="00471175" w:rsidRDefault="00B250A2" w:rsidP="00B250A2">
            <w:pPr>
              <w:snapToGrid w:val="0"/>
              <w:spacing w:before="0" w:after="0" w:line="0" w:lineRule="atLeast"/>
            </w:pPr>
          </w:p>
        </w:tc>
        <w:tc>
          <w:tcPr>
            <w:tcW w:w="5641" w:type="dxa"/>
            <w:shd w:val="clear" w:color="auto" w:fill="auto"/>
            <w:vAlign w:val="center"/>
          </w:tcPr>
          <w:p w14:paraId="0DFDE43C" w14:textId="77777777" w:rsidR="00B250A2" w:rsidRPr="00471175" w:rsidRDefault="00B250A2" w:rsidP="00B250A2">
            <w:pPr>
              <w:snapToGrid w:val="0"/>
              <w:spacing w:before="0" w:after="0" w:line="0" w:lineRule="atLeast"/>
            </w:pPr>
            <w:r w:rsidRPr="00471175">
              <w:t>李俊諺</w:t>
            </w:r>
          </w:p>
        </w:tc>
      </w:tr>
      <w:tr w:rsidR="00B250A2" w:rsidRPr="00471175" w14:paraId="387FB36B" w14:textId="77777777" w:rsidTr="002825CD">
        <w:trPr>
          <w:trHeight w:val="267"/>
          <w:jc w:val="center"/>
        </w:trPr>
        <w:tc>
          <w:tcPr>
            <w:tcW w:w="1731" w:type="dxa"/>
            <w:vMerge w:val="restart"/>
            <w:shd w:val="clear" w:color="auto" w:fill="auto"/>
            <w:vAlign w:val="center"/>
          </w:tcPr>
          <w:p w14:paraId="29BED0E5" w14:textId="77777777" w:rsidR="00B250A2" w:rsidRPr="00471175" w:rsidRDefault="00B250A2" w:rsidP="00B250A2">
            <w:pPr>
              <w:snapToGrid w:val="0"/>
              <w:spacing w:before="0" w:after="0" w:line="0" w:lineRule="atLeast"/>
            </w:pPr>
            <w:r w:rsidRPr="00471175">
              <w:t>富蘭克林華美投信</w:t>
            </w:r>
          </w:p>
        </w:tc>
        <w:tc>
          <w:tcPr>
            <w:tcW w:w="5641" w:type="dxa"/>
            <w:shd w:val="clear" w:color="auto" w:fill="auto"/>
            <w:vAlign w:val="center"/>
          </w:tcPr>
          <w:p w14:paraId="1860B351" w14:textId="42720C15" w:rsidR="00B250A2" w:rsidRPr="00471175" w:rsidRDefault="00B250A2" w:rsidP="00B250A2">
            <w:pPr>
              <w:snapToGrid w:val="0"/>
              <w:spacing w:before="0" w:after="0" w:line="0" w:lineRule="atLeast"/>
              <w:ind w:rightChars="-31" w:right="-74"/>
            </w:pPr>
            <w:r w:rsidRPr="00471175">
              <w:t>楊金峰</w:t>
            </w:r>
            <w:r w:rsidRPr="00471175">
              <w:t xml:space="preserve"> (</w:t>
            </w:r>
            <w:r w:rsidRPr="00471175">
              <w:t>股票投資部</w:t>
            </w:r>
            <w:r w:rsidRPr="00471175">
              <w:t>/</w:t>
            </w:r>
            <w:r w:rsidRPr="00471175">
              <w:t>資深協理</w:t>
            </w:r>
            <w:r w:rsidRPr="00471175">
              <w:t>)</w:t>
            </w:r>
          </w:p>
        </w:tc>
      </w:tr>
      <w:tr w:rsidR="00B250A2" w:rsidRPr="00471175" w14:paraId="36DCF122" w14:textId="77777777" w:rsidTr="00C2753E">
        <w:trPr>
          <w:jc w:val="center"/>
        </w:trPr>
        <w:tc>
          <w:tcPr>
            <w:tcW w:w="1731" w:type="dxa"/>
            <w:vMerge/>
            <w:shd w:val="clear" w:color="auto" w:fill="auto"/>
            <w:vAlign w:val="center"/>
          </w:tcPr>
          <w:p w14:paraId="4C4B49ED" w14:textId="77777777" w:rsidR="00B250A2" w:rsidRPr="00471175" w:rsidRDefault="00B250A2" w:rsidP="00B250A2">
            <w:pPr>
              <w:snapToGrid w:val="0"/>
              <w:spacing w:before="0" w:after="0" w:line="0" w:lineRule="atLeast"/>
            </w:pPr>
          </w:p>
        </w:tc>
        <w:tc>
          <w:tcPr>
            <w:tcW w:w="5641" w:type="dxa"/>
            <w:shd w:val="clear" w:color="auto" w:fill="auto"/>
            <w:vAlign w:val="center"/>
          </w:tcPr>
          <w:p w14:paraId="7F5FF909" w14:textId="77777777" w:rsidR="00B250A2" w:rsidRPr="00471175" w:rsidRDefault="00B250A2" w:rsidP="00B250A2">
            <w:pPr>
              <w:snapToGrid w:val="0"/>
              <w:spacing w:before="0" w:after="0" w:line="0" w:lineRule="atLeast"/>
              <w:ind w:rightChars="-37" w:right="-89"/>
            </w:pPr>
            <w:r w:rsidRPr="00471175">
              <w:t>趙均庭</w:t>
            </w:r>
            <w:r w:rsidRPr="00471175">
              <w:t xml:space="preserve"> (</w:t>
            </w:r>
            <w:r w:rsidRPr="00471175">
              <w:t>風險管理部</w:t>
            </w:r>
            <w:r w:rsidRPr="00471175">
              <w:t>/</w:t>
            </w:r>
            <w:r w:rsidRPr="00471175">
              <w:t>經理</w:t>
            </w:r>
            <w:r w:rsidRPr="00471175">
              <w:t>)</w:t>
            </w:r>
          </w:p>
        </w:tc>
      </w:tr>
      <w:tr w:rsidR="00B250A2" w:rsidRPr="00471175" w14:paraId="06CD769F" w14:textId="77777777" w:rsidTr="00C2753E">
        <w:trPr>
          <w:jc w:val="center"/>
        </w:trPr>
        <w:tc>
          <w:tcPr>
            <w:tcW w:w="1731" w:type="dxa"/>
            <w:vMerge w:val="restart"/>
            <w:shd w:val="clear" w:color="auto" w:fill="auto"/>
            <w:vAlign w:val="center"/>
          </w:tcPr>
          <w:p w14:paraId="551B75F9" w14:textId="77777777" w:rsidR="00B250A2" w:rsidRPr="00471175" w:rsidRDefault="00B250A2" w:rsidP="00B250A2">
            <w:pPr>
              <w:snapToGrid w:val="0"/>
              <w:spacing w:before="0" w:after="0" w:line="0" w:lineRule="atLeast"/>
            </w:pPr>
            <w:r w:rsidRPr="00471175">
              <w:t>摩根投信</w:t>
            </w:r>
          </w:p>
        </w:tc>
        <w:tc>
          <w:tcPr>
            <w:tcW w:w="5641" w:type="dxa"/>
            <w:shd w:val="clear" w:color="auto" w:fill="auto"/>
            <w:vAlign w:val="center"/>
          </w:tcPr>
          <w:p w14:paraId="1989BC62" w14:textId="77777777" w:rsidR="00B250A2" w:rsidRPr="00471175" w:rsidRDefault="00B250A2" w:rsidP="00B250A2">
            <w:pPr>
              <w:snapToGrid w:val="0"/>
              <w:spacing w:before="0" w:after="0" w:line="0" w:lineRule="atLeast"/>
            </w:pPr>
            <w:r w:rsidRPr="00471175">
              <w:t>謝瑞妍</w:t>
            </w:r>
            <w:r w:rsidRPr="00471175">
              <w:t xml:space="preserve"> (</w:t>
            </w:r>
            <w:r w:rsidRPr="00471175">
              <w:t>產品策略部</w:t>
            </w:r>
            <w:r w:rsidRPr="00471175">
              <w:t>/</w:t>
            </w:r>
            <w:r w:rsidRPr="00471175">
              <w:t>執行董事</w:t>
            </w:r>
            <w:r w:rsidRPr="00471175">
              <w:t>)</w:t>
            </w:r>
          </w:p>
        </w:tc>
      </w:tr>
      <w:tr w:rsidR="00B250A2" w:rsidRPr="00471175" w14:paraId="3269A609" w14:textId="77777777" w:rsidTr="00C2753E">
        <w:trPr>
          <w:trHeight w:val="281"/>
          <w:jc w:val="center"/>
        </w:trPr>
        <w:tc>
          <w:tcPr>
            <w:tcW w:w="1731" w:type="dxa"/>
            <w:vMerge/>
            <w:shd w:val="clear" w:color="auto" w:fill="auto"/>
            <w:vAlign w:val="center"/>
          </w:tcPr>
          <w:p w14:paraId="134C6251" w14:textId="77777777" w:rsidR="00B250A2" w:rsidRPr="00471175" w:rsidRDefault="00B250A2" w:rsidP="00B250A2">
            <w:pPr>
              <w:snapToGrid w:val="0"/>
              <w:spacing w:before="0" w:after="0" w:line="0" w:lineRule="atLeast"/>
            </w:pPr>
          </w:p>
        </w:tc>
        <w:tc>
          <w:tcPr>
            <w:tcW w:w="5641" w:type="dxa"/>
            <w:shd w:val="clear" w:color="auto" w:fill="auto"/>
            <w:vAlign w:val="center"/>
          </w:tcPr>
          <w:p w14:paraId="74648BDF" w14:textId="77777777" w:rsidR="00B250A2" w:rsidRPr="00471175" w:rsidRDefault="00B250A2" w:rsidP="00B250A2">
            <w:pPr>
              <w:snapToGrid w:val="0"/>
              <w:spacing w:before="0" w:after="0" w:line="0" w:lineRule="atLeast"/>
            </w:pPr>
            <w:r w:rsidRPr="00471175">
              <w:t>潘怡如</w:t>
            </w:r>
            <w:r w:rsidRPr="00471175">
              <w:t xml:space="preserve"> (</w:t>
            </w:r>
            <w:r w:rsidRPr="00471175">
              <w:t>資訊與行政管理事業部</w:t>
            </w:r>
            <w:r w:rsidRPr="00471175">
              <w:t>/</w:t>
            </w:r>
            <w:r w:rsidRPr="00471175">
              <w:t>執行董事</w:t>
            </w:r>
            <w:r w:rsidRPr="00471175">
              <w:t>)</w:t>
            </w:r>
          </w:p>
        </w:tc>
      </w:tr>
      <w:tr w:rsidR="00B250A2" w:rsidRPr="00471175" w14:paraId="03D0A527" w14:textId="77777777" w:rsidTr="00C2753E">
        <w:trPr>
          <w:trHeight w:val="243"/>
          <w:jc w:val="center"/>
        </w:trPr>
        <w:tc>
          <w:tcPr>
            <w:tcW w:w="1731" w:type="dxa"/>
            <w:vMerge/>
            <w:shd w:val="clear" w:color="auto" w:fill="auto"/>
            <w:vAlign w:val="center"/>
          </w:tcPr>
          <w:p w14:paraId="1A1370DA" w14:textId="77777777" w:rsidR="00B250A2" w:rsidRPr="00471175" w:rsidRDefault="00B250A2" w:rsidP="00B250A2">
            <w:pPr>
              <w:snapToGrid w:val="0"/>
              <w:spacing w:before="0" w:after="0" w:line="0" w:lineRule="atLeast"/>
            </w:pPr>
          </w:p>
        </w:tc>
        <w:tc>
          <w:tcPr>
            <w:tcW w:w="5641" w:type="dxa"/>
            <w:shd w:val="clear" w:color="auto" w:fill="auto"/>
            <w:vAlign w:val="center"/>
          </w:tcPr>
          <w:p w14:paraId="76DD1CE8" w14:textId="77777777" w:rsidR="00B250A2" w:rsidRPr="00471175" w:rsidRDefault="00B250A2" w:rsidP="00B250A2">
            <w:pPr>
              <w:snapToGrid w:val="0"/>
              <w:spacing w:before="0" w:after="0" w:line="0" w:lineRule="atLeast"/>
            </w:pPr>
            <w:r w:rsidRPr="00471175">
              <w:t>戴慕浩</w:t>
            </w:r>
            <w:r w:rsidRPr="00471175">
              <w:t xml:space="preserve"> (</w:t>
            </w:r>
            <w:r w:rsidRPr="00471175">
              <w:t>投資管理</w:t>
            </w:r>
            <w:r w:rsidRPr="00471175">
              <w:t>/</w:t>
            </w:r>
            <w:r w:rsidRPr="00471175">
              <w:t>執行董事</w:t>
            </w:r>
            <w:r w:rsidRPr="00471175">
              <w:t>)</w:t>
            </w:r>
          </w:p>
        </w:tc>
      </w:tr>
      <w:tr w:rsidR="00B250A2" w:rsidRPr="00471175" w14:paraId="6C1AB442" w14:textId="77777777" w:rsidTr="00C2753E">
        <w:trPr>
          <w:trHeight w:val="261"/>
          <w:jc w:val="center"/>
        </w:trPr>
        <w:tc>
          <w:tcPr>
            <w:tcW w:w="1731" w:type="dxa"/>
            <w:vMerge/>
            <w:shd w:val="clear" w:color="auto" w:fill="auto"/>
            <w:vAlign w:val="center"/>
          </w:tcPr>
          <w:p w14:paraId="765C6B7B" w14:textId="77777777" w:rsidR="00B250A2" w:rsidRPr="00471175" w:rsidRDefault="00B250A2" w:rsidP="00B250A2">
            <w:pPr>
              <w:snapToGrid w:val="0"/>
              <w:spacing w:before="0" w:after="0" w:line="0" w:lineRule="atLeast"/>
            </w:pPr>
          </w:p>
        </w:tc>
        <w:tc>
          <w:tcPr>
            <w:tcW w:w="5641" w:type="dxa"/>
            <w:shd w:val="clear" w:color="auto" w:fill="auto"/>
            <w:vAlign w:val="center"/>
          </w:tcPr>
          <w:p w14:paraId="5294553A" w14:textId="77777777" w:rsidR="00B250A2" w:rsidRPr="00471175" w:rsidRDefault="00B250A2" w:rsidP="00B250A2">
            <w:pPr>
              <w:snapToGrid w:val="0"/>
              <w:spacing w:before="0" w:after="0" w:line="0" w:lineRule="atLeast"/>
            </w:pPr>
            <w:r w:rsidRPr="00471175">
              <w:t>施竣馨</w:t>
            </w:r>
            <w:r w:rsidRPr="00471175">
              <w:t xml:space="preserve"> (</w:t>
            </w:r>
            <w:r w:rsidRPr="00471175">
              <w:t>法令遵循</w:t>
            </w:r>
            <w:r w:rsidRPr="00471175">
              <w:t>/</w:t>
            </w:r>
            <w:r w:rsidRPr="00471175">
              <w:t>副總</w:t>
            </w:r>
            <w:r w:rsidRPr="00471175">
              <w:t>)</w:t>
            </w:r>
          </w:p>
        </w:tc>
      </w:tr>
      <w:tr w:rsidR="00B250A2" w:rsidRPr="00471175" w14:paraId="6B244F58" w14:textId="77777777" w:rsidTr="00C2753E">
        <w:trPr>
          <w:trHeight w:val="261"/>
          <w:jc w:val="center"/>
        </w:trPr>
        <w:tc>
          <w:tcPr>
            <w:tcW w:w="1731" w:type="dxa"/>
            <w:vMerge/>
            <w:shd w:val="clear" w:color="auto" w:fill="auto"/>
            <w:vAlign w:val="center"/>
          </w:tcPr>
          <w:p w14:paraId="578236CB" w14:textId="77777777" w:rsidR="00B250A2" w:rsidRPr="00471175" w:rsidRDefault="00B250A2" w:rsidP="00B250A2">
            <w:pPr>
              <w:snapToGrid w:val="0"/>
              <w:spacing w:before="0" w:after="0" w:line="0" w:lineRule="atLeast"/>
            </w:pPr>
          </w:p>
        </w:tc>
        <w:tc>
          <w:tcPr>
            <w:tcW w:w="5641" w:type="dxa"/>
            <w:shd w:val="clear" w:color="auto" w:fill="auto"/>
            <w:vAlign w:val="center"/>
          </w:tcPr>
          <w:p w14:paraId="397CFC76" w14:textId="77777777" w:rsidR="00B250A2" w:rsidRPr="00471175" w:rsidRDefault="00B250A2" w:rsidP="00B250A2">
            <w:pPr>
              <w:snapToGrid w:val="0"/>
              <w:spacing w:before="0" w:after="0" w:line="0" w:lineRule="atLeast"/>
            </w:pPr>
            <w:r w:rsidRPr="00471175">
              <w:t>黃筑健</w:t>
            </w:r>
            <w:r w:rsidRPr="00471175">
              <w:t xml:space="preserve"> (</w:t>
            </w:r>
            <w:r w:rsidRPr="00471175">
              <w:t>營運風險管理</w:t>
            </w:r>
            <w:r w:rsidRPr="00471175">
              <w:t>/</w:t>
            </w:r>
            <w:r w:rsidRPr="00471175">
              <w:t>副總</w:t>
            </w:r>
            <w:r w:rsidRPr="00471175">
              <w:t>)</w:t>
            </w:r>
          </w:p>
        </w:tc>
      </w:tr>
      <w:tr w:rsidR="00B250A2" w:rsidRPr="00471175" w14:paraId="25C9350C" w14:textId="77777777" w:rsidTr="00273058">
        <w:trPr>
          <w:trHeight w:val="321"/>
          <w:jc w:val="center"/>
        </w:trPr>
        <w:tc>
          <w:tcPr>
            <w:tcW w:w="1731" w:type="dxa"/>
            <w:vMerge/>
            <w:shd w:val="clear" w:color="auto" w:fill="auto"/>
            <w:vAlign w:val="center"/>
          </w:tcPr>
          <w:p w14:paraId="6B04E0D9" w14:textId="77777777" w:rsidR="00B250A2" w:rsidRPr="00471175" w:rsidRDefault="00B250A2" w:rsidP="00B250A2">
            <w:pPr>
              <w:snapToGrid w:val="0"/>
              <w:spacing w:before="0" w:after="0" w:line="0" w:lineRule="atLeast"/>
            </w:pPr>
          </w:p>
        </w:tc>
        <w:tc>
          <w:tcPr>
            <w:tcW w:w="5641" w:type="dxa"/>
            <w:shd w:val="clear" w:color="auto" w:fill="auto"/>
            <w:vAlign w:val="center"/>
          </w:tcPr>
          <w:p w14:paraId="3532C4AB" w14:textId="3CFF7D22" w:rsidR="00B250A2" w:rsidRPr="00471175" w:rsidRDefault="00B250A2" w:rsidP="00B250A2">
            <w:pPr>
              <w:snapToGrid w:val="0"/>
              <w:spacing w:before="0" w:after="0" w:line="0" w:lineRule="atLeast"/>
            </w:pPr>
            <w:r w:rsidRPr="00471175">
              <w:t>謝耘曦</w:t>
            </w:r>
            <w:r w:rsidRPr="00471175">
              <w:t xml:space="preserve"> (</w:t>
            </w:r>
            <w:r w:rsidRPr="00471175">
              <w:t>產品策略部</w:t>
            </w:r>
            <w:r w:rsidRPr="00471175">
              <w:t>/</w:t>
            </w:r>
            <w:r w:rsidRPr="00471175">
              <w:t>協理</w:t>
            </w:r>
            <w:r w:rsidRPr="00471175">
              <w:t>)</w:t>
            </w:r>
          </w:p>
        </w:tc>
      </w:tr>
      <w:tr w:rsidR="00B250A2" w:rsidRPr="00471175" w14:paraId="6BDE2416" w14:textId="77777777" w:rsidTr="00C2753E">
        <w:trPr>
          <w:jc w:val="center"/>
        </w:trPr>
        <w:tc>
          <w:tcPr>
            <w:tcW w:w="1731" w:type="dxa"/>
            <w:vMerge w:val="restart"/>
            <w:shd w:val="clear" w:color="auto" w:fill="auto"/>
            <w:vAlign w:val="center"/>
          </w:tcPr>
          <w:p w14:paraId="3F2D5E42" w14:textId="77777777" w:rsidR="00B250A2" w:rsidRPr="00471175" w:rsidRDefault="00B250A2" w:rsidP="00B250A2">
            <w:pPr>
              <w:snapToGrid w:val="0"/>
              <w:spacing w:before="0" w:after="0" w:line="0" w:lineRule="atLeast"/>
            </w:pPr>
            <w:r w:rsidRPr="00471175">
              <w:t>聯博投信</w:t>
            </w:r>
          </w:p>
        </w:tc>
        <w:tc>
          <w:tcPr>
            <w:tcW w:w="5641" w:type="dxa"/>
            <w:shd w:val="clear" w:color="auto" w:fill="auto"/>
            <w:vAlign w:val="center"/>
          </w:tcPr>
          <w:p w14:paraId="4A85D13C" w14:textId="77777777" w:rsidR="00B250A2" w:rsidRPr="00471175" w:rsidRDefault="00B250A2" w:rsidP="00B250A2">
            <w:pPr>
              <w:snapToGrid w:val="0"/>
              <w:spacing w:before="0" w:after="0" w:line="0" w:lineRule="atLeast"/>
            </w:pPr>
            <w:r w:rsidRPr="00471175">
              <w:t>王東平</w:t>
            </w:r>
            <w:r w:rsidRPr="00471175">
              <w:t xml:space="preserve"> (</w:t>
            </w:r>
            <w:r w:rsidRPr="00471175">
              <w:t>法令遵循部</w:t>
            </w:r>
            <w:r w:rsidRPr="00471175">
              <w:t>/</w:t>
            </w:r>
            <w:r w:rsidRPr="00471175">
              <w:t>副總</w:t>
            </w:r>
            <w:r w:rsidRPr="00471175">
              <w:t>)</w:t>
            </w:r>
          </w:p>
        </w:tc>
      </w:tr>
      <w:tr w:rsidR="00B250A2" w:rsidRPr="00471175" w14:paraId="677AF159" w14:textId="77777777" w:rsidTr="00C2753E">
        <w:trPr>
          <w:jc w:val="center"/>
        </w:trPr>
        <w:tc>
          <w:tcPr>
            <w:tcW w:w="1731" w:type="dxa"/>
            <w:vMerge/>
            <w:shd w:val="clear" w:color="auto" w:fill="auto"/>
            <w:vAlign w:val="center"/>
          </w:tcPr>
          <w:p w14:paraId="441B4465" w14:textId="77777777" w:rsidR="00B250A2" w:rsidRPr="00471175" w:rsidRDefault="00B250A2" w:rsidP="00B250A2">
            <w:pPr>
              <w:snapToGrid w:val="0"/>
              <w:spacing w:before="0" w:after="0" w:line="0" w:lineRule="atLeast"/>
            </w:pPr>
          </w:p>
        </w:tc>
        <w:tc>
          <w:tcPr>
            <w:tcW w:w="5641" w:type="dxa"/>
            <w:shd w:val="clear" w:color="auto" w:fill="auto"/>
            <w:vAlign w:val="center"/>
          </w:tcPr>
          <w:p w14:paraId="651BBFD0" w14:textId="77777777" w:rsidR="00B250A2" w:rsidRPr="00471175" w:rsidRDefault="00B250A2" w:rsidP="00B250A2">
            <w:pPr>
              <w:snapToGrid w:val="0"/>
              <w:spacing w:before="0" w:after="0" w:line="0" w:lineRule="atLeast"/>
            </w:pPr>
            <w:r w:rsidRPr="00471175">
              <w:t>徐正達</w:t>
            </w:r>
            <w:r w:rsidRPr="00471175">
              <w:t xml:space="preserve"> (</w:t>
            </w:r>
            <w:r w:rsidRPr="00471175">
              <w:t>股票投資部</w:t>
            </w:r>
            <w:r w:rsidRPr="00471175">
              <w:t>/</w:t>
            </w:r>
            <w:r w:rsidRPr="00471175">
              <w:t>副總</w:t>
            </w:r>
            <w:r w:rsidRPr="00471175">
              <w:t>)</w:t>
            </w:r>
          </w:p>
        </w:tc>
      </w:tr>
      <w:tr w:rsidR="00B250A2" w:rsidRPr="00471175" w14:paraId="3973353D" w14:textId="77777777" w:rsidTr="00C2753E">
        <w:trPr>
          <w:jc w:val="center"/>
        </w:trPr>
        <w:tc>
          <w:tcPr>
            <w:tcW w:w="1731" w:type="dxa"/>
            <w:vMerge/>
            <w:shd w:val="clear" w:color="auto" w:fill="auto"/>
            <w:vAlign w:val="center"/>
          </w:tcPr>
          <w:p w14:paraId="7289D7B1" w14:textId="77777777" w:rsidR="00B250A2" w:rsidRPr="00471175" w:rsidRDefault="00B250A2" w:rsidP="00B250A2">
            <w:pPr>
              <w:snapToGrid w:val="0"/>
              <w:spacing w:before="0" w:after="0" w:line="0" w:lineRule="atLeast"/>
            </w:pPr>
          </w:p>
        </w:tc>
        <w:tc>
          <w:tcPr>
            <w:tcW w:w="5641" w:type="dxa"/>
            <w:shd w:val="clear" w:color="auto" w:fill="auto"/>
            <w:vAlign w:val="center"/>
          </w:tcPr>
          <w:p w14:paraId="2D24A4E0" w14:textId="77777777" w:rsidR="00B250A2" w:rsidRPr="00471175" w:rsidRDefault="00B250A2" w:rsidP="00B250A2">
            <w:pPr>
              <w:snapToGrid w:val="0"/>
              <w:spacing w:before="0" w:after="0" w:line="0" w:lineRule="atLeast"/>
            </w:pPr>
            <w:r w:rsidRPr="00471175">
              <w:t>蘇智蘋</w:t>
            </w:r>
            <w:r w:rsidRPr="00471175">
              <w:t xml:space="preserve"> (</w:t>
            </w:r>
            <w:r w:rsidRPr="00471175">
              <w:t>行銷部</w:t>
            </w:r>
            <w:r w:rsidRPr="00471175">
              <w:t>/</w:t>
            </w:r>
            <w:r w:rsidRPr="00471175">
              <w:t>副總</w:t>
            </w:r>
            <w:r w:rsidRPr="00471175">
              <w:t>)</w:t>
            </w:r>
          </w:p>
        </w:tc>
      </w:tr>
      <w:tr w:rsidR="00B250A2" w:rsidRPr="00471175" w14:paraId="34E30546" w14:textId="77777777" w:rsidTr="00C2753E">
        <w:trPr>
          <w:jc w:val="center"/>
        </w:trPr>
        <w:tc>
          <w:tcPr>
            <w:tcW w:w="1731" w:type="dxa"/>
            <w:vMerge/>
            <w:shd w:val="clear" w:color="auto" w:fill="auto"/>
            <w:vAlign w:val="center"/>
          </w:tcPr>
          <w:p w14:paraId="13CE4466" w14:textId="77777777" w:rsidR="00B250A2" w:rsidRPr="00471175" w:rsidRDefault="00B250A2" w:rsidP="00B250A2">
            <w:pPr>
              <w:snapToGrid w:val="0"/>
              <w:spacing w:before="0" w:after="0" w:line="0" w:lineRule="atLeast"/>
            </w:pPr>
          </w:p>
        </w:tc>
        <w:tc>
          <w:tcPr>
            <w:tcW w:w="5641" w:type="dxa"/>
            <w:shd w:val="clear" w:color="auto" w:fill="auto"/>
            <w:vAlign w:val="center"/>
          </w:tcPr>
          <w:p w14:paraId="6B22AB5C" w14:textId="77777777" w:rsidR="00B250A2" w:rsidRPr="00471175" w:rsidRDefault="00B250A2" w:rsidP="00B250A2">
            <w:pPr>
              <w:snapToGrid w:val="0"/>
              <w:spacing w:before="0" w:after="0" w:line="0" w:lineRule="atLeast"/>
            </w:pPr>
            <w:r w:rsidRPr="00471175">
              <w:t>江常維</w:t>
            </w:r>
            <w:r w:rsidRPr="00471175">
              <w:t xml:space="preserve"> (</w:t>
            </w:r>
            <w:r w:rsidRPr="00471175">
              <w:t>行銷部</w:t>
            </w:r>
            <w:r w:rsidRPr="00471175">
              <w:t>/</w:t>
            </w:r>
            <w:r w:rsidRPr="00471175">
              <w:t>副總</w:t>
            </w:r>
            <w:r w:rsidRPr="00471175">
              <w:t>)</w:t>
            </w:r>
          </w:p>
        </w:tc>
      </w:tr>
    </w:tbl>
    <w:p w14:paraId="49801B6A" w14:textId="77777777" w:rsidR="004B7525" w:rsidRPr="00471175" w:rsidRDefault="004B7525" w:rsidP="00ED7423">
      <w:pPr>
        <w:spacing w:before="0" w:after="0" w:line="20" w:lineRule="exact"/>
      </w:pPr>
    </w:p>
    <w:sectPr w:rsidR="004B7525" w:rsidRPr="00471175" w:rsidSect="00FB5B4C">
      <w:headerReference w:type="default" r:id="rId29"/>
      <w:footerReference w:type="default" r:id="rId30"/>
      <w:pgSz w:w="11906" w:h="16838"/>
      <w:pgMar w:top="1440" w:right="1440" w:bottom="1440" w:left="1440" w:header="567" w:footer="4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8C544" w14:textId="77777777" w:rsidR="00CB6B00" w:rsidRDefault="00CB6B00" w:rsidP="00246539">
      <w:pPr>
        <w:spacing w:before="0" w:after="0" w:line="240" w:lineRule="auto"/>
      </w:pPr>
      <w:r>
        <w:separator/>
      </w:r>
    </w:p>
  </w:endnote>
  <w:endnote w:type="continuationSeparator" w:id="0">
    <w:p w14:paraId="7FB9A43D" w14:textId="77777777" w:rsidR="00CB6B00" w:rsidRDefault="00CB6B00" w:rsidP="00246539">
      <w:pPr>
        <w:spacing w:before="0" w:after="0" w:line="240" w:lineRule="auto"/>
      </w:pPr>
      <w:r>
        <w:continuationSeparator/>
      </w:r>
    </w:p>
  </w:endnote>
  <w:endnote w:type="continuationNotice" w:id="1">
    <w:p w14:paraId="6ED7D395" w14:textId="77777777" w:rsidR="00CB6B00" w:rsidRDefault="00CB6B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EYInterstate">
    <w:charset w:val="00"/>
    <w:family w:val="auto"/>
    <w:pitch w:val="variable"/>
    <w:sig w:usb0="800002AF" w:usb1="5000204A"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新細明體, PMingLiU">
    <w:altName w:val="新細明體"/>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184588"/>
      <w:docPartObj>
        <w:docPartGallery w:val="Page Numbers (Bottom of Page)"/>
        <w:docPartUnique/>
      </w:docPartObj>
    </w:sdtPr>
    <w:sdtEndPr/>
    <w:sdtContent>
      <w:p w14:paraId="75971172" w14:textId="4D470338" w:rsidR="000F6BC2" w:rsidRDefault="000F6BC2">
        <w:pPr>
          <w:pStyle w:val="a8"/>
          <w:jc w:val="center"/>
        </w:pPr>
        <w:r>
          <w:fldChar w:fldCharType="begin"/>
        </w:r>
        <w:r>
          <w:instrText>PAGE   \* MERGEFORMAT</w:instrText>
        </w:r>
        <w:r>
          <w:fldChar w:fldCharType="separate"/>
        </w:r>
        <w:r>
          <w:rPr>
            <w:lang w:val="zh-TW"/>
          </w:rPr>
          <w:t>2</w:t>
        </w:r>
        <w:r>
          <w:fldChar w:fldCharType="end"/>
        </w:r>
      </w:p>
    </w:sdtContent>
  </w:sdt>
  <w:p w14:paraId="5E6F620A" w14:textId="77777777" w:rsidR="000F6BC2" w:rsidRDefault="000F6B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6F798" w14:textId="77777777" w:rsidR="00CB6B00" w:rsidRDefault="00CB6B00" w:rsidP="00246539">
      <w:pPr>
        <w:spacing w:before="0" w:after="0" w:line="240" w:lineRule="auto"/>
      </w:pPr>
      <w:r>
        <w:separator/>
      </w:r>
    </w:p>
  </w:footnote>
  <w:footnote w:type="continuationSeparator" w:id="0">
    <w:p w14:paraId="5066E9DE" w14:textId="77777777" w:rsidR="00CB6B00" w:rsidRDefault="00CB6B00" w:rsidP="00246539">
      <w:pPr>
        <w:spacing w:before="0" w:after="0" w:line="240" w:lineRule="auto"/>
      </w:pPr>
      <w:r>
        <w:continuationSeparator/>
      </w:r>
    </w:p>
  </w:footnote>
  <w:footnote w:type="continuationNotice" w:id="1">
    <w:p w14:paraId="460C59BC" w14:textId="77777777" w:rsidR="00CB6B00" w:rsidRDefault="00CB6B0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A27D3" w14:textId="5437410D" w:rsidR="00777A12" w:rsidRDefault="00777A12" w:rsidP="002E07BA">
    <w:pPr>
      <w:pStyle w:val="a6"/>
      <w:spacing w:before="0" w:after="0" w:line="240" w:lineRule="auto"/>
      <w:jc w:val="right"/>
      <w:rPr>
        <w:rFonts w:eastAsia="DengXian"/>
        <w:kern w:val="2"/>
        <w:lang w:eastAsia="zh-CN"/>
      </w:rPr>
    </w:pPr>
  </w:p>
  <w:p w14:paraId="4C5CCF9B" w14:textId="68A9895C" w:rsidR="002E07BA" w:rsidRPr="008029CF" w:rsidRDefault="007C3F1A" w:rsidP="007C3F1A">
    <w:pPr>
      <w:pStyle w:val="a6"/>
      <w:spacing w:before="0" w:after="0" w:line="240" w:lineRule="auto"/>
      <w:ind w:right="-472"/>
      <w:jc w:val="right"/>
      <w:rPr>
        <w:rFonts w:ascii="微軟正黑體" w:eastAsia="微軟正黑體" w:hAnsi="微軟正黑體"/>
        <w:i/>
        <w:iCs/>
        <w:color w:val="808080" w:themeColor="background1" w:themeShade="80"/>
        <w:kern w:val="2"/>
        <w:sz w:val="18"/>
        <w:szCs w:val="18"/>
      </w:rPr>
    </w:pPr>
    <w:r w:rsidRPr="008029CF">
      <w:rPr>
        <w:rFonts w:ascii="微軟正黑體" w:eastAsia="微軟正黑體" w:hAnsi="微軟正黑體" w:hint="eastAsia"/>
        <w:i/>
        <w:iCs/>
        <w:color w:val="808080" w:themeColor="background1" w:themeShade="80"/>
        <w:kern w:val="2"/>
        <w:sz w:val="18"/>
        <w:szCs w:val="18"/>
      </w:rPr>
      <w:t>113</w:t>
    </w:r>
    <w:r w:rsidRPr="008029CF">
      <w:rPr>
        <w:rFonts w:ascii="微軟正黑體" w:eastAsia="微軟正黑體" w:hAnsi="微軟正黑體"/>
        <w:i/>
        <w:iCs/>
        <w:color w:val="808080" w:themeColor="background1" w:themeShade="80"/>
        <w:kern w:val="2"/>
        <w:sz w:val="18"/>
        <w:szCs w:val="18"/>
      </w:rPr>
      <w:t>.</w:t>
    </w:r>
    <w:r w:rsidRPr="008029CF">
      <w:rPr>
        <w:rFonts w:ascii="微軟正黑體" w:eastAsia="微軟正黑體" w:hAnsi="微軟正黑體" w:hint="eastAsia"/>
        <w:i/>
        <w:iCs/>
        <w:color w:val="808080" w:themeColor="background1" w:themeShade="80"/>
        <w:kern w:val="2"/>
        <w:sz w:val="18"/>
        <w:szCs w:val="18"/>
      </w:rPr>
      <w:t>3</w:t>
    </w:r>
    <w:r w:rsidRPr="008029CF">
      <w:rPr>
        <w:rFonts w:ascii="微軟正黑體" w:eastAsia="微軟正黑體" w:hAnsi="微軟正黑體"/>
        <w:i/>
        <w:iCs/>
        <w:color w:val="808080" w:themeColor="background1" w:themeShade="80"/>
        <w:kern w:val="2"/>
        <w:sz w:val="18"/>
        <w:szCs w:val="18"/>
      </w:rPr>
      <w:t>.</w:t>
    </w:r>
    <w:r w:rsidRPr="008029CF">
      <w:rPr>
        <w:rFonts w:ascii="微軟正黑體" w:eastAsia="微軟正黑體" w:hAnsi="微軟正黑體" w:hint="eastAsia"/>
        <w:i/>
        <w:iCs/>
        <w:color w:val="808080" w:themeColor="background1" w:themeShade="80"/>
        <w:kern w:val="2"/>
        <w:sz w:val="18"/>
        <w:szCs w:val="18"/>
      </w:rPr>
      <w:t>29金管證投字第1130334560號函</w:t>
    </w:r>
    <w:r w:rsidRPr="008029CF">
      <w:rPr>
        <w:rFonts w:ascii="微軟正黑體" w:eastAsia="微軟正黑體" w:hAnsi="微軟正黑體"/>
        <w:i/>
        <w:iCs/>
        <w:color w:val="808080" w:themeColor="background1" w:themeShade="80"/>
        <w:kern w:val="2"/>
        <w:sz w:val="18"/>
        <w:szCs w:val="18"/>
      </w:rPr>
      <w:t>_</w:t>
    </w:r>
    <w:r w:rsidRPr="008029CF">
      <w:rPr>
        <w:rFonts w:ascii="微軟正黑體" w:eastAsia="微軟正黑體" w:hAnsi="微軟正黑體" w:hint="eastAsia"/>
        <w:i/>
        <w:iCs/>
        <w:color w:val="808080" w:themeColor="background1" w:themeShade="80"/>
        <w:kern w:val="2"/>
        <w:sz w:val="18"/>
        <w:szCs w:val="18"/>
      </w:rPr>
      <w:t>洽悉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793B"/>
    <w:multiLevelType w:val="hybridMultilevel"/>
    <w:tmpl w:val="C6F0991C"/>
    <w:lvl w:ilvl="0" w:tplc="3C9A2BCE">
      <w:start w:val="1"/>
      <w:numFmt w:val="bullet"/>
      <w:lvlText w:val=""/>
      <w:lvlJc w:val="left"/>
      <w:pPr>
        <w:ind w:left="480" w:hanging="480"/>
      </w:pPr>
      <w:rPr>
        <w:rFonts w:ascii="Wingdings" w:hAnsi="Wingdings" w:hint="default"/>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984264"/>
    <w:multiLevelType w:val="hybridMultilevel"/>
    <w:tmpl w:val="7E0063A6"/>
    <w:lvl w:ilvl="0" w:tplc="65E6A16A">
      <w:start w:val="1"/>
      <w:numFmt w:val="taiwaneseCountingThousand"/>
      <w:lvlText w:val="%1、"/>
      <w:lvlJc w:val="left"/>
      <w:pPr>
        <w:ind w:left="34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E602A7"/>
    <w:multiLevelType w:val="hybridMultilevel"/>
    <w:tmpl w:val="9162DDC8"/>
    <w:lvl w:ilvl="0" w:tplc="FFFFFFFF">
      <w:start w:val="1"/>
      <w:numFmt w:val="decimal"/>
      <w:lvlText w:val="(%1)"/>
      <w:lvlJc w:val="left"/>
      <w:pPr>
        <w:ind w:left="653" w:hanging="480"/>
      </w:pPr>
      <w:rPr>
        <w:rFonts w:hint="eastAsia"/>
      </w:rPr>
    </w:lvl>
    <w:lvl w:ilvl="1" w:tplc="FFFFFFFF" w:tentative="1">
      <w:start w:val="1"/>
      <w:numFmt w:val="ideographTraditional"/>
      <w:lvlText w:val="%2、"/>
      <w:lvlJc w:val="left"/>
      <w:pPr>
        <w:ind w:left="1133" w:hanging="480"/>
      </w:pPr>
    </w:lvl>
    <w:lvl w:ilvl="2" w:tplc="FFFFFFFF" w:tentative="1">
      <w:start w:val="1"/>
      <w:numFmt w:val="lowerRoman"/>
      <w:lvlText w:val="%3."/>
      <w:lvlJc w:val="right"/>
      <w:pPr>
        <w:ind w:left="1613" w:hanging="480"/>
      </w:pPr>
    </w:lvl>
    <w:lvl w:ilvl="3" w:tplc="FFFFFFFF" w:tentative="1">
      <w:start w:val="1"/>
      <w:numFmt w:val="decimal"/>
      <w:lvlText w:val="%4."/>
      <w:lvlJc w:val="left"/>
      <w:pPr>
        <w:ind w:left="2093" w:hanging="480"/>
      </w:pPr>
    </w:lvl>
    <w:lvl w:ilvl="4" w:tplc="FFFFFFFF" w:tentative="1">
      <w:start w:val="1"/>
      <w:numFmt w:val="ideographTraditional"/>
      <w:lvlText w:val="%5、"/>
      <w:lvlJc w:val="left"/>
      <w:pPr>
        <w:ind w:left="2573" w:hanging="480"/>
      </w:pPr>
    </w:lvl>
    <w:lvl w:ilvl="5" w:tplc="FFFFFFFF" w:tentative="1">
      <w:start w:val="1"/>
      <w:numFmt w:val="lowerRoman"/>
      <w:lvlText w:val="%6."/>
      <w:lvlJc w:val="right"/>
      <w:pPr>
        <w:ind w:left="3053" w:hanging="480"/>
      </w:pPr>
    </w:lvl>
    <w:lvl w:ilvl="6" w:tplc="FFFFFFFF" w:tentative="1">
      <w:start w:val="1"/>
      <w:numFmt w:val="decimal"/>
      <w:lvlText w:val="%7."/>
      <w:lvlJc w:val="left"/>
      <w:pPr>
        <w:ind w:left="3533" w:hanging="480"/>
      </w:pPr>
    </w:lvl>
    <w:lvl w:ilvl="7" w:tplc="FFFFFFFF" w:tentative="1">
      <w:start w:val="1"/>
      <w:numFmt w:val="ideographTraditional"/>
      <w:lvlText w:val="%8、"/>
      <w:lvlJc w:val="left"/>
      <w:pPr>
        <w:ind w:left="4013" w:hanging="480"/>
      </w:pPr>
    </w:lvl>
    <w:lvl w:ilvl="8" w:tplc="FFFFFFFF" w:tentative="1">
      <w:start w:val="1"/>
      <w:numFmt w:val="lowerRoman"/>
      <w:lvlText w:val="%9."/>
      <w:lvlJc w:val="right"/>
      <w:pPr>
        <w:ind w:left="4493" w:hanging="480"/>
      </w:pPr>
    </w:lvl>
  </w:abstractNum>
  <w:abstractNum w:abstractNumId="3" w15:restartNumberingAfterBreak="0">
    <w:nsid w:val="1A351C8D"/>
    <w:multiLevelType w:val="hybridMultilevel"/>
    <w:tmpl w:val="1052A02A"/>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1ED509F3"/>
    <w:multiLevelType w:val="hybridMultilevel"/>
    <w:tmpl w:val="F034ACD8"/>
    <w:lvl w:ilvl="0" w:tplc="FFFFFFFF">
      <w:start w:val="1"/>
      <w:numFmt w:val="decimal"/>
      <w:lvlText w:val="(%1)"/>
      <w:lvlJc w:val="left"/>
      <w:pPr>
        <w:ind w:left="653" w:hanging="480"/>
      </w:pPr>
      <w:rPr>
        <w:rFonts w:hint="eastAsia"/>
      </w:rPr>
    </w:lvl>
    <w:lvl w:ilvl="1" w:tplc="FFFFFFFF" w:tentative="1">
      <w:start w:val="1"/>
      <w:numFmt w:val="ideographTraditional"/>
      <w:lvlText w:val="%2、"/>
      <w:lvlJc w:val="left"/>
      <w:pPr>
        <w:ind w:left="1133" w:hanging="480"/>
      </w:pPr>
    </w:lvl>
    <w:lvl w:ilvl="2" w:tplc="FFFFFFFF" w:tentative="1">
      <w:start w:val="1"/>
      <w:numFmt w:val="lowerRoman"/>
      <w:lvlText w:val="%3."/>
      <w:lvlJc w:val="right"/>
      <w:pPr>
        <w:ind w:left="1613" w:hanging="480"/>
      </w:pPr>
    </w:lvl>
    <w:lvl w:ilvl="3" w:tplc="FFFFFFFF" w:tentative="1">
      <w:start w:val="1"/>
      <w:numFmt w:val="decimal"/>
      <w:lvlText w:val="%4."/>
      <w:lvlJc w:val="left"/>
      <w:pPr>
        <w:ind w:left="2093" w:hanging="480"/>
      </w:pPr>
    </w:lvl>
    <w:lvl w:ilvl="4" w:tplc="FFFFFFFF" w:tentative="1">
      <w:start w:val="1"/>
      <w:numFmt w:val="ideographTraditional"/>
      <w:lvlText w:val="%5、"/>
      <w:lvlJc w:val="left"/>
      <w:pPr>
        <w:ind w:left="2573" w:hanging="480"/>
      </w:pPr>
    </w:lvl>
    <w:lvl w:ilvl="5" w:tplc="FFFFFFFF" w:tentative="1">
      <w:start w:val="1"/>
      <w:numFmt w:val="lowerRoman"/>
      <w:lvlText w:val="%6."/>
      <w:lvlJc w:val="right"/>
      <w:pPr>
        <w:ind w:left="3053" w:hanging="480"/>
      </w:pPr>
    </w:lvl>
    <w:lvl w:ilvl="6" w:tplc="FFFFFFFF" w:tentative="1">
      <w:start w:val="1"/>
      <w:numFmt w:val="decimal"/>
      <w:lvlText w:val="%7."/>
      <w:lvlJc w:val="left"/>
      <w:pPr>
        <w:ind w:left="3533" w:hanging="480"/>
      </w:pPr>
    </w:lvl>
    <w:lvl w:ilvl="7" w:tplc="FFFFFFFF" w:tentative="1">
      <w:start w:val="1"/>
      <w:numFmt w:val="ideographTraditional"/>
      <w:lvlText w:val="%8、"/>
      <w:lvlJc w:val="left"/>
      <w:pPr>
        <w:ind w:left="4013" w:hanging="480"/>
      </w:pPr>
    </w:lvl>
    <w:lvl w:ilvl="8" w:tplc="FFFFFFFF" w:tentative="1">
      <w:start w:val="1"/>
      <w:numFmt w:val="lowerRoman"/>
      <w:lvlText w:val="%9."/>
      <w:lvlJc w:val="right"/>
      <w:pPr>
        <w:ind w:left="4493" w:hanging="480"/>
      </w:pPr>
    </w:lvl>
  </w:abstractNum>
  <w:abstractNum w:abstractNumId="5" w15:restartNumberingAfterBreak="0">
    <w:nsid w:val="1EFF600B"/>
    <w:multiLevelType w:val="hybridMultilevel"/>
    <w:tmpl w:val="56AA19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13075B1"/>
    <w:multiLevelType w:val="hybridMultilevel"/>
    <w:tmpl w:val="C976547A"/>
    <w:lvl w:ilvl="0" w:tplc="E14E029C">
      <w:start w:val="1"/>
      <w:numFmt w:val="decimal"/>
      <w:lvlText w:val="(%1)"/>
      <w:lvlJc w:val="left"/>
      <w:pPr>
        <w:ind w:left="653" w:hanging="480"/>
      </w:pPr>
      <w:rPr>
        <w:rFonts w:hint="eastAsia"/>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7" w15:restartNumberingAfterBreak="0">
    <w:nsid w:val="214626D6"/>
    <w:multiLevelType w:val="hybridMultilevel"/>
    <w:tmpl w:val="D70A53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2C237B8D"/>
    <w:multiLevelType w:val="hybridMultilevel"/>
    <w:tmpl w:val="B9EABB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3E1034D"/>
    <w:multiLevelType w:val="hybridMultilevel"/>
    <w:tmpl w:val="3724C9CE"/>
    <w:lvl w:ilvl="0" w:tplc="FFFFFFFF">
      <w:start w:val="1"/>
      <w:numFmt w:val="decimal"/>
      <w:lvlText w:val="(%1)"/>
      <w:lvlJc w:val="left"/>
      <w:pPr>
        <w:ind w:left="653" w:hanging="480"/>
      </w:pPr>
      <w:rPr>
        <w:rFonts w:hint="eastAsia"/>
      </w:rPr>
    </w:lvl>
    <w:lvl w:ilvl="1" w:tplc="FFFFFFFF" w:tentative="1">
      <w:start w:val="1"/>
      <w:numFmt w:val="ideographTraditional"/>
      <w:lvlText w:val="%2、"/>
      <w:lvlJc w:val="left"/>
      <w:pPr>
        <w:ind w:left="1133" w:hanging="480"/>
      </w:pPr>
    </w:lvl>
    <w:lvl w:ilvl="2" w:tplc="FFFFFFFF" w:tentative="1">
      <w:start w:val="1"/>
      <w:numFmt w:val="lowerRoman"/>
      <w:lvlText w:val="%3."/>
      <w:lvlJc w:val="right"/>
      <w:pPr>
        <w:ind w:left="1613" w:hanging="480"/>
      </w:pPr>
    </w:lvl>
    <w:lvl w:ilvl="3" w:tplc="FFFFFFFF" w:tentative="1">
      <w:start w:val="1"/>
      <w:numFmt w:val="decimal"/>
      <w:lvlText w:val="%4."/>
      <w:lvlJc w:val="left"/>
      <w:pPr>
        <w:ind w:left="2093" w:hanging="480"/>
      </w:pPr>
    </w:lvl>
    <w:lvl w:ilvl="4" w:tplc="FFFFFFFF" w:tentative="1">
      <w:start w:val="1"/>
      <w:numFmt w:val="ideographTraditional"/>
      <w:lvlText w:val="%5、"/>
      <w:lvlJc w:val="left"/>
      <w:pPr>
        <w:ind w:left="2573" w:hanging="480"/>
      </w:pPr>
    </w:lvl>
    <w:lvl w:ilvl="5" w:tplc="FFFFFFFF" w:tentative="1">
      <w:start w:val="1"/>
      <w:numFmt w:val="lowerRoman"/>
      <w:lvlText w:val="%6."/>
      <w:lvlJc w:val="right"/>
      <w:pPr>
        <w:ind w:left="3053" w:hanging="480"/>
      </w:pPr>
    </w:lvl>
    <w:lvl w:ilvl="6" w:tplc="FFFFFFFF" w:tentative="1">
      <w:start w:val="1"/>
      <w:numFmt w:val="decimal"/>
      <w:lvlText w:val="%7."/>
      <w:lvlJc w:val="left"/>
      <w:pPr>
        <w:ind w:left="3533" w:hanging="480"/>
      </w:pPr>
    </w:lvl>
    <w:lvl w:ilvl="7" w:tplc="FFFFFFFF" w:tentative="1">
      <w:start w:val="1"/>
      <w:numFmt w:val="ideographTraditional"/>
      <w:lvlText w:val="%8、"/>
      <w:lvlJc w:val="left"/>
      <w:pPr>
        <w:ind w:left="4013" w:hanging="480"/>
      </w:pPr>
    </w:lvl>
    <w:lvl w:ilvl="8" w:tplc="FFFFFFFF" w:tentative="1">
      <w:start w:val="1"/>
      <w:numFmt w:val="lowerRoman"/>
      <w:lvlText w:val="%9."/>
      <w:lvlJc w:val="right"/>
      <w:pPr>
        <w:ind w:left="4493" w:hanging="480"/>
      </w:pPr>
    </w:lvl>
  </w:abstractNum>
  <w:abstractNum w:abstractNumId="10" w15:restartNumberingAfterBreak="0">
    <w:nsid w:val="392D2238"/>
    <w:multiLevelType w:val="hybridMultilevel"/>
    <w:tmpl w:val="02A249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A33B9A"/>
    <w:multiLevelType w:val="hybridMultilevel"/>
    <w:tmpl w:val="C976547A"/>
    <w:lvl w:ilvl="0" w:tplc="FFFFFFFF">
      <w:start w:val="1"/>
      <w:numFmt w:val="decimal"/>
      <w:lvlText w:val="(%1)"/>
      <w:lvlJc w:val="left"/>
      <w:pPr>
        <w:ind w:left="653" w:hanging="480"/>
      </w:pPr>
      <w:rPr>
        <w:rFonts w:hint="eastAsia"/>
      </w:rPr>
    </w:lvl>
    <w:lvl w:ilvl="1" w:tplc="FFFFFFFF" w:tentative="1">
      <w:start w:val="1"/>
      <w:numFmt w:val="ideographTraditional"/>
      <w:lvlText w:val="%2、"/>
      <w:lvlJc w:val="left"/>
      <w:pPr>
        <w:ind w:left="1133" w:hanging="480"/>
      </w:pPr>
    </w:lvl>
    <w:lvl w:ilvl="2" w:tplc="FFFFFFFF" w:tentative="1">
      <w:start w:val="1"/>
      <w:numFmt w:val="lowerRoman"/>
      <w:lvlText w:val="%3."/>
      <w:lvlJc w:val="right"/>
      <w:pPr>
        <w:ind w:left="1613" w:hanging="480"/>
      </w:pPr>
    </w:lvl>
    <w:lvl w:ilvl="3" w:tplc="FFFFFFFF" w:tentative="1">
      <w:start w:val="1"/>
      <w:numFmt w:val="decimal"/>
      <w:lvlText w:val="%4."/>
      <w:lvlJc w:val="left"/>
      <w:pPr>
        <w:ind w:left="2093" w:hanging="480"/>
      </w:pPr>
    </w:lvl>
    <w:lvl w:ilvl="4" w:tplc="FFFFFFFF" w:tentative="1">
      <w:start w:val="1"/>
      <w:numFmt w:val="ideographTraditional"/>
      <w:lvlText w:val="%5、"/>
      <w:lvlJc w:val="left"/>
      <w:pPr>
        <w:ind w:left="2573" w:hanging="480"/>
      </w:pPr>
    </w:lvl>
    <w:lvl w:ilvl="5" w:tplc="FFFFFFFF" w:tentative="1">
      <w:start w:val="1"/>
      <w:numFmt w:val="lowerRoman"/>
      <w:lvlText w:val="%6."/>
      <w:lvlJc w:val="right"/>
      <w:pPr>
        <w:ind w:left="3053" w:hanging="480"/>
      </w:pPr>
    </w:lvl>
    <w:lvl w:ilvl="6" w:tplc="FFFFFFFF" w:tentative="1">
      <w:start w:val="1"/>
      <w:numFmt w:val="decimal"/>
      <w:lvlText w:val="%7."/>
      <w:lvlJc w:val="left"/>
      <w:pPr>
        <w:ind w:left="3533" w:hanging="480"/>
      </w:pPr>
    </w:lvl>
    <w:lvl w:ilvl="7" w:tplc="FFFFFFFF" w:tentative="1">
      <w:start w:val="1"/>
      <w:numFmt w:val="ideographTraditional"/>
      <w:lvlText w:val="%8、"/>
      <w:lvlJc w:val="left"/>
      <w:pPr>
        <w:ind w:left="4013" w:hanging="480"/>
      </w:pPr>
    </w:lvl>
    <w:lvl w:ilvl="8" w:tplc="FFFFFFFF" w:tentative="1">
      <w:start w:val="1"/>
      <w:numFmt w:val="lowerRoman"/>
      <w:lvlText w:val="%9."/>
      <w:lvlJc w:val="right"/>
      <w:pPr>
        <w:ind w:left="4493" w:hanging="480"/>
      </w:pPr>
    </w:lvl>
  </w:abstractNum>
  <w:abstractNum w:abstractNumId="12" w15:restartNumberingAfterBreak="0">
    <w:nsid w:val="3EA509DD"/>
    <w:multiLevelType w:val="hybridMultilevel"/>
    <w:tmpl w:val="28EEA42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3EC95CB9"/>
    <w:multiLevelType w:val="hybridMultilevel"/>
    <w:tmpl w:val="EB0E0304"/>
    <w:lvl w:ilvl="0" w:tplc="30BABC58">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6613E35"/>
    <w:multiLevelType w:val="hybridMultilevel"/>
    <w:tmpl w:val="812CD486"/>
    <w:lvl w:ilvl="0" w:tplc="0409000B">
      <w:start w:val="1"/>
      <w:numFmt w:val="bullet"/>
      <w:lvlText w:val=""/>
      <w:lvlJc w:val="left"/>
      <w:pPr>
        <w:ind w:left="609" w:hanging="480"/>
      </w:pPr>
      <w:rPr>
        <w:rFonts w:ascii="Wingdings" w:hAnsi="Wingdings" w:hint="default"/>
      </w:rPr>
    </w:lvl>
    <w:lvl w:ilvl="1" w:tplc="04090003" w:tentative="1">
      <w:start w:val="1"/>
      <w:numFmt w:val="bullet"/>
      <w:lvlText w:val=""/>
      <w:lvlJc w:val="left"/>
      <w:pPr>
        <w:ind w:left="1089" w:hanging="480"/>
      </w:pPr>
      <w:rPr>
        <w:rFonts w:ascii="Wingdings" w:hAnsi="Wingdings" w:hint="default"/>
      </w:rPr>
    </w:lvl>
    <w:lvl w:ilvl="2" w:tplc="04090005" w:tentative="1">
      <w:start w:val="1"/>
      <w:numFmt w:val="bullet"/>
      <w:lvlText w:val=""/>
      <w:lvlJc w:val="left"/>
      <w:pPr>
        <w:ind w:left="1569" w:hanging="480"/>
      </w:pPr>
      <w:rPr>
        <w:rFonts w:ascii="Wingdings" w:hAnsi="Wingdings" w:hint="default"/>
      </w:rPr>
    </w:lvl>
    <w:lvl w:ilvl="3" w:tplc="04090001" w:tentative="1">
      <w:start w:val="1"/>
      <w:numFmt w:val="bullet"/>
      <w:lvlText w:val=""/>
      <w:lvlJc w:val="left"/>
      <w:pPr>
        <w:ind w:left="2049" w:hanging="480"/>
      </w:pPr>
      <w:rPr>
        <w:rFonts w:ascii="Wingdings" w:hAnsi="Wingdings" w:hint="default"/>
      </w:rPr>
    </w:lvl>
    <w:lvl w:ilvl="4" w:tplc="04090003" w:tentative="1">
      <w:start w:val="1"/>
      <w:numFmt w:val="bullet"/>
      <w:lvlText w:val=""/>
      <w:lvlJc w:val="left"/>
      <w:pPr>
        <w:ind w:left="2529" w:hanging="480"/>
      </w:pPr>
      <w:rPr>
        <w:rFonts w:ascii="Wingdings" w:hAnsi="Wingdings" w:hint="default"/>
      </w:rPr>
    </w:lvl>
    <w:lvl w:ilvl="5" w:tplc="04090005" w:tentative="1">
      <w:start w:val="1"/>
      <w:numFmt w:val="bullet"/>
      <w:lvlText w:val=""/>
      <w:lvlJc w:val="left"/>
      <w:pPr>
        <w:ind w:left="3009" w:hanging="480"/>
      </w:pPr>
      <w:rPr>
        <w:rFonts w:ascii="Wingdings" w:hAnsi="Wingdings" w:hint="default"/>
      </w:rPr>
    </w:lvl>
    <w:lvl w:ilvl="6" w:tplc="04090001" w:tentative="1">
      <w:start w:val="1"/>
      <w:numFmt w:val="bullet"/>
      <w:lvlText w:val=""/>
      <w:lvlJc w:val="left"/>
      <w:pPr>
        <w:ind w:left="3489" w:hanging="480"/>
      </w:pPr>
      <w:rPr>
        <w:rFonts w:ascii="Wingdings" w:hAnsi="Wingdings" w:hint="default"/>
      </w:rPr>
    </w:lvl>
    <w:lvl w:ilvl="7" w:tplc="04090003" w:tentative="1">
      <w:start w:val="1"/>
      <w:numFmt w:val="bullet"/>
      <w:lvlText w:val=""/>
      <w:lvlJc w:val="left"/>
      <w:pPr>
        <w:ind w:left="3969" w:hanging="480"/>
      </w:pPr>
      <w:rPr>
        <w:rFonts w:ascii="Wingdings" w:hAnsi="Wingdings" w:hint="default"/>
      </w:rPr>
    </w:lvl>
    <w:lvl w:ilvl="8" w:tplc="04090005" w:tentative="1">
      <w:start w:val="1"/>
      <w:numFmt w:val="bullet"/>
      <w:lvlText w:val=""/>
      <w:lvlJc w:val="left"/>
      <w:pPr>
        <w:ind w:left="4449" w:hanging="480"/>
      </w:pPr>
      <w:rPr>
        <w:rFonts w:ascii="Wingdings" w:hAnsi="Wingdings" w:hint="default"/>
      </w:rPr>
    </w:lvl>
  </w:abstractNum>
  <w:abstractNum w:abstractNumId="15" w15:restartNumberingAfterBreak="0">
    <w:nsid w:val="48B17FC9"/>
    <w:multiLevelType w:val="hybridMultilevel"/>
    <w:tmpl w:val="ACEA0558"/>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4FAD6A77"/>
    <w:multiLevelType w:val="hybridMultilevel"/>
    <w:tmpl w:val="C0F87D3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4FB220AB"/>
    <w:multiLevelType w:val="hybridMultilevel"/>
    <w:tmpl w:val="F91C6A74"/>
    <w:lvl w:ilvl="0" w:tplc="E14E029C">
      <w:start w:val="1"/>
      <w:numFmt w:val="decimal"/>
      <w:lvlText w:val="(%1)"/>
      <w:lvlJc w:val="lef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8" w15:restartNumberingAfterBreak="0">
    <w:nsid w:val="51F039FA"/>
    <w:multiLevelType w:val="hybridMultilevel"/>
    <w:tmpl w:val="C80AA19C"/>
    <w:lvl w:ilvl="0" w:tplc="E14E029C">
      <w:start w:val="1"/>
      <w:numFmt w:val="decimal"/>
      <w:lvlText w:val="(%1)"/>
      <w:lvlJc w:val="left"/>
      <w:pPr>
        <w:ind w:left="2061" w:hanging="480"/>
      </w:pPr>
      <w:rPr>
        <w:rFonts w:hint="eastAsia"/>
      </w:rPr>
    </w:lvl>
    <w:lvl w:ilvl="1" w:tplc="04090019" w:tentative="1">
      <w:start w:val="1"/>
      <w:numFmt w:val="ideographTraditional"/>
      <w:lvlText w:val="%2、"/>
      <w:lvlJc w:val="left"/>
      <w:pPr>
        <w:ind w:left="2541" w:hanging="480"/>
      </w:pPr>
    </w:lvl>
    <w:lvl w:ilvl="2" w:tplc="0409001B" w:tentative="1">
      <w:start w:val="1"/>
      <w:numFmt w:val="lowerRoman"/>
      <w:lvlText w:val="%3."/>
      <w:lvlJc w:val="right"/>
      <w:pPr>
        <w:ind w:left="3021" w:hanging="480"/>
      </w:pPr>
    </w:lvl>
    <w:lvl w:ilvl="3" w:tplc="0409000F" w:tentative="1">
      <w:start w:val="1"/>
      <w:numFmt w:val="decimal"/>
      <w:lvlText w:val="%4."/>
      <w:lvlJc w:val="left"/>
      <w:pPr>
        <w:ind w:left="3501" w:hanging="480"/>
      </w:pPr>
    </w:lvl>
    <w:lvl w:ilvl="4" w:tplc="04090019" w:tentative="1">
      <w:start w:val="1"/>
      <w:numFmt w:val="ideographTraditional"/>
      <w:lvlText w:val="%5、"/>
      <w:lvlJc w:val="left"/>
      <w:pPr>
        <w:ind w:left="3981" w:hanging="480"/>
      </w:pPr>
    </w:lvl>
    <w:lvl w:ilvl="5" w:tplc="0409001B" w:tentative="1">
      <w:start w:val="1"/>
      <w:numFmt w:val="lowerRoman"/>
      <w:lvlText w:val="%6."/>
      <w:lvlJc w:val="right"/>
      <w:pPr>
        <w:ind w:left="4461" w:hanging="480"/>
      </w:pPr>
    </w:lvl>
    <w:lvl w:ilvl="6" w:tplc="0409000F" w:tentative="1">
      <w:start w:val="1"/>
      <w:numFmt w:val="decimal"/>
      <w:lvlText w:val="%7."/>
      <w:lvlJc w:val="left"/>
      <w:pPr>
        <w:ind w:left="4941" w:hanging="480"/>
      </w:pPr>
    </w:lvl>
    <w:lvl w:ilvl="7" w:tplc="04090019" w:tentative="1">
      <w:start w:val="1"/>
      <w:numFmt w:val="ideographTraditional"/>
      <w:lvlText w:val="%8、"/>
      <w:lvlJc w:val="left"/>
      <w:pPr>
        <w:ind w:left="5421" w:hanging="480"/>
      </w:pPr>
    </w:lvl>
    <w:lvl w:ilvl="8" w:tplc="0409001B" w:tentative="1">
      <w:start w:val="1"/>
      <w:numFmt w:val="lowerRoman"/>
      <w:lvlText w:val="%9."/>
      <w:lvlJc w:val="right"/>
      <w:pPr>
        <w:ind w:left="5901" w:hanging="480"/>
      </w:pPr>
    </w:lvl>
  </w:abstractNum>
  <w:abstractNum w:abstractNumId="19" w15:restartNumberingAfterBreak="0">
    <w:nsid w:val="530B0546"/>
    <w:multiLevelType w:val="hybridMultilevel"/>
    <w:tmpl w:val="0706BEEA"/>
    <w:lvl w:ilvl="0" w:tplc="FFFFFFFF">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0409000B">
      <w:start w:val="1"/>
      <w:numFmt w:val="bullet"/>
      <w:lvlText w:val=""/>
      <w:lvlJc w:val="left"/>
      <w:pPr>
        <w:ind w:left="609"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0" w15:restartNumberingAfterBreak="0">
    <w:nsid w:val="560016F1"/>
    <w:multiLevelType w:val="hybridMultilevel"/>
    <w:tmpl w:val="6470B0BE"/>
    <w:lvl w:ilvl="0" w:tplc="FFFFFFFF">
      <w:start w:val="1"/>
      <w:numFmt w:val="decimal"/>
      <w:lvlText w:val="(%1)"/>
      <w:lvlJc w:val="left"/>
      <w:pPr>
        <w:ind w:left="653" w:hanging="480"/>
      </w:pPr>
      <w:rPr>
        <w:rFonts w:hint="eastAsia"/>
      </w:rPr>
    </w:lvl>
    <w:lvl w:ilvl="1" w:tplc="FFFFFFFF">
      <w:start w:val="1"/>
      <w:numFmt w:val="decimal"/>
      <w:lvlText w:val="%2."/>
      <w:lvlJc w:val="left"/>
      <w:pPr>
        <w:ind w:left="1013" w:hanging="360"/>
      </w:pPr>
      <w:rPr>
        <w:rFonts w:hint="default"/>
      </w:rPr>
    </w:lvl>
    <w:lvl w:ilvl="2" w:tplc="FFFFFFFF" w:tentative="1">
      <w:start w:val="1"/>
      <w:numFmt w:val="lowerRoman"/>
      <w:lvlText w:val="%3."/>
      <w:lvlJc w:val="right"/>
      <w:pPr>
        <w:ind w:left="1613" w:hanging="480"/>
      </w:pPr>
    </w:lvl>
    <w:lvl w:ilvl="3" w:tplc="FFFFFFFF" w:tentative="1">
      <w:start w:val="1"/>
      <w:numFmt w:val="decimal"/>
      <w:lvlText w:val="%4."/>
      <w:lvlJc w:val="left"/>
      <w:pPr>
        <w:ind w:left="2093" w:hanging="480"/>
      </w:pPr>
    </w:lvl>
    <w:lvl w:ilvl="4" w:tplc="FFFFFFFF" w:tentative="1">
      <w:start w:val="1"/>
      <w:numFmt w:val="ideographTraditional"/>
      <w:lvlText w:val="%5、"/>
      <w:lvlJc w:val="left"/>
      <w:pPr>
        <w:ind w:left="2573" w:hanging="480"/>
      </w:pPr>
    </w:lvl>
    <w:lvl w:ilvl="5" w:tplc="FFFFFFFF" w:tentative="1">
      <w:start w:val="1"/>
      <w:numFmt w:val="lowerRoman"/>
      <w:lvlText w:val="%6."/>
      <w:lvlJc w:val="right"/>
      <w:pPr>
        <w:ind w:left="3053" w:hanging="480"/>
      </w:pPr>
    </w:lvl>
    <w:lvl w:ilvl="6" w:tplc="FFFFFFFF" w:tentative="1">
      <w:start w:val="1"/>
      <w:numFmt w:val="decimal"/>
      <w:lvlText w:val="%7."/>
      <w:lvlJc w:val="left"/>
      <w:pPr>
        <w:ind w:left="3533" w:hanging="480"/>
      </w:pPr>
    </w:lvl>
    <w:lvl w:ilvl="7" w:tplc="FFFFFFFF" w:tentative="1">
      <w:start w:val="1"/>
      <w:numFmt w:val="ideographTraditional"/>
      <w:lvlText w:val="%8、"/>
      <w:lvlJc w:val="left"/>
      <w:pPr>
        <w:ind w:left="4013" w:hanging="480"/>
      </w:pPr>
    </w:lvl>
    <w:lvl w:ilvl="8" w:tplc="FFFFFFFF" w:tentative="1">
      <w:start w:val="1"/>
      <w:numFmt w:val="lowerRoman"/>
      <w:lvlText w:val="%9."/>
      <w:lvlJc w:val="right"/>
      <w:pPr>
        <w:ind w:left="4493" w:hanging="480"/>
      </w:pPr>
    </w:lvl>
  </w:abstractNum>
  <w:abstractNum w:abstractNumId="21" w15:restartNumberingAfterBreak="0">
    <w:nsid w:val="58824076"/>
    <w:multiLevelType w:val="hybridMultilevel"/>
    <w:tmpl w:val="455C6C06"/>
    <w:lvl w:ilvl="0" w:tplc="FFFFFFFF">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0409000B">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2" w15:restartNumberingAfterBreak="0">
    <w:nsid w:val="5DEC6FB1"/>
    <w:multiLevelType w:val="hybridMultilevel"/>
    <w:tmpl w:val="6470B0BE"/>
    <w:lvl w:ilvl="0" w:tplc="E14E029C">
      <w:start w:val="1"/>
      <w:numFmt w:val="decimal"/>
      <w:lvlText w:val="(%1)"/>
      <w:lvlJc w:val="left"/>
      <w:pPr>
        <w:ind w:left="653" w:hanging="480"/>
      </w:pPr>
      <w:rPr>
        <w:rFonts w:hint="eastAsia"/>
      </w:rPr>
    </w:lvl>
    <w:lvl w:ilvl="1" w:tplc="15FCB6FA">
      <w:start w:val="1"/>
      <w:numFmt w:val="decimal"/>
      <w:lvlText w:val="%2."/>
      <w:lvlJc w:val="left"/>
      <w:pPr>
        <w:ind w:left="1013" w:hanging="360"/>
      </w:pPr>
      <w:rPr>
        <w:rFonts w:hint="default"/>
      </w:r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3" w15:restartNumberingAfterBreak="0">
    <w:nsid w:val="63CA7C1C"/>
    <w:multiLevelType w:val="hybridMultilevel"/>
    <w:tmpl w:val="0B0C23DA"/>
    <w:lvl w:ilvl="0" w:tplc="88A46F42">
      <w:start w:val="1"/>
      <w:numFmt w:val="decimal"/>
      <w:lvlText w:val="(%1)."/>
      <w:lvlJc w:val="left"/>
      <w:pPr>
        <w:ind w:left="1668" w:hanging="480"/>
      </w:pPr>
      <w:rPr>
        <w:rFonts w:hint="eastAsia"/>
      </w:rPr>
    </w:lvl>
    <w:lvl w:ilvl="1" w:tplc="FFFFFFFF" w:tentative="1">
      <w:start w:val="1"/>
      <w:numFmt w:val="ideographTraditional"/>
      <w:lvlText w:val="%2、"/>
      <w:lvlJc w:val="left"/>
      <w:pPr>
        <w:ind w:left="2148" w:hanging="480"/>
      </w:pPr>
    </w:lvl>
    <w:lvl w:ilvl="2" w:tplc="FFFFFFFF" w:tentative="1">
      <w:start w:val="1"/>
      <w:numFmt w:val="lowerRoman"/>
      <w:lvlText w:val="%3."/>
      <w:lvlJc w:val="right"/>
      <w:pPr>
        <w:ind w:left="2628" w:hanging="480"/>
      </w:pPr>
    </w:lvl>
    <w:lvl w:ilvl="3" w:tplc="FFFFFFFF" w:tentative="1">
      <w:start w:val="1"/>
      <w:numFmt w:val="decimal"/>
      <w:lvlText w:val="%4."/>
      <w:lvlJc w:val="left"/>
      <w:pPr>
        <w:ind w:left="3108" w:hanging="480"/>
      </w:pPr>
    </w:lvl>
    <w:lvl w:ilvl="4" w:tplc="FFFFFFFF" w:tentative="1">
      <w:start w:val="1"/>
      <w:numFmt w:val="ideographTraditional"/>
      <w:lvlText w:val="%5、"/>
      <w:lvlJc w:val="left"/>
      <w:pPr>
        <w:ind w:left="3588" w:hanging="480"/>
      </w:pPr>
    </w:lvl>
    <w:lvl w:ilvl="5" w:tplc="FFFFFFFF" w:tentative="1">
      <w:start w:val="1"/>
      <w:numFmt w:val="lowerRoman"/>
      <w:lvlText w:val="%6."/>
      <w:lvlJc w:val="right"/>
      <w:pPr>
        <w:ind w:left="4068" w:hanging="480"/>
      </w:pPr>
    </w:lvl>
    <w:lvl w:ilvl="6" w:tplc="FFFFFFFF" w:tentative="1">
      <w:start w:val="1"/>
      <w:numFmt w:val="decimal"/>
      <w:lvlText w:val="%7."/>
      <w:lvlJc w:val="left"/>
      <w:pPr>
        <w:ind w:left="4548" w:hanging="480"/>
      </w:pPr>
    </w:lvl>
    <w:lvl w:ilvl="7" w:tplc="FFFFFFFF" w:tentative="1">
      <w:start w:val="1"/>
      <w:numFmt w:val="ideographTraditional"/>
      <w:lvlText w:val="%8、"/>
      <w:lvlJc w:val="left"/>
      <w:pPr>
        <w:ind w:left="5028" w:hanging="480"/>
      </w:pPr>
    </w:lvl>
    <w:lvl w:ilvl="8" w:tplc="FFFFFFFF" w:tentative="1">
      <w:start w:val="1"/>
      <w:numFmt w:val="lowerRoman"/>
      <w:lvlText w:val="%9."/>
      <w:lvlJc w:val="right"/>
      <w:pPr>
        <w:ind w:left="5508" w:hanging="480"/>
      </w:pPr>
    </w:lvl>
  </w:abstractNum>
  <w:abstractNum w:abstractNumId="24" w15:restartNumberingAfterBreak="0">
    <w:nsid w:val="65194556"/>
    <w:multiLevelType w:val="hybridMultilevel"/>
    <w:tmpl w:val="FEB047A0"/>
    <w:lvl w:ilvl="0" w:tplc="6E7E5754">
      <w:start w:val="1"/>
      <w:numFmt w:val="taiwaneseCountingThousand"/>
      <w:lvlText w:val="%1、"/>
      <w:lvlJc w:val="left"/>
      <w:pPr>
        <w:ind w:left="1188" w:hanging="480"/>
      </w:pPr>
      <w:rPr>
        <w:rFonts w:hint="default"/>
      </w:rPr>
    </w:lvl>
    <w:lvl w:ilvl="1" w:tplc="27507FE8">
      <w:start w:val="1"/>
      <w:numFmt w:val="taiwaneseCountingThousand"/>
      <w:pStyle w:val="a"/>
      <w:lvlText w:val="%2、"/>
      <w:lvlJc w:val="left"/>
      <w:pPr>
        <w:ind w:left="1668" w:hanging="480"/>
      </w:pPr>
      <w:rPr>
        <w:rFonts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 w15:restartNumberingAfterBreak="0">
    <w:nsid w:val="66837533"/>
    <w:multiLevelType w:val="hybridMultilevel"/>
    <w:tmpl w:val="AA0E55A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15:restartNumberingAfterBreak="0">
    <w:nsid w:val="6CCB7DE0"/>
    <w:multiLevelType w:val="hybridMultilevel"/>
    <w:tmpl w:val="9162DDC8"/>
    <w:lvl w:ilvl="0" w:tplc="E14E029C">
      <w:start w:val="1"/>
      <w:numFmt w:val="decimal"/>
      <w:lvlText w:val="(%1)"/>
      <w:lvlJc w:val="left"/>
      <w:pPr>
        <w:ind w:left="653" w:hanging="480"/>
      </w:pPr>
      <w:rPr>
        <w:rFonts w:hint="eastAsia"/>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7" w15:restartNumberingAfterBreak="0">
    <w:nsid w:val="6F573842"/>
    <w:multiLevelType w:val="hybridMultilevel"/>
    <w:tmpl w:val="F034ACD8"/>
    <w:lvl w:ilvl="0" w:tplc="E14E029C">
      <w:start w:val="1"/>
      <w:numFmt w:val="decimal"/>
      <w:lvlText w:val="(%1)"/>
      <w:lvlJc w:val="left"/>
      <w:pPr>
        <w:ind w:left="653" w:hanging="480"/>
      </w:pPr>
      <w:rPr>
        <w:rFonts w:hint="eastAsia"/>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8" w15:restartNumberingAfterBreak="0">
    <w:nsid w:val="6F62599B"/>
    <w:multiLevelType w:val="hybridMultilevel"/>
    <w:tmpl w:val="11A40E0C"/>
    <w:lvl w:ilvl="0" w:tplc="FFFFFFFF">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0409000B">
      <w:start w:val="1"/>
      <w:numFmt w:val="bullet"/>
      <w:lvlText w:val=""/>
      <w:lvlJc w:val="left"/>
      <w:pPr>
        <w:ind w:left="609"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9" w15:restartNumberingAfterBreak="0">
    <w:nsid w:val="71A76455"/>
    <w:multiLevelType w:val="hybridMultilevel"/>
    <w:tmpl w:val="C0F87D3E"/>
    <w:lvl w:ilvl="0" w:tplc="E14E02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F97E1A"/>
    <w:multiLevelType w:val="hybridMultilevel"/>
    <w:tmpl w:val="808CF3FA"/>
    <w:lvl w:ilvl="0" w:tplc="0409000B">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1" w15:restartNumberingAfterBreak="0">
    <w:nsid w:val="73792D71"/>
    <w:multiLevelType w:val="hybridMultilevel"/>
    <w:tmpl w:val="01C0806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68B126B"/>
    <w:multiLevelType w:val="hybridMultilevel"/>
    <w:tmpl w:val="A25EA32E"/>
    <w:lvl w:ilvl="0" w:tplc="88A46F42">
      <w:start w:val="1"/>
      <w:numFmt w:val="decimal"/>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3" w15:restartNumberingAfterBreak="0">
    <w:nsid w:val="76DB0E0C"/>
    <w:multiLevelType w:val="hybridMultilevel"/>
    <w:tmpl w:val="3724C9CE"/>
    <w:lvl w:ilvl="0" w:tplc="E14E029C">
      <w:start w:val="1"/>
      <w:numFmt w:val="decimal"/>
      <w:lvlText w:val="(%1)"/>
      <w:lvlJc w:val="left"/>
      <w:pPr>
        <w:ind w:left="653" w:hanging="480"/>
      </w:pPr>
      <w:rPr>
        <w:rFonts w:hint="eastAsia"/>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34" w15:restartNumberingAfterBreak="0">
    <w:nsid w:val="782F6C91"/>
    <w:multiLevelType w:val="hybridMultilevel"/>
    <w:tmpl w:val="814002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ACB1F90"/>
    <w:multiLevelType w:val="hybridMultilevel"/>
    <w:tmpl w:val="0D0827C8"/>
    <w:lvl w:ilvl="0" w:tplc="88A46F42">
      <w:start w:val="1"/>
      <w:numFmt w:val="decimal"/>
      <w:lvlText w:val="(%1)."/>
      <w:lvlJc w:val="left"/>
      <w:pPr>
        <w:ind w:left="1893" w:hanging="480"/>
      </w:pPr>
      <w:rPr>
        <w:rFonts w:hint="eastAsia"/>
      </w:rPr>
    </w:lvl>
    <w:lvl w:ilvl="1" w:tplc="04090019" w:tentative="1">
      <w:start w:val="1"/>
      <w:numFmt w:val="ideographTraditional"/>
      <w:lvlText w:val="%2、"/>
      <w:lvlJc w:val="left"/>
      <w:pPr>
        <w:ind w:left="2373" w:hanging="480"/>
      </w:pPr>
    </w:lvl>
    <w:lvl w:ilvl="2" w:tplc="0409001B" w:tentative="1">
      <w:start w:val="1"/>
      <w:numFmt w:val="lowerRoman"/>
      <w:lvlText w:val="%3."/>
      <w:lvlJc w:val="right"/>
      <w:pPr>
        <w:ind w:left="2853" w:hanging="480"/>
      </w:pPr>
    </w:lvl>
    <w:lvl w:ilvl="3" w:tplc="0409000F" w:tentative="1">
      <w:start w:val="1"/>
      <w:numFmt w:val="decimal"/>
      <w:lvlText w:val="%4."/>
      <w:lvlJc w:val="left"/>
      <w:pPr>
        <w:ind w:left="3333" w:hanging="480"/>
      </w:pPr>
    </w:lvl>
    <w:lvl w:ilvl="4" w:tplc="04090019" w:tentative="1">
      <w:start w:val="1"/>
      <w:numFmt w:val="ideographTraditional"/>
      <w:lvlText w:val="%5、"/>
      <w:lvlJc w:val="left"/>
      <w:pPr>
        <w:ind w:left="3813" w:hanging="480"/>
      </w:pPr>
    </w:lvl>
    <w:lvl w:ilvl="5" w:tplc="0409001B" w:tentative="1">
      <w:start w:val="1"/>
      <w:numFmt w:val="lowerRoman"/>
      <w:lvlText w:val="%6."/>
      <w:lvlJc w:val="right"/>
      <w:pPr>
        <w:ind w:left="4293" w:hanging="480"/>
      </w:pPr>
    </w:lvl>
    <w:lvl w:ilvl="6" w:tplc="0409000F" w:tentative="1">
      <w:start w:val="1"/>
      <w:numFmt w:val="decimal"/>
      <w:lvlText w:val="%7."/>
      <w:lvlJc w:val="left"/>
      <w:pPr>
        <w:ind w:left="4773" w:hanging="480"/>
      </w:pPr>
    </w:lvl>
    <w:lvl w:ilvl="7" w:tplc="04090019" w:tentative="1">
      <w:start w:val="1"/>
      <w:numFmt w:val="ideographTraditional"/>
      <w:lvlText w:val="%8、"/>
      <w:lvlJc w:val="left"/>
      <w:pPr>
        <w:ind w:left="5253" w:hanging="480"/>
      </w:pPr>
    </w:lvl>
    <w:lvl w:ilvl="8" w:tplc="0409001B" w:tentative="1">
      <w:start w:val="1"/>
      <w:numFmt w:val="lowerRoman"/>
      <w:lvlText w:val="%9."/>
      <w:lvlJc w:val="right"/>
      <w:pPr>
        <w:ind w:left="5733" w:hanging="480"/>
      </w:pPr>
    </w:lvl>
  </w:abstractNum>
  <w:abstractNum w:abstractNumId="36" w15:restartNumberingAfterBreak="0">
    <w:nsid w:val="7FE00D24"/>
    <w:multiLevelType w:val="hybridMultilevel"/>
    <w:tmpl w:val="9CFACE0C"/>
    <w:lvl w:ilvl="0" w:tplc="88A46F42">
      <w:start w:val="1"/>
      <w:numFmt w:val="decimal"/>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16cid:durableId="534586976">
    <w:abstractNumId w:val="24"/>
  </w:num>
  <w:num w:numId="2" w16cid:durableId="588395374">
    <w:abstractNumId w:val="10"/>
  </w:num>
  <w:num w:numId="3" w16cid:durableId="784423583">
    <w:abstractNumId w:val="26"/>
  </w:num>
  <w:num w:numId="4" w16cid:durableId="1100029738">
    <w:abstractNumId w:val="33"/>
  </w:num>
  <w:num w:numId="5" w16cid:durableId="1026254695">
    <w:abstractNumId w:val="29"/>
  </w:num>
  <w:num w:numId="6" w16cid:durableId="814488405">
    <w:abstractNumId w:val="22"/>
  </w:num>
  <w:num w:numId="7" w16cid:durableId="1020474981">
    <w:abstractNumId w:val="27"/>
  </w:num>
  <w:num w:numId="8" w16cid:durableId="2081902126">
    <w:abstractNumId w:val="6"/>
  </w:num>
  <w:num w:numId="9" w16cid:durableId="1854689536">
    <w:abstractNumId w:val="21"/>
  </w:num>
  <w:num w:numId="10" w16cid:durableId="819882861">
    <w:abstractNumId w:val="14"/>
  </w:num>
  <w:num w:numId="11" w16cid:durableId="1941402855">
    <w:abstractNumId w:val="19"/>
  </w:num>
  <w:num w:numId="12" w16cid:durableId="70003888">
    <w:abstractNumId w:val="28"/>
  </w:num>
  <w:num w:numId="13" w16cid:durableId="183330204">
    <w:abstractNumId w:val="23"/>
  </w:num>
  <w:num w:numId="14" w16cid:durableId="1308437264">
    <w:abstractNumId w:val="35"/>
  </w:num>
  <w:num w:numId="15" w16cid:durableId="1263345693">
    <w:abstractNumId w:val="36"/>
  </w:num>
  <w:num w:numId="16" w16cid:durableId="789662004">
    <w:abstractNumId w:val="32"/>
  </w:num>
  <w:num w:numId="17" w16cid:durableId="1508981940">
    <w:abstractNumId w:val="20"/>
  </w:num>
  <w:num w:numId="18" w16cid:durableId="707992215">
    <w:abstractNumId w:val="16"/>
  </w:num>
  <w:num w:numId="19" w16cid:durableId="1411386441">
    <w:abstractNumId w:val="9"/>
  </w:num>
  <w:num w:numId="20" w16cid:durableId="1887401990">
    <w:abstractNumId w:val="2"/>
  </w:num>
  <w:num w:numId="21" w16cid:durableId="1425146166">
    <w:abstractNumId w:val="4"/>
  </w:num>
  <w:num w:numId="22" w16cid:durableId="1252009300">
    <w:abstractNumId w:val="11"/>
  </w:num>
  <w:num w:numId="23" w16cid:durableId="930351636">
    <w:abstractNumId w:val="7"/>
  </w:num>
  <w:num w:numId="24" w16cid:durableId="2085879975">
    <w:abstractNumId w:val="25"/>
  </w:num>
  <w:num w:numId="25" w16cid:durableId="1778865780">
    <w:abstractNumId w:val="12"/>
  </w:num>
  <w:num w:numId="26" w16cid:durableId="884440244">
    <w:abstractNumId w:val="7"/>
  </w:num>
  <w:num w:numId="27" w16cid:durableId="659233886">
    <w:abstractNumId w:val="34"/>
  </w:num>
  <w:num w:numId="28" w16cid:durableId="1990016912">
    <w:abstractNumId w:val="30"/>
  </w:num>
  <w:num w:numId="29" w16cid:durableId="705063357">
    <w:abstractNumId w:val="18"/>
  </w:num>
  <w:num w:numId="30" w16cid:durableId="960499884">
    <w:abstractNumId w:val="17"/>
  </w:num>
  <w:num w:numId="31" w16cid:durableId="1992709660">
    <w:abstractNumId w:val="0"/>
  </w:num>
  <w:num w:numId="32" w16cid:durableId="901990470">
    <w:abstractNumId w:val="13"/>
  </w:num>
  <w:num w:numId="33" w16cid:durableId="1961064292">
    <w:abstractNumId w:val="8"/>
  </w:num>
  <w:num w:numId="34" w16cid:durableId="1342900512">
    <w:abstractNumId w:val="5"/>
  </w:num>
  <w:num w:numId="35" w16cid:durableId="1360812165">
    <w:abstractNumId w:val="31"/>
  </w:num>
  <w:num w:numId="36" w16cid:durableId="609557178">
    <w:abstractNumId w:val="15"/>
  </w:num>
  <w:num w:numId="37" w16cid:durableId="1154562331">
    <w:abstractNumId w:val="1"/>
  </w:num>
  <w:num w:numId="38" w16cid:durableId="144172732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03"/>
    <w:rsid w:val="0000039A"/>
    <w:rsid w:val="00000536"/>
    <w:rsid w:val="00002552"/>
    <w:rsid w:val="000038A8"/>
    <w:rsid w:val="00003997"/>
    <w:rsid w:val="000041B7"/>
    <w:rsid w:val="000045FD"/>
    <w:rsid w:val="0000462D"/>
    <w:rsid w:val="0000504F"/>
    <w:rsid w:val="000066D1"/>
    <w:rsid w:val="00006B46"/>
    <w:rsid w:val="00007155"/>
    <w:rsid w:val="00007874"/>
    <w:rsid w:val="0001133A"/>
    <w:rsid w:val="00012369"/>
    <w:rsid w:val="00013D7E"/>
    <w:rsid w:val="00014B37"/>
    <w:rsid w:val="00014B7F"/>
    <w:rsid w:val="00017AD5"/>
    <w:rsid w:val="00017FC5"/>
    <w:rsid w:val="00021583"/>
    <w:rsid w:val="00021755"/>
    <w:rsid w:val="00023DDA"/>
    <w:rsid w:val="000257F6"/>
    <w:rsid w:val="00025973"/>
    <w:rsid w:val="00025B12"/>
    <w:rsid w:val="00025D78"/>
    <w:rsid w:val="00027371"/>
    <w:rsid w:val="00031530"/>
    <w:rsid w:val="00031969"/>
    <w:rsid w:val="00031B57"/>
    <w:rsid w:val="000326B5"/>
    <w:rsid w:val="00034041"/>
    <w:rsid w:val="00034389"/>
    <w:rsid w:val="00036749"/>
    <w:rsid w:val="000379AD"/>
    <w:rsid w:val="00037B3B"/>
    <w:rsid w:val="00042245"/>
    <w:rsid w:val="000429AF"/>
    <w:rsid w:val="000440BB"/>
    <w:rsid w:val="00046AC1"/>
    <w:rsid w:val="000475C7"/>
    <w:rsid w:val="00047843"/>
    <w:rsid w:val="00047A0F"/>
    <w:rsid w:val="0005323D"/>
    <w:rsid w:val="0005447F"/>
    <w:rsid w:val="00054762"/>
    <w:rsid w:val="00055270"/>
    <w:rsid w:val="000568AE"/>
    <w:rsid w:val="000608F2"/>
    <w:rsid w:val="00060E16"/>
    <w:rsid w:val="00060E56"/>
    <w:rsid w:val="000612D7"/>
    <w:rsid w:val="00061679"/>
    <w:rsid w:val="00062A87"/>
    <w:rsid w:val="00063D5F"/>
    <w:rsid w:val="00065548"/>
    <w:rsid w:val="000670AD"/>
    <w:rsid w:val="000673A2"/>
    <w:rsid w:val="000677C7"/>
    <w:rsid w:val="000705F3"/>
    <w:rsid w:val="00071074"/>
    <w:rsid w:val="0007290E"/>
    <w:rsid w:val="00073E74"/>
    <w:rsid w:val="000743C1"/>
    <w:rsid w:val="00074DFC"/>
    <w:rsid w:val="000755BF"/>
    <w:rsid w:val="000756C5"/>
    <w:rsid w:val="00076095"/>
    <w:rsid w:val="00076937"/>
    <w:rsid w:val="00076D10"/>
    <w:rsid w:val="0007742E"/>
    <w:rsid w:val="00080354"/>
    <w:rsid w:val="000813EC"/>
    <w:rsid w:val="000817C3"/>
    <w:rsid w:val="000821F6"/>
    <w:rsid w:val="00082E13"/>
    <w:rsid w:val="00082F7B"/>
    <w:rsid w:val="0008369E"/>
    <w:rsid w:val="00083723"/>
    <w:rsid w:val="000839E9"/>
    <w:rsid w:val="00083A43"/>
    <w:rsid w:val="00083FD1"/>
    <w:rsid w:val="0008495B"/>
    <w:rsid w:val="00084EED"/>
    <w:rsid w:val="00085C97"/>
    <w:rsid w:val="000863AE"/>
    <w:rsid w:val="0008640A"/>
    <w:rsid w:val="00087AC4"/>
    <w:rsid w:val="00087DBF"/>
    <w:rsid w:val="000901B9"/>
    <w:rsid w:val="0009085A"/>
    <w:rsid w:val="00091283"/>
    <w:rsid w:val="00091E43"/>
    <w:rsid w:val="00092074"/>
    <w:rsid w:val="000934E6"/>
    <w:rsid w:val="00093ADA"/>
    <w:rsid w:val="00094259"/>
    <w:rsid w:val="000944F2"/>
    <w:rsid w:val="000947A6"/>
    <w:rsid w:val="00094A12"/>
    <w:rsid w:val="00095F55"/>
    <w:rsid w:val="000965CE"/>
    <w:rsid w:val="00097AC7"/>
    <w:rsid w:val="000A096A"/>
    <w:rsid w:val="000A0C14"/>
    <w:rsid w:val="000A2F91"/>
    <w:rsid w:val="000A6CF3"/>
    <w:rsid w:val="000A6DF5"/>
    <w:rsid w:val="000A7126"/>
    <w:rsid w:val="000A7252"/>
    <w:rsid w:val="000A78C2"/>
    <w:rsid w:val="000B2E67"/>
    <w:rsid w:val="000B39CD"/>
    <w:rsid w:val="000B5AFF"/>
    <w:rsid w:val="000B5CCD"/>
    <w:rsid w:val="000B5DD6"/>
    <w:rsid w:val="000C1941"/>
    <w:rsid w:val="000C3493"/>
    <w:rsid w:val="000C3579"/>
    <w:rsid w:val="000C58CC"/>
    <w:rsid w:val="000C7A65"/>
    <w:rsid w:val="000D0EB0"/>
    <w:rsid w:val="000D1895"/>
    <w:rsid w:val="000D243B"/>
    <w:rsid w:val="000D28D2"/>
    <w:rsid w:val="000D2D56"/>
    <w:rsid w:val="000D2E98"/>
    <w:rsid w:val="000D2F18"/>
    <w:rsid w:val="000D3312"/>
    <w:rsid w:val="000D3BC2"/>
    <w:rsid w:val="000D5CD1"/>
    <w:rsid w:val="000D73C6"/>
    <w:rsid w:val="000E052A"/>
    <w:rsid w:val="000E2342"/>
    <w:rsid w:val="000E2713"/>
    <w:rsid w:val="000E3C10"/>
    <w:rsid w:val="000E70D0"/>
    <w:rsid w:val="000E784E"/>
    <w:rsid w:val="000F07CC"/>
    <w:rsid w:val="000F1426"/>
    <w:rsid w:val="000F1C51"/>
    <w:rsid w:val="000F69F9"/>
    <w:rsid w:val="000F6AA4"/>
    <w:rsid w:val="000F6BC2"/>
    <w:rsid w:val="000F71C0"/>
    <w:rsid w:val="00100120"/>
    <w:rsid w:val="00101E08"/>
    <w:rsid w:val="00101E82"/>
    <w:rsid w:val="0010342F"/>
    <w:rsid w:val="00103AA1"/>
    <w:rsid w:val="001043D8"/>
    <w:rsid w:val="001056C1"/>
    <w:rsid w:val="001059E1"/>
    <w:rsid w:val="0010654C"/>
    <w:rsid w:val="00110196"/>
    <w:rsid w:val="0011159A"/>
    <w:rsid w:val="00113074"/>
    <w:rsid w:val="0011366C"/>
    <w:rsid w:val="00113DD3"/>
    <w:rsid w:val="001142C3"/>
    <w:rsid w:val="00115438"/>
    <w:rsid w:val="001168DE"/>
    <w:rsid w:val="00116C87"/>
    <w:rsid w:val="001174D0"/>
    <w:rsid w:val="00121989"/>
    <w:rsid w:val="0012267A"/>
    <w:rsid w:val="00123354"/>
    <w:rsid w:val="00125FEB"/>
    <w:rsid w:val="00126EDF"/>
    <w:rsid w:val="00127743"/>
    <w:rsid w:val="00131D0E"/>
    <w:rsid w:val="00134572"/>
    <w:rsid w:val="00134A7F"/>
    <w:rsid w:val="00135D3D"/>
    <w:rsid w:val="001369BE"/>
    <w:rsid w:val="00137445"/>
    <w:rsid w:val="00137ACB"/>
    <w:rsid w:val="00137ADF"/>
    <w:rsid w:val="00141549"/>
    <w:rsid w:val="00142874"/>
    <w:rsid w:val="00142FBE"/>
    <w:rsid w:val="0014475F"/>
    <w:rsid w:val="001453AB"/>
    <w:rsid w:val="00145998"/>
    <w:rsid w:val="00146955"/>
    <w:rsid w:val="001472A0"/>
    <w:rsid w:val="001474C3"/>
    <w:rsid w:val="0014773A"/>
    <w:rsid w:val="00147761"/>
    <w:rsid w:val="001500F8"/>
    <w:rsid w:val="001518C4"/>
    <w:rsid w:val="001529A4"/>
    <w:rsid w:val="0015463B"/>
    <w:rsid w:val="0015575A"/>
    <w:rsid w:val="001560CE"/>
    <w:rsid w:val="00161202"/>
    <w:rsid w:val="00161B3F"/>
    <w:rsid w:val="0016345A"/>
    <w:rsid w:val="0016590C"/>
    <w:rsid w:val="00167FF8"/>
    <w:rsid w:val="00170BBA"/>
    <w:rsid w:val="00175FC1"/>
    <w:rsid w:val="001808B2"/>
    <w:rsid w:val="00182045"/>
    <w:rsid w:val="001827D2"/>
    <w:rsid w:val="00182C62"/>
    <w:rsid w:val="00190A9F"/>
    <w:rsid w:val="00191CEE"/>
    <w:rsid w:val="0019374D"/>
    <w:rsid w:val="00194482"/>
    <w:rsid w:val="00195A38"/>
    <w:rsid w:val="00195C5F"/>
    <w:rsid w:val="00196482"/>
    <w:rsid w:val="001973EA"/>
    <w:rsid w:val="00197C72"/>
    <w:rsid w:val="001A0090"/>
    <w:rsid w:val="001A0648"/>
    <w:rsid w:val="001A0E56"/>
    <w:rsid w:val="001A174F"/>
    <w:rsid w:val="001A322F"/>
    <w:rsid w:val="001A323F"/>
    <w:rsid w:val="001A39B1"/>
    <w:rsid w:val="001A3E68"/>
    <w:rsid w:val="001A4507"/>
    <w:rsid w:val="001A5D93"/>
    <w:rsid w:val="001A7E6F"/>
    <w:rsid w:val="001B014B"/>
    <w:rsid w:val="001B0203"/>
    <w:rsid w:val="001B025B"/>
    <w:rsid w:val="001B0FF3"/>
    <w:rsid w:val="001B1FEC"/>
    <w:rsid w:val="001B33BF"/>
    <w:rsid w:val="001B35E6"/>
    <w:rsid w:val="001B4877"/>
    <w:rsid w:val="001B51E9"/>
    <w:rsid w:val="001B7AA9"/>
    <w:rsid w:val="001B7CC1"/>
    <w:rsid w:val="001C199E"/>
    <w:rsid w:val="001C279F"/>
    <w:rsid w:val="001C3ECF"/>
    <w:rsid w:val="001C44F9"/>
    <w:rsid w:val="001C577F"/>
    <w:rsid w:val="001C591C"/>
    <w:rsid w:val="001C6EBA"/>
    <w:rsid w:val="001C7DE1"/>
    <w:rsid w:val="001D2C47"/>
    <w:rsid w:val="001D43FE"/>
    <w:rsid w:val="001D47A1"/>
    <w:rsid w:val="001D7D51"/>
    <w:rsid w:val="001E02A4"/>
    <w:rsid w:val="001E14BA"/>
    <w:rsid w:val="001E19B1"/>
    <w:rsid w:val="001E24AB"/>
    <w:rsid w:val="001E28E2"/>
    <w:rsid w:val="001E6683"/>
    <w:rsid w:val="001E69E0"/>
    <w:rsid w:val="001E7EC7"/>
    <w:rsid w:val="001E7F84"/>
    <w:rsid w:val="001F0B20"/>
    <w:rsid w:val="001F2973"/>
    <w:rsid w:val="001F3B54"/>
    <w:rsid w:val="001F40EF"/>
    <w:rsid w:val="001F49E6"/>
    <w:rsid w:val="001F4E1E"/>
    <w:rsid w:val="001F61E1"/>
    <w:rsid w:val="001F6753"/>
    <w:rsid w:val="001F6C20"/>
    <w:rsid w:val="00200592"/>
    <w:rsid w:val="002027A1"/>
    <w:rsid w:val="00205264"/>
    <w:rsid w:val="0020530B"/>
    <w:rsid w:val="0020555A"/>
    <w:rsid w:val="00205A8E"/>
    <w:rsid w:val="00205E2B"/>
    <w:rsid w:val="002068E8"/>
    <w:rsid w:val="00207904"/>
    <w:rsid w:val="00207950"/>
    <w:rsid w:val="00210D1F"/>
    <w:rsid w:val="00211615"/>
    <w:rsid w:val="00211C21"/>
    <w:rsid w:val="002130EB"/>
    <w:rsid w:val="00213684"/>
    <w:rsid w:val="00213F84"/>
    <w:rsid w:val="0021655C"/>
    <w:rsid w:val="002167FC"/>
    <w:rsid w:val="0022099B"/>
    <w:rsid w:val="00221F05"/>
    <w:rsid w:val="002226BE"/>
    <w:rsid w:val="002229F2"/>
    <w:rsid w:val="00224848"/>
    <w:rsid w:val="002249B6"/>
    <w:rsid w:val="0022547B"/>
    <w:rsid w:val="00226727"/>
    <w:rsid w:val="0022757C"/>
    <w:rsid w:val="002276F7"/>
    <w:rsid w:val="0023000F"/>
    <w:rsid w:val="002301EF"/>
    <w:rsid w:val="00231E84"/>
    <w:rsid w:val="00232836"/>
    <w:rsid w:val="00241BE9"/>
    <w:rsid w:val="002429EF"/>
    <w:rsid w:val="00242CE5"/>
    <w:rsid w:val="00245300"/>
    <w:rsid w:val="0024534C"/>
    <w:rsid w:val="00246539"/>
    <w:rsid w:val="002467FE"/>
    <w:rsid w:val="00247EBB"/>
    <w:rsid w:val="00250C10"/>
    <w:rsid w:val="00251E0E"/>
    <w:rsid w:val="00251F2C"/>
    <w:rsid w:val="00254566"/>
    <w:rsid w:val="0025639D"/>
    <w:rsid w:val="00256654"/>
    <w:rsid w:val="00257FAD"/>
    <w:rsid w:val="00260D84"/>
    <w:rsid w:val="00261AF1"/>
    <w:rsid w:val="002622DE"/>
    <w:rsid w:val="00263B32"/>
    <w:rsid w:val="00266D5E"/>
    <w:rsid w:val="00267B7E"/>
    <w:rsid w:val="002709CE"/>
    <w:rsid w:val="0027223F"/>
    <w:rsid w:val="00273058"/>
    <w:rsid w:val="0027374B"/>
    <w:rsid w:val="00273AC0"/>
    <w:rsid w:val="00273F5F"/>
    <w:rsid w:val="00274337"/>
    <w:rsid w:val="00274F7F"/>
    <w:rsid w:val="00275578"/>
    <w:rsid w:val="00275E9B"/>
    <w:rsid w:val="00277D44"/>
    <w:rsid w:val="00280361"/>
    <w:rsid w:val="00281444"/>
    <w:rsid w:val="00281E4D"/>
    <w:rsid w:val="002825CD"/>
    <w:rsid w:val="00282EA0"/>
    <w:rsid w:val="002849D0"/>
    <w:rsid w:val="00284C63"/>
    <w:rsid w:val="0028532A"/>
    <w:rsid w:val="0028661C"/>
    <w:rsid w:val="00290B9F"/>
    <w:rsid w:val="00291F79"/>
    <w:rsid w:val="00292930"/>
    <w:rsid w:val="00292B89"/>
    <w:rsid w:val="0029483F"/>
    <w:rsid w:val="0029786E"/>
    <w:rsid w:val="002A2A85"/>
    <w:rsid w:val="002A498D"/>
    <w:rsid w:val="002B0117"/>
    <w:rsid w:val="002B112E"/>
    <w:rsid w:val="002B179A"/>
    <w:rsid w:val="002B35C9"/>
    <w:rsid w:val="002B3B84"/>
    <w:rsid w:val="002B4B15"/>
    <w:rsid w:val="002B5332"/>
    <w:rsid w:val="002B615C"/>
    <w:rsid w:val="002C0418"/>
    <w:rsid w:val="002C187B"/>
    <w:rsid w:val="002C27C3"/>
    <w:rsid w:val="002C2901"/>
    <w:rsid w:val="002C40D8"/>
    <w:rsid w:val="002C57B4"/>
    <w:rsid w:val="002C57F6"/>
    <w:rsid w:val="002C5CF0"/>
    <w:rsid w:val="002C61E6"/>
    <w:rsid w:val="002D1265"/>
    <w:rsid w:val="002D14D4"/>
    <w:rsid w:val="002D18BC"/>
    <w:rsid w:val="002D3350"/>
    <w:rsid w:val="002D3A7A"/>
    <w:rsid w:val="002D4402"/>
    <w:rsid w:val="002D52B8"/>
    <w:rsid w:val="002D52D6"/>
    <w:rsid w:val="002D5BD0"/>
    <w:rsid w:val="002D5ED4"/>
    <w:rsid w:val="002D68FA"/>
    <w:rsid w:val="002D6B2E"/>
    <w:rsid w:val="002E00C8"/>
    <w:rsid w:val="002E0226"/>
    <w:rsid w:val="002E06F1"/>
    <w:rsid w:val="002E07BA"/>
    <w:rsid w:val="002E0E09"/>
    <w:rsid w:val="002E60BC"/>
    <w:rsid w:val="002E6F77"/>
    <w:rsid w:val="002E721B"/>
    <w:rsid w:val="002F0325"/>
    <w:rsid w:val="002F0CED"/>
    <w:rsid w:val="002F1405"/>
    <w:rsid w:val="002F2667"/>
    <w:rsid w:val="002F2AF6"/>
    <w:rsid w:val="002F357A"/>
    <w:rsid w:val="002F39F4"/>
    <w:rsid w:val="002F420A"/>
    <w:rsid w:val="002F5789"/>
    <w:rsid w:val="002F7B74"/>
    <w:rsid w:val="00301DBA"/>
    <w:rsid w:val="00302BED"/>
    <w:rsid w:val="00302F51"/>
    <w:rsid w:val="00303CD7"/>
    <w:rsid w:val="00303F68"/>
    <w:rsid w:val="00304327"/>
    <w:rsid w:val="003043D5"/>
    <w:rsid w:val="00304F36"/>
    <w:rsid w:val="00305EE3"/>
    <w:rsid w:val="00306600"/>
    <w:rsid w:val="00306CE4"/>
    <w:rsid w:val="003079BC"/>
    <w:rsid w:val="003103B7"/>
    <w:rsid w:val="003108AB"/>
    <w:rsid w:val="003147DA"/>
    <w:rsid w:val="00316A75"/>
    <w:rsid w:val="0031733C"/>
    <w:rsid w:val="003202C4"/>
    <w:rsid w:val="00320C41"/>
    <w:rsid w:val="003235B8"/>
    <w:rsid w:val="00326A07"/>
    <w:rsid w:val="00327CFA"/>
    <w:rsid w:val="00330925"/>
    <w:rsid w:val="003312F8"/>
    <w:rsid w:val="00332895"/>
    <w:rsid w:val="003348B4"/>
    <w:rsid w:val="00334E86"/>
    <w:rsid w:val="00335EB1"/>
    <w:rsid w:val="00336CC7"/>
    <w:rsid w:val="003400C1"/>
    <w:rsid w:val="003408AC"/>
    <w:rsid w:val="00341061"/>
    <w:rsid w:val="00344C93"/>
    <w:rsid w:val="003461F4"/>
    <w:rsid w:val="00347A6E"/>
    <w:rsid w:val="00347F37"/>
    <w:rsid w:val="00350E7A"/>
    <w:rsid w:val="00352014"/>
    <w:rsid w:val="003539AD"/>
    <w:rsid w:val="00353D3D"/>
    <w:rsid w:val="00355645"/>
    <w:rsid w:val="00356E68"/>
    <w:rsid w:val="00357299"/>
    <w:rsid w:val="0035798C"/>
    <w:rsid w:val="003609AE"/>
    <w:rsid w:val="00360FAC"/>
    <w:rsid w:val="0036276C"/>
    <w:rsid w:val="00363222"/>
    <w:rsid w:val="0036505D"/>
    <w:rsid w:val="00365204"/>
    <w:rsid w:val="0036529B"/>
    <w:rsid w:val="003669A0"/>
    <w:rsid w:val="00366D1D"/>
    <w:rsid w:val="00372EE0"/>
    <w:rsid w:val="00373B99"/>
    <w:rsid w:val="003741C6"/>
    <w:rsid w:val="003744C4"/>
    <w:rsid w:val="00374F3B"/>
    <w:rsid w:val="00377A42"/>
    <w:rsid w:val="00377B3C"/>
    <w:rsid w:val="00377B46"/>
    <w:rsid w:val="0038219F"/>
    <w:rsid w:val="003837C7"/>
    <w:rsid w:val="0038526E"/>
    <w:rsid w:val="0038546C"/>
    <w:rsid w:val="0038688F"/>
    <w:rsid w:val="00386A55"/>
    <w:rsid w:val="00390D24"/>
    <w:rsid w:val="003928E9"/>
    <w:rsid w:val="0039520C"/>
    <w:rsid w:val="00395556"/>
    <w:rsid w:val="00395FF3"/>
    <w:rsid w:val="0039614D"/>
    <w:rsid w:val="003961E8"/>
    <w:rsid w:val="003971C7"/>
    <w:rsid w:val="0039729A"/>
    <w:rsid w:val="003A2479"/>
    <w:rsid w:val="003A2EAC"/>
    <w:rsid w:val="003A48A7"/>
    <w:rsid w:val="003A5F0E"/>
    <w:rsid w:val="003A7841"/>
    <w:rsid w:val="003A7F6C"/>
    <w:rsid w:val="003B16FB"/>
    <w:rsid w:val="003B2AAC"/>
    <w:rsid w:val="003B602E"/>
    <w:rsid w:val="003C1CC6"/>
    <w:rsid w:val="003C2929"/>
    <w:rsid w:val="003C5354"/>
    <w:rsid w:val="003C5636"/>
    <w:rsid w:val="003C62BA"/>
    <w:rsid w:val="003C6490"/>
    <w:rsid w:val="003C7EFF"/>
    <w:rsid w:val="003D133F"/>
    <w:rsid w:val="003D13E3"/>
    <w:rsid w:val="003D3D48"/>
    <w:rsid w:val="003D3E93"/>
    <w:rsid w:val="003D47B3"/>
    <w:rsid w:val="003D5E70"/>
    <w:rsid w:val="003D77DB"/>
    <w:rsid w:val="003E0A85"/>
    <w:rsid w:val="003E2082"/>
    <w:rsid w:val="003E3C4E"/>
    <w:rsid w:val="003E5809"/>
    <w:rsid w:val="003E5C16"/>
    <w:rsid w:val="003E6528"/>
    <w:rsid w:val="003E688A"/>
    <w:rsid w:val="003E6BD1"/>
    <w:rsid w:val="003F06A8"/>
    <w:rsid w:val="003F13F2"/>
    <w:rsid w:val="003F15B2"/>
    <w:rsid w:val="003F2AFB"/>
    <w:rsid w:val="003F2FF6"/>
    <w:rsid w:val="003F77BA"/>
    <w:rsid w:val="003F7AB6"/>
    <w:rsid w:val="0040136A"/>
    <w:rsid w:val="00401A59"/>
    <w:rsid w:val="00401C31"/>
    <w:rsid w:val="00403295"/>
    <w:rsid w:val="00404EBB"/>
    <w:rsid w:val="00405640"/>
    <w:rsid w:val="0040567E"/>
    <w:rsid w:val="00406942"/>
    <w:rsid w:val="00406A4D"/>
    <w:rsid w:val="00406DF2"/>
    <w:rsid w:val="00407010"/>
    <w:rsid w:val="004072AA"/>
    <w:rsid w:val="00407BB6"/>
    <w:rsid w:val="00413709"/>
    <w:rsid w:val="00414DB4"/>
    <w:rsid w:val="00415962"/>
    <w:rsid w:val="004203C4"/>
    <w:rsid w:val="0042201B"/>
    <w:rsid w:val="004224E8"/>
    <w:rsid w:val="00422C13"/>
    <w:rsid w:val="00423AA1"/>
    <w:rsid w:val="00423B1A"/>
    <w:rsid w:val="00424ABA"/>
    <w:rsid w:val="00424ADD"/>
    <w:rsid w:val="00425523"/>
    <w:rsid w:val="004257A5"/>
    <w:rsid w:val="00427D90"/>
    <w:rsid w:val="00427DDB"/>
    <w:rsid w:val="00430007"/>
    <w:rsid w:val="004303DA"/>
    <w:rsid w:val="0043183D"/>
    <w:rsid w:val="00431C6C"/>
    <w:rsid w:val="00431CF4"/>
    <w:rsid w:val="00431FB9"/>
    <w:rsid w:val="0043484B"/>
    <w:rsid w:val="0043655F"/>
    <w:rsid w:val="00436A24"/>
    <w:rsid w:val="00441AC5"/>
    <w:rsid w:val="00441BBF"/>
    <w:rsid w:val="00441F11"/>
    <w:rsid w:val="00446405"/>
    <w:rsid w:val="004504E4"/>
    <w:rsid w:val="00450960"/>
    <w:rsid w:val="004525F8"/>
    <w:rsid w:val="004546D9"/>
    <w:rsid w:val="0045504D"/>
    <w:rsid w:val="00455280"/>
    <w:rsid w:val="00455C4C"/>
    <w:rsid w:val="004561A0"/>
    <w:rsid w:val="00456701"/>
    <w:rsid w:val="004622D5"/>
    <w:rsid w:val="00462A20"/>
    <w:rsid w:val="00463F5B"/>
    <w:rsid w:val="004650F1"/>
    <w:rsid w:val="004655BA"/>
    <w:rsid w:val="0046598F"/>
    <w:rsid w:val="00467E36"/>
    <w:rsid w:val="00467F91"/>
    <w:rsid w:val="00471175"/>
    <w:rsid w:val="00471B09"/>
    <w:rsid w:val="00472107"/>
    <w:rsid w:val="0047447E"/>
    <w:rsid w:val="004752BC"/>
    <w:rsid w:val="00475DD6"/>
    <w:rsid w:val="004760F4"/>
    <w:rsid w:val="0047695F"/>
    <w:rsid w:val="004807C2"/>
    <w:rsid w:val="00482EFE"/>
    <w:rsid w:val="00483921"/>
    <w:rsid w:val="00483B16"/>
    <w:rsid w:val="00485DA0"/>
    <w:rsid w:val="004870D6"/>
    <w:rsid w:val="00487648"/>
    <w:rsid w:val="00487A31"/>
    <w:rsid w:val="00492E06"/>
    <w:rsid w:val="004951F1"/>
    <w:rsid w:val="00495519"/>
    <w:rsid w:val="0049576A"/>
    <w:rsid w:val="004959E1"/>
    <w:rsid w:val="004961A5"/>
    <w:rsid w:val="004974D1"/>
    <w:rsid w:val="004A0176"/>
    <w:rsid w:val="004A01E2"/>
    <w:rsid w:val="004A04E6"/>
    <w:rsid w:val="004A2611"/>
    <w:rsid w:val="004A3E43"/>
    <w:rsid w:val="004A4362"/>
    <w:rsid w:val="004A46AF"/>
    <w:rsid w:val="004A5064"/>
    <w:rsid w:val="004A7D2D"/>
    <w:rsid w:val="004B09B1"/>
    <w:rsid w:val="004B0CC1"/>
    <w:rsid w:val="004B103A"/>
    <w:rsid w:val="004B26E4"/>
    <w:rsid w:val="004B2A52"/>
    <w:rsid w:val="004B5632"/>
    <w:rsid w:val="004B7525"/>
    <w:rsid w:val="004B7AF2"/>
    <w:rsid w:val="004B7BF8"/>
    <w:rsid w:val="004C0B8A"/>
    <w:rsid w:val="004C0FD1"/>
    <w:rsid w:val="004C1192"/>
    <w:rsid w:val="004C1D0C"/>
    <w:rsid w:val="004C414A"/>
    <w:rsid w:val="004C417E"/>
    <w:rsid w:val="004C658D"/>
    <w:rsid w:val="004C70B9"/>
    <w:rsid w:val="004C7FF6"/>
    <w:rsid w:val="004D0216"/>
    <w:rsid w:val="004D09EA"/>
    <w:rsid w:val="004D144E"/>
    <w:rsid w:val="004D14D0"/>
    <w:rsid w:val="004D4579"/>
    <w:rsid w:val="004D4924"/>
    <w:rsid w:val="004D4CC8"/>
    <w:rsid w:val="004D591C"/>
    <w:rsid w:val="004D5C16"/>
    <w:rsid w:val="004D5E52"/>
    <w:rsid w:val="004D7526"/>
    <w:rsid w:val="004D7E72"/>
    <w:rsid w:val="004E02B4"/>
    <w:rsid w:val="004E18DF"/>
    <w:rsid w:val="004E2218"/>
    <w:rsid w:val="004E5B2F"/>
    <w:rsid w:val="004E6173"/>
    <w:rsid w:val="004E65E0"/>
    <w:rsid w:val="004F4842"/>
    <w:rsid w:val="004F4E5F"/>
    <w:rsid w:val="004F53C3"/>
    <w:rsid w:val="004F5EE5"/>
    <w:rsid w:val="004F6515"/>
    <w:rsid w:val="004F6C89"/>
    <w:rsid w:val="004F6CB5"/>
    <w:rsid w:val="004F75B8"/>
    <w:rsid w:val="00500AA2"/>
    <w:rsid w:val="00500B41"/>
    <w:rsid w:val="00501499"/>
    <w:rsid w:val="0050204F"/>
    <w:rsid w:val="00502CB3"/>
    <w:rsid w:val="00502DC5"/>
    <w:rsid w:val="0050348A"/>
    <w:rsid w:val="00503601"/>
    <w:rsid w:val="00505775"/>
    <w:rsid w:val="00507E05"/>
    <w:rsid w:val="005100DA"/>
    <w:rsid w:val="0051012C"/>
    <w:rsid w:val="005105C5"/>
    <w:rsid w:val="00510CB3"/>
    <w:rsid w:val="00511647"/>
    <w:rsid w:val="0051168F"/>
    <w:rsid w:val="0051241A"/>
    <w:rsid w:val="00513724"/>
    <w:rsid w:val="005144AA"/>
    <w:rsid w:val="00514C3F"/>
    <w:rsid w:val="00521DEC"/>
    <w:rsid w:val="0052259E"/>
    <w:rsid w:val="00523D3E"/>
    <w:rsid w:val="005241D8"/>
    <w:rsid w:val="00524225"/>
    <w:rsid w:val="005272A6"/>
    <w:rsid w:val="00530019"/>
    <w:rsid w:val="005304D9"/>
    <w:rsid w:val="00532CAF"/>
    <w:rsid w:val="00532CE7"/>
    <w:rsid w:val="005339DD"/>
    <w:rsid w:val="00533D34"/>
    <w:rsid w:val="00533E42"/>
    <w:rsid w:val="0053400F"/>
    <w:rsid w:val="0053402B"/>
    <w:rsid w:val="00534546"/>
    <w:rsid w:val="00537077"/>
    <w:rsid w:val="00537207"/>
    <w:rsid w:val="0054144A"/>
    <w:rsid w:val="00542823"/>
    <w:rsid w:val="00543072"/>
    <w:rsid w:val="0054500C"/>
    <w:rsid w:val="0054595D"/>
    <w:rsid w:val="00546D52"/>
    <w:rsid w:val="0055243F"/>
    <w:rsid w:val="005538B6"/>
    <w:rsid w:val="00557123"/>
    <w:rsid w:val="00557F09"/>
    <w:rsid w:val="00560BF8"/>
    <w:rsid w:val="00560CB0"/>
    <w:rsid w:val="00560DDD"/>
    <w:rsid w:val="00562070"/>
    <w:rsid w:val="0056289A"/>
    <w:rsid w:val="005628B5"/>
    <w:rsid w:val="005629C0"/>
    <w:rsid w:val="0056310F"/>
    <w:rsid w:val="005657E4"/>
    <w:rsid w:val="00565906"/>
    <w:rsid w:val="00570C10"/>
    <w:rsid w:val="005734C0"/>
    <w:rsid w:val="00573BF9"/>
    <w:rsid w:val="0057572A"/>
    <w:rsid w:val="00575CC8"/>
    <w:rsid w:val="005760B0"/>
    <w:rsid w:val="0057626B"/>
    <w:rsid w:val="00576871"/>
    <w:rsid w:val="00577AE8"/>
    <w:rsid w:val="00577CA5"/>
    <w:rsid w:val="0058190B"/>
    <w:rsid w:val="005820A5"/>
    <w:rsid w:val="00582166"/>
    <w:rsid w:val="00582AF0"/>
    <w:rsid w:val="00583E12"/>
    <w:rsid w:val="00584BE5"/>
    <w:rsid w:val="00584D6A"/>
    <w:rsid w:val="00585FEB"/>
    <w:rsid w:val="00587488"/>
    <w:rsid w:val="005874C7"/>
    <w:rsid w:val="005875CE"/>
    <w:rsid w:val="00590BA2"/>
    <w:rsid w:val="005913B0"/>
    <w:rsid w:val="0059146A"/>
    <w:rsid w:val="0059294D"/>
    <w:rsid w:val="005938BC"/>
    <w:rsid w:val="00595130"/>
    <w:rsid w:val="00595D37"/>
    <w:rsid w:val="0059629B"/>
    <w:rsid w:val="005973DF"/>
    <w:rsid w:val="005A1EB8"/>
    <w:rsid w:val="005A204F"/>
    <w:rsid w:val="005A2D58"/>
    <w:rsid w:val="005A3661"/>
    <w:rsid w:val="005A3A61"/>
    <w:rsid w:val="005A418B"/>
    <w:rsid w:val="005A438B"/>
    <w:rsid w:val="005A5217"/>
    <w:rsid w:val="005A58B9"/>
    <w:rsid w:val="005A5D86"/>
    <w:rsid w:val="005A647A"/>
    <w:rsid w:val="005A6F13"/>
    <w:rsid w:val="005A72F7"/>
    <w:rsid w:val="005B1237"/>
    <w:rsid w:val="005B207D"/>
    <w:rsid w:val="005B34B2"/>
    <w:rsid w:val="005B361E"/>
    <w:rsid w:val="005B3931"/>
    <w:rsid w:val="005B3E57"/>
    <w:rsid w:val="005B3F78"/>
    <w:rsid w:val="005B627B"/>
    <w:rsid w:val="005B71BD"/>
    <w:rsid w:val="005C0341"/>
    <w:rsid w:val="005C0471"/>
    <w:rsid w:val="005C17A7"/>
    <w:rsid w:val="005C49DE"/>
    <w:rsid w:val="005C4BD3"/>
    <w:rsid w:val="005C59D1"/>
    <w:rsid w:val="005C7318"/>
    <w:rsid w:val="005C75E5"/>
    <w:rsid w:val="005D0C50"/>
    <w:rsid w:val="005D0ED8"/>
    <w:rsid w:val="005D1ACE"/>
    <w:rsid w:val="005D1BB8"/>
    <w:rsid w:val="005D200D"/>
    <w:rsid w:val="005D5099"/>
    <w:rsid w:val="005D57A9"/>
    <w:rsid w:val="005D5F7B"/>
    <w:rsid w:val="005D632C"/>
    <w:rsid w:val="005D641F"/>
    <w:rsid w:val="005D764A"/>
    <w:rsid w:val="005D7FA9"/>
    <w:rsid w:val="005E03B1"/>
    <w:rsid w:val="005E2003"/>
    <w:rsid w:val="005E2B0C"/>
    <w:rsid w:val="005E4D1B"/>
    <w:rsid w:val="005E5875"/>
    <w:rsid w:val="005F194E"/>
    <w:rsid w:val="005F3773"/>
    <w:rsid w:val="005F3C10"/>
    <w:rsid w:val="005F4540"/>
    <w:rsid w:val="005F4DE8"/>
    <w:rsid w:val="005F5831"/>
    <w:rsid w:val="005F5D8E"/>
    <w:rsid w:val="005F6385"/>
    <w:rsid w:val="005F7E77"/>
    <w:rsid w:val="00603EE8"/>
    <w:rsid w:val="00604679"/>
    <w:rsid w:val="006048F8"/>
    <w:rsid w:val="00604DCF"/>
    <w:rsid w:val="0060524C"/>
    <w:rsid w:val="00607595"/>
    <w:rsid w:val="00610182"/>
    <w:rsid w:val="006108EA"/>
    <w:rsid w:val="00611CE3"/>
    <w:rsid w:val="006139B1"/>
    <w:rsid w:val="00613C3C"/>
    <w:rsid w:val="0061558C"/>
    <w:rsid w:val="006155FB"/>
    <w:rsid w:val="00615E53"/>
    <w:rsid w:val="0061770C"/>
    <w:rsid w:val="00620B6A"/>
    <w:rsid w:val="00621235"/>
    <w:rsid w:val="0062134D"/>
    <w:rsid w:val="00622A2D"/>
    <w:rsid w:val="00622E3F"/>
    <w:rsid w:val="00623450"/>
    <w:rsid w:val="0062449A"/>
    <w:rsid w:val="00624FCF"/>
    <w:rsid w:val="006254A2"/>
    <w:rsid w:val="00625770"/>
    <w:rsid w:val="0062612C"/>
    <w:rsid w:val="006261AC"/>
    <w:rsid w:val="00627725"/>
    <w:rsid w:val="00630751"/>
    <w:rsid w:val="006318C6"/>
    <w:rsid w:val="00632DAB"/>
    <w:rsid w:val="00633B84"/>
    <w:rsid w:val="0063449E"/>
    <w:rsid w:val="00635269"/>
    <w:rsid w:val="00637A97"/>
    <w:rsid w:val="00637C49"/>
    <w:rsid w:val="00637C85"/>
    <w:rsid w:val="00640A50"/>
    <w:rsid w:val="0064235A"/>
    <w:rsid w:val="00642536"/>
    <w:rsid w:val="006427DB"/>
    <w:rsid w:val="00643E00"/>
    <w:rsid w:val="00644A23"/>
    <w:rsid w:val="00647459"/>
    <w:rsid w:val="00647CDC"/>
    <w:rsid w:val="006500E9"/>
    <w:rsid w:val="00650149"/>
    <w:rsid w:val="0065018C"/>
    <w:rsid w:val="006503CF"/>
    <w:rsid w:val="006518C1"/>
    <w:rsid w:val="00653539"/>
    <w:rsid w:val="006542AE"/>
    <w:rsid w:val="006549DB"/>
    <w:rsid w:val="00654D3F"/>
    <w:rsid w:val="00656144"/>
    <w:rsid w:val="00656255"/>
    <w:rsid w:val="0065652E"/>
    <w:rsid w:val="0065657E"/>
    <w:rsid w:val="006578C2"/>
    <w:rsid w:val="00660623"/>
    <w:rsid w:val="00660C8E"/>
    <w:rsid w:val="00662A33"/>
    <w:rsid w:val="00662B07"/>
    <w:rsid w:val="00663357"/>
    <w:rsid w:val="006653A9"/>
    <w:rsid w:val="00665F08"/>
    <w:rsid w:val="0066638F"/>
    <w:rsid w:val="00667F0B"/>
    <w:rsid w:val="0067070D"/>
    <w:rsid w:val="00674B69"/>
    <w:rsid w:val="00675A02"/>
    <w:rsid w:val="006778DC"/>
    <w:rsid w:val="00680F73"/>
    <w:rsid w:val="0068105E"/>
    <w:rsid w:val="006833F9"/>
    <w:rsid w:val="00683F71"/>
    <w:rsid w:val="00684951"/>
    <w:rsid w:val="00684E69"/>
    <w:rsid w:val="00685891"/>
    <w:rsid w:val="006860C6"/>
    <w:rsid w:val="00686EBC"/>
    <w:rsid w:val="00687AC5"/>
    <w:rsid w:val="00687EDA"/>
    <w:rsid w:val="0069005D"/>
    <w:rsid w:val="006916D4"/>
    <w:rsid w:val="00692B30"/>
    <w:rsid w:val="00692DF6"/>
    <w:rsid w:val="006932A8"/>
    <w:rsid w:val="00693BC9"/>
    <w:rsid w:val="006940A1"/>
    <w:rsid w:val="00695ABE"/>
    <w:rsid w:val="00695CAD"/>
    <w:rsid w:val="006968B7"/>
    <w:rsid w:val="0069795D"/>
    <w:rsid w:val="006A25B9"/>
    <w:rsid w:val="006A261D"/>
    <w:rsid w:val="006A2E24"/>
    <w:rsid w:val="006A4177"/>
    <w:rsid w:val="006A47F7"/>
    <w:rsid w:val="006A4D45"/>
    <w:rsid w:val="006A5670"/>
    <w:rsid w:val="006B0439"/>
    <w:rsid w:val="006B30CE"/>
    <w:rsid w:val="006B672C"/>
    <w:rsid w:val="006B7543"/>
    <w:rsid w:val="006C03EE"/>
    <w:rsid w:val="006C0B8E"/>
    <w:rsid w:val="006C10B3"/>
    <w:rsid w:val="006C1D66"/>
    <w:rsid w:val="006C24F1"/>
    <w:rsid w:val="006C379F"/>
    <w:rsid w:val="006C4362"/>
    <w:rsid w:val="006C4B0C"/>
    <w:rsid w:val="006C5275"/>
    <w:rsid w:val="006C6742"/>
    <w:rsid w:val="006C6F81"/>
    <w:rsid w:val="006C774E"/>
    <w:rsid w:val="006D03B9"/>
    <w:rsid w:val="006D065F"/>
    <w:rsid w:val="006D0F6E"/>
    <w:rsid w:val="006D1645"/>
    <w:rsid w:val="006D1ECE"/>
    <w:rsid w:val="006D648A"/>
    <w:rsid w:val="006D6ACB"/>
    <w:rsid w:val="006E0940"/>
    <w:rsid w:val="006E0D71"/>
    <w:rsid w:val="006E304A"/>
    <w:rsid w:val="006E5EDE"/>
    <w:rsid w:val="006E619E"/>
    <w:rsid w:val="006E79CF"/>
    <w:rsid w:val="006F079E"/>
    <w:rsid w:val="006F11D9"/>
    <w:rsid w:val="006F1915"/>
    <w:rsid w:val="006F2274"/>
    <w:rsid w:val="006F27D2"/>
    <w:rsid w:val="006F357C"/>
    <w:rsid w:val="006F46E8"/>
    <w:rsid w:val="006F482D"/>
    <w:rsid w:val="006F523C"/>
    <w:rsid w:val="006F560B"/>
    <w:rsid w:val="006F6549"/>
    <w:rsid w:val="006F7019"/>
    <w:rsid w:val="0070222E"/>
    <w:rsid w:val="007027E4"/>
    <w:rsid w:val="00702DA5"/>
    <w:rsid w:val="00703175"/>
    <w:rsid w:val="00703457"/>
    <w:rsid w:val="0070396D"/>
    <w:rsid w:val="00703C43"/>
    <w:rsid w:val="007056E4"/>
    <w:rsid w:val="00705760"/>
    <w:rsid w:val="0070641E"/>
    <w:rsid w:val="00706853"/>
    <w:rsid w:val="00707CF7"/>
    <w:rsid w:val="00710101"/>
    <w:rsid w:val="0071030B"/>
    <w:rsid w:val="00710D9C"/>
    <w:rsid w:val="0071164F"/>
    <w:rsid w:val="00712E6C"/>
    <w:rsid w:val="00712EA2"/>
    <w:rsid w:val="007137C6"/>
    <w:rsid w:val="00713836"/>
    <w:rsid w:val="00713B48"/>
    <w:rsid w:val="0071503A"/>
    <w:rsid w:val="00716194"/>
    <w:rsid w:val="00716967"/>
    <w:rsid w:val="0072091A"/>
    <w:rsid w:val="00720FB2"/>
    <w:rsid w:val="007228E0"/>
    <w:rsid w:val="0072384A"/>
    <w:rsid w:val="00723D37"/>
    <w:rsid w:val="007242D2"/>
    <w:rsid w:val="007255DA"/>
    <w:rsid w:val="0072621E"/>
    <w:rsid w:val="00726296"/>
    <w:rsid w:val="0072731F"/>
    <w:rsid w:val="00727E35"/>
    <w:rsid w:val="00733AEC"/>
    <w:rsid w:val="00733FC5"/>
    <w:rsid w:val="00734BFB"/>
    <w:rsid w:val="00735023"/>
    <w:rsid w:val="007351EF"/>
    <w:rsid w:val="0074061B"/>
    <w:rsid w:val="00740E39"/>
    <w:rsid w:val="00741BB9"/>
    <w:rsid w:val="00741F6A"/>
    <w:rsid w:val="00742AD6"/>
    <w:rsid w:val="007437EB"/>
    <w:rsid w:val="00744671"/>
    <w:rsid w:val="00745E88"/>
    <w:rsid w:val="0075193C"/>
    <w:rsid w:val="00752449"/>
    <w:rsid w:val="00753173"/>
    <w:rsid w:val="00754E35"/>
    <w:rsid w:val="0075515C"/>
    <w:rsid w:val="00756C2D"/>
    <w:rsid w:val="0076268F"/>
    <w:rsid w:val="007629F0"/>
    <w:rsid w:val="00763332"/>
    <w:rsid w:val="0076549A"/>
    <w:rsid w:val="00765C00"/>
    <w:rsid w:val="00765FF1"/>
    <w:rsid w:val="00766793"/>
    <w:rsid w:val="007678F6"/>
    <w:rsid w:val="007702DA"/>
    <w:rsid w:val="00771B5D"/>
    <w:rsid w:val="007721A2"/>
    <w:rsid w:val="0077392E"/>
    <w:rsid w:val="00773F51"/>
    <w:rsid w:val="00774B20"/>
    <w:rsid w:val="007754F2"/>
    <w:rsid w:val="00775E6F"/>
    <w:rsid w:val="00777A12"/>
    <w:rsid w:val="00777E9B"/>
    <w:rsid w:val="0078015F"/>
    <w:rsid w:val="00780434"/>
    <w:rsid w:val="007820A9"/>
    <w:rsid w:val="007837DB"/>
    <w:rsid w:val="00785CB9"/>
    <w:rsid w:val="007864D0"/>
    <w:rsid w:val="00786FD8"/>
    <w:rsid w:val="00787F8B"/>
    <w:rsid w:val="00790340"/>
    <w:rsid w:val="0079284F"/>
    <w:rsid w:val="00792C1D"/>
    <w:rsid w:val="00793100"/>
    <w:rsid w:val="00793164"/>
    <w:rsid w:val="007942F3"/>
    <w:rsid w:val="00794727"/>
    <w:rsid w:val="007966DC"/>
    <w:rsid w:val="00796F5A"/>
    <w:rsid w:val="0079722C"/>
    <w:rsid w:val="007A08AE"/>
    <w:rsid w:val="007A0BAC"/>
    <w:rsid w:val="007A3747"/>
    <w:rsid w:val="007A3843"/>
    <w:rsid w:val="007A54D9"/>
    <w:rsid w:val="007A7307"/>
    <w:rsid w:val="007A7C16"/>
    <w:rsid w:val="007B0CF7"/>
    <w:rsid w:val="007B3041"/>
    <w:rsid w:val="007B3310"/>
    <w:rsid w:val="007B358F"/>
    <w:rsid w:val="007B4A8B"/>
    <w:rsid w:val="007B5819"/>
    <w:rsid w:val="007B5AA9"/>
    <w:rsid w:val="007C0E80"/>
    <w:rsid w:val="007C1A82"/>
    <w:rsid w:val="007C3F1A"/>
    <w:rsid w:val="007C4502"/>
    <w:rsid w:val="007C499A"/>
    <w:rsid w:val="007C570B"/>
    <w:rsid w:val="007C5EDE"/>
    <w:rsid w:val="007C7F99"/>
    <w:rsid w:val="007D0508"/>
    <w:rsid w:val="007D43CB"/>
    <w:rsid w:val="007D49FC"/>
    <w:rsid w:val="007D682B"/>
    <w:rsid w:val="007E0941"/>
    <w:rsid w:val="007E3012"/>
    <w:rsid w:val="007E42AF"/>
    <w:rsid w:val="007E52C7"/>
    <w:rsid w:val="007E726E"/>
    <w:rsid w:val="007E7520"/>
    <w:rsid w:val="007E7712"/>
    <w:rsid w:val="007F01C3"/>
    <w:rsid w:val="007F1DB4"/>
    <w:rsid w:val="007F3C2C"/>
    <w:rsid w:val="007F5462"/>
    <w:rsid w:val="007F6D1D"/>
    <w:rsid w:val="007F6E4D"/>
    <w:rsid w:val="007F7AD1"/>
    <w:rsid w:val="008001B5"/>
    <w:rsid w:val="00800776"/>
    <w:rsid w:val="00800C36"/>
    <w:rsid w:val="008017AB"/>
    <w:rsid w:val="00801A33"/>
    <w:rsid w:val="008029CF"/>
    <w:rsid w:val="008043FC"/>
    <w:rsid w:val="00805E20"/>
    <w:rsid w:val="00810815"/>
    <w:rsid w:val="00810FC6"/>
    <w:rsid w:val="00811B4F"/>
    <w:rsid w:val="00813646"/>
    <w:rsid w:val="00813C6C"/>
    <w:rsid w:val="00814703"/>
    <w:rsid w:val="00815907"/>
    <w:rsid w:val="00815E18"/>
    <w:rsid w:val="008178A1"/>
    <w:rsid w:val="00820157"/>
    <w:rsid w:val="00820AC3"/>
    <w:rsid w:val="00820AFF"/>
    <w:rsid w:val="008224AA"/>
    <w:rsid w:val="008226FC"/>
    <w:rsid w:val="00822E88"/>
    <w:rsid w:val="00823770"/>
    <w:rsid w:val="008245DD"/>
    <w:rsid w:val="008268EC"/>
    <w:rsid w:val="00832577"/>
    <w:rsid w:val="00832CCA"/>
    <w:rsid w:val="00832D20"/>
    <w:rsid w:val="00832FC4"/>
    <w:rsid w:val="0083314C"/>
    <w:rsid w:val="00834521"/>
    <w:rsid w:val="00837420"/>
    <w:rsid w:val="00842E01"/>
    <w:rsid w:val="008462D0"/>
    <w:rsid w:val="00846E7C"/>
    <w:rsid w:val="00850C5B"/>
    <w:rsid w:val="008510FA"/>
    <w:rsid w:val="00853CCE"/>
    <w:rsid w:val="008546E9"/>
    <w:rsid w:val="00855966"/>
    <w:rsid w:val="008573AD"/>
    <w:rsid w:val="00862215"/>
    <w:rsid w:val="00862349"/>
    <w:rsid w:val="00863012"/>
    <w:rsid w:val="0086360E"/>
    <w:rsid w:val="008646A9"/>
    <w:rsid w:val="008657C2"/>
    <w:rsid w:val="00865890"/>
    <w:rsid w:val="00865D57"/>
    <w:rsid w:val="008668AA"/>
    <w:rsid w:val="00867902"/>
    <w:rsid w:val="00867C7D"/>
    <w:rsid w:val="00867D13"/>
    <w:rsid w:val="008741E1"/>
    <w:rsid w:val="00876E93"/>
    <w:rsid w:val="00877F53"/>
    <w:rsid w:val="0088180E"/>
    <w:rsid w:val="00881919"/>
    <w:rsid w:val="00881E12"/>
    <w:rsid w:val="00881EA1"/>
    <w:rsid w:val="00885F19"/>
    <w:rsid w:val="00891B29"/>
    <w:rsid w:val="00891F22"/>
    <w:rsid w:val="00892418"/>
    <w:rsid w:val="008935A9"/>
    <w:rsid w:val="00896094"/>
    <w:rsid w:val="008965E7"/>
    <w:rsid w:val="008979D7"/>
    <w:rsid w:val="008A1030"/>
    <w:rsid w:val="008A15FA"/>
    <w:rsid w:val="008A3A71"/>
    <w:rsid w:val="008A55B7"/>
    <w:rsid w:val="008A5D78"/>
    <w:rsid w:val="008A638E"/>
    <w:rsid w:val="008A698A"/>
    <w:rsid w:val="008B06B3"/>
    <w:rsid w:val="008B0DF0"/>
    <w:rsid w:val="008B0F3D"/>
    <w:rsid w:val="008B110F"/>
    <w:rsid w:val="008B1779"/>
    <w:rsid w:val="008B24D8"/>
    <w:rsid w:val="008B2B31"/>
    <w:rsid w:val="008B3F4B"/>
    <w:rsid w:val="008B453A"/>
    <w:rsid w:val="008B5BE3"/>
    <w:rsid w:val="008B768C"/>
    <w:rsid w:val="008C075D"/>
    <w:rsid w:val="008C245A"/>
    <w:rsid w:val="008C3BCF"/>
    <w:rsid w:val="008C4029"/>
    <w:rsid w:val="008C57D8"/>
    <w:rsid w:val="008C6731"/>
    <w:rsid w:val="008C6E1F"/>
    <w:rsid w:val="008C7C6B"/>
    <w:rsid w:val="008D1A02"/>
    <w:rsid w:val="008D3B91"/>
    <w:rsid w:val="008D4438"/>
    <w:rsid w:val="008D49A1"/>
    <w:rsid w:val="008E2B2A"/>
    <w:rsid w:val="008E39A1"/>
    <w:rsid w:val="008E4698"/>
    <w:rsid w:val="008E54A1"/>
    <w:rsid w:val="008E72AD"/>
    <w:rsid w:val="008F152A"/>
    <w:rsid w:val="008F1D9B"/>
    <w:rsid w:val="008F23AB"/>
    <w:rsid w:val="008F2604"/>
    <w:rsid w:val="008F322D"/>
    <w:rsid w:val="008F3CE2"/>
    <w:rsid w:val="008F544B"/>
    <w:rsid w:val="008F5C3D"/>
    <w:rsid w:val="008F5D1B"/>
    <w:rsid w:val="008F5F43"/>
    <w:rsid w:val="008F608B"/>
    <w:rsid w:val="008F641E"/>
    <w:rsid w:val="00900AB2"/>
    <w:rsid w:val="00901431"/>
    <w:rsid w:val="0090167E"/>
    <w:rsid w:val="0090202B"/>
    <w:rsid w:val="009023FC"/>
    <w:rsid w:val="00903944"/>
    <w:rsid w:val="00903C01"/>
    <w:rsid w:val="00904668"/>
    <w:rsid w:val="009058D0"/>
    <w:rsid w:val="009063E9"/>
    <w:rsid w:val="009065E3"/>
    <w:rsid w:val="00910ADE"/>
    <w:rsid w:val="00910E54"/>
    <w:rsid w:val="0091116F"/>
    <w:rsid w:val="009117D9"/>
    <w:rsid w:val="0091230F"/>
    <w:rsid w:val="00912E25"/>
    <w:rsid w:val="00913AB4"/>
    <w:rsid w:val="00913E16"/>
    <w:rsid w:val="00914250"/>
    <w:rsid w:val="00914A68"/>
    <w:rsid w:val="009167EB"/>
    <w:rsid w:val="009171BD"/>
    <w:rsid w:val="009203F1"/>
    <w:rsid w:val="00920B0F"/>
    <w:rsid w:val="009222CD"/>
    <w:rsid w:val="00923A95"/>
    <w:rsid w:val="00925909"/>
    <w:rsid w:val="00926676"/>
    <w:rsid w:val="009267D6"/>
    <w:rsid w:val="009278B0"/>
    <w:rsid w:val="00933469"/>
    <w:rsid w:val="00933F82"/>
    <w:rsid w:val="00935A2A"/>
    <w:rsid w:val="00936C94"/>
    <w:rsid w:val="00937AA3"/>
    <w:rsid w:val="00940F1C"/>
    <w:rsid w:val="00941105"/>
    <w:rsid w:val="009432DC"/>
    <w:rsid w:val="00945045"/>
    <w:rsid w:val="0094552F"/>
    <w:rsid w:val="0094585F"/>
    <w:rsid w:val="00946FF5"/>
    <w:rsid w:val="0094735E"/>
    <w:rsid w:val="00947455"/>
    <w:rsid w:val="00947A56"/>
    <w:rsid w:val="00950EB5"/>
    <w:rsid w:val="00952336"/>
    <w:rsid w:val="009531BB"/>
    <w:rsid w:val="009532E0"/>
    <w:rsid w:val="00953E6B"/>
    <w:rsid w:val="009540A8"/>
    <w:rsid w:val="00954437"/>
    <w:rsid w:val="00956559"/>
    <w:rsid w:val="009606C2"/>
    <w:rsid w:val="00960DA8"/>
    <w:rsid w:val="0096116C"/>
    <w:rsid w:val="00961ECB"/>
    <w:rsid w:val="0096285C"/>
    <w:rsid w:val="00962A96"/>
    <w:rsid w:val="009632AA"/>
    <w:rsid w:val="00965F80"/>
    <w:rsid w:val="00965FE1"/>
    <w:rsid w:val="009667DE"/>
    <w:rsid w:val="009675EC"/>
    <w:rsid w:val="00970198"/>
    <w:rsid w:val="009713E0"/>
    <w:rsid w:val="00972D95"/>
    <w:rsid w:val="00973420"/>
    <w:rsid w:val="00973D20"/>
    <w:rsid w:val="00973D2F"/>
    <w:rsid w:val="00974553"/>
    <w:rsid w:val="00975802"/>
    <w:rsid w:val="00975D77"/>
    <w:rsid w:val="00976157"/>
    <w:rsid w:val="0097725F"/>
    <w:rsid w:val="00977566"/>
    <w:rsid w:val="00980469"/>
    <w:rsid w:val="009812E2"/>
    <w:rsid w:val="009820E7"/>
    <w:rsid w:val="00982310"/>
    <w:rsid w:val="009834CB"/>
    <w:rsid w:val="009840F7"/>
    <w:rsid w:val="00984AC8"/>
    <w:rsid w:val="00984EA0"/>
    <w:rsid w:val="00985121"/>
    <w:rsid w:val="00985C9D"/>
    <w:rsid w:val="00986082"/>
    <w:rsid w:val="0098637C"/>
    <w:rsid w:val="009865CE"/>
    <w:rsid w:val="00986712"/>
    <w:rsid w:val="00986D2B"/>
    <w:rsid w:val="00991ACC"/>
    <w:rsid w:val="00992A74"/>
    <w:rsid w:val="00993769"/>
    <w:rsid w:val="00994B37"/>
    <w:rsid w:val="00995133"/>
    <w:rsid w:val="00995CDA"/>
    <w:rsid w:val="009965B9"/>
    <w:rsid w:val="00997674"/>
    <w:rsid w:val="009A094E"/>
    <w:rsid w:val="009A1785"/>
    <w:rsid w:val="009A259B"/>
    <w:rsid w:val="009A4A66"/>
    <w:rsid w:val="009A4E12"/>
    <w:rsid w:val="009A4EA8"/>
    <w:rsid w:val="009A5699"/>
    <w:rsid w:val="009A5E08"/>
    <w:rsid w:val="009A61E8"/>
    <w:rsid w:val="009A75C6"/>
    <w:rsid w:val="009A76A2"/>
    <w:rsid w:val="009A7C06"/>
    <w:rsid w:val="009B0183"/>
    <w:rsid w:val="009B132C"/>
    <w:rsid w:val="009B2B47"/>
    <w:rsid w:val="009B2D68"/>
    <w:rsid w:val="009B3A06"/>
    <w:rsid w:val="009B4583"/>
    <w:rsid w:val="009B5922"/>
    <w:rsid w:val="009B7355"/>
    <w:rsid w:val="009B7997"/>
    <w:rsid w:val="009C0D3A"/>
    <w:rsid w:val="009C10AE"/>
    <w:rsid w:val="009C1439"/>
    <w:rsid w:val="009C2B8F"/>
    <w:rsid w:val="009C2FBB"/>
    <w:rsid w:val="009C4C8A"/>
    <w:rsid w:val="009C5588"/>
    <w:rsid w:val="009C7AA6"/>
    <w:rsid w:val="009D022C"/>
    <w:rsid w:val="009D0430"/>
    <w:rsid w:val="009D0D5D"/>
    <w:rsid w:val="009D2C18"/>
    <w:rsid w:val="009D3DB4"/>
    <w:rsid w:val="009D4320"/>
    <w:rsid w:val="009D4849"/>
    <w:rsid w:val="009D4F47"/>
    <w:rsid w:val="009D6904"/>
    <w:rsid w:val="009D6AE1"/>
    <w:rsid w:val="009E14D5"/>
    <w:rsid w:val="009E1D43"/>
    <w:rsid w:val="009E2264"/>
    <w:rsid w:val="009E376A"/>
    <w:rsid w:val="009E3C7C"/>
    <w:rsid w:val="009E3D6A"/>
    <w:rsid w:val="009E3D90"/>
    <w:rsid w:val="009E447D"/>
    <w:rsid w:val="009E64B8"/>
    <w:rsid w:val="009F0153"/>
    <w:rsid w:val="009F0669"/>
    <w:rsid w:val="009F0F78"/>
    <w:rsid w:val="009F322B"/>
    <w:rsid w:val="009F6D66"/>
    <w:rsid w:val="009F7C12"/>
    <w:rsid w:val="00A01329"/>
    <w:rsid w:val="00A015EF"/>
    <w:rsid w:val="00A01AF4"/>
    <w:rsid w:val="00A02653"/>
    <w:rsid w:val="00A03C33"/>
    <w:rsid w:val="00A04995"/>
    <w:rsid w:val="00A04A18"/>
    <w:rsid w:val="00A05373"/>
    <w:rsid w:val="00A05CFC"/>
    <w:rsid w:val="00A06B96"/>
    <w:rsid w:val="00A07334"/>
    <w:rsid w:val="00A10A58"/>
    <w:rsid w:val="00A10C96"/>
    <w:rsid w:val="00A11CA6"/>
    <w:rsid w:val="00A141E6"/>
    <w:rsid w:val="00A14CDC"/>
    <w:rsid w:val="00A16489"/>
    <w:rsid w:val="00A168C2"/>
    <w:rsid w:val="00A16CFF"/>
    <w:rsid w:val="00A17074"/>
    <w:rsid w:val="00A17D6F"/>
    <w:rsid w:val="00A216C4"/>
    <w:rsid w:val="00A216C6"/>
    <w:rsid w:val="00A219C2"/>
    <w:rsid w:val="00A2469A"/>
    <w:rsid w:val="00A2559D"/>
    <w:rsid w:val="00A25B4A"/>
    <w:rsid w:val="00A26271"/>
    <w:rsid w:val="00A306BE"/>
    <w:rsid w:val="00A30E3F"/>
    <w:rsid w:val="00A30EC0"/>
    <w:rsid w:val="00A31390"/>
    <w:rsid w:val="00A3197D"/>
    <w:rsid w:val="00A344DA"/>
    <w:rsid w:val="00A353F0"/>
    <w:rsid w:val="00A35A4B"/>
    <w:rsid w:val="00A366E8"/>
    <w:rsid w:val="00A3759A"/>
    <w:rsid w:val="00A4313F"/>
    <w:rsid w:val="00A453E5"/>
    <w:rsid w:val="00A47B5E"/>
    <w:rsid w:val="00A50433"/>
    <w:rsid w:val="00A5093B"/>
    <w:rsid w:val="00A50BB7"/>
    <w:rsid w:val="00A51655"/>
    <w:rsid w:val="00A526AA"/>
    <w:rsid w:val="00A53B47"/>
    <w:rsid w:val="00A5478F"/>
    <w:rsid w:val="00A5645F"/>
    <w:rsid w:val="00A56DE9"/>
    <w:rsid w:val="00A60E81"/>
    <w:rsid w:val="00A6312F"/>
    <w:rsid w:val="00A63F58"/>
    <w:rsid w:val="00A64DD8"/>
    <w:rsid w:val="00A651D4"/>
    <w:rsid w:val="00A65B7B"/>
    <w:rsid w:val="00A665AC"/>
    <w:rsid w:val="00A66FD1"/>
    <w:rsid w:val="00A723FF"/>
    <w:rsid w:val="00A72B44"/>
    <w:rsid w:val="00A7304E"/>
    <w:rsid w:val="00A733D8"/>
    <w:rsid w:val="00A73FC7"/>
    <w:rsid w:val="00A74200"/>
    <w:rsid w:val="00A74655"/>
    <w:rsid w:val="00A7601C"/>
    <w:rsid w:val="00A764F8"/>
    <w:rsid w:val="00A77BD7"/>
    <w:rsid w:val="00A80BD0"/>
    <w:rsid w:val="00A820FA"/>
    <w:rsid w:val="00A82ACD"/>
    <w:rsid w:val="00A82DB1"/>
    <w:rsid w:val="00A83635"/>
    <w:rsid w:val="00A84C8F"/>
    <w:rsid w:val="00A85A50"/>
    <w:rsid w:val="00A87B0B"/>
    <w:rsid w:val="00A90416"/>
    <w:rsid w:val="00A919D3"/>
    <w:rsid w:val="00A91E2C"/>
    <w:rsid w:val="00A930ED"/>
    <w:rsid w:val="00A94593"/>
    <w:rsid w:val="00A95620"/>
    <w:rsid w:val="00A96542"/>
    <w:rsid w:val="00AA04A6"/>
    <w:rsid w:val="00AA0CC7"/>
    <w:rsid w:val="00AA1E47"/>
    <w:rsid w:val="00AA31B9"/>
    <w:rsid w:val="00AA363F"/>
    <w:rsid w:val="00AA3B7D"/>
    <w:rsid w:val="00AA474E"/>
    <w:rsid w:val="00AA6416"/>
    <w:rsid w:val="00AA6C4F"/>
    <w:rsid w:val="00AA6CD9"/>
    <w:rsid w:val="00AB475C"/>
    <w:rsid w:val="00AB49C8"/>
    <w:rsid w:val="00AB4CD5"/>
    <w:rsid w:val="00AB506B"/>
    <w:rsid w:val="00AB7FF0"/>
    <w:rsid w:val="00AC10BE"/>
    <w:rsid w:val="00AC39E4"/>
    <w:rsid w:val="00AC3D90"/>
    <w:rsid w:val="00AC49DB"/>
    <w:rsid w:val="00AC55A7"/>
    <w:rsid w:val="00AC5C47"/>
    <w:rsid w:val="00AC7D5E"/>
    <w:rsid w:val="00AC7D6B"/>
    <w:rsid w:val="00AD10C5"/>
    <w:rsid w:val="00AD1459"/>
    <w:rsid w:val="00AD2462"/>
    <w:rsid w:val="00AD2780"/>
    <w:rsid w:val="00AD2A86"/>
    <w:rsid w:val="00AD4860"/>
    <w:rsid w:val="00AD5800"/>
    <w:rsid w:val="00AD633E"/>
    <w:rsid w:val="00AD6FBA"/>
    <w:rsid w:val="00AE03E9"/>
    <w:rsid w:val="00AE1F86"/>
    <w:rsid w:val="00AE2969"/>
    <w:rsid w:val="00AE331C"/>
    <w:rsid w:val="00AE43FD"/>
    <w:rsid w:val="00AE4B6E"/>
    <w:rsid w:val="00AE62FE"/>
    <w:rsid w:val="00AE6905"/>
    <w:rsid w:val="00AE73D4"/>
    <w:rsid w:val="00AE7A17"/>
    <w:rsid w:val="00AF0E10"/>
    <w:rsid w:val="00AF22DC"/>
    <w:rsid w:val="00AF34A6"/>
    <w:rsid w:val="00AF4DF7"/>
    <w:rsid w:val="00B00A0B"/>
    <w:rsid w:val="00B0153C"/>
    <w:rsid w:val="00B022B9"/>
    <w:rsid w:val="00B031A9"/>
    <w:rsid w:val="00B03DBF"/>
    <w:rsid w:val="00B03E2D"/>
    <w:rsid w:val="00B04A51"/>
    <w:rsid w:val="00B0510E"/>
    <w:rsid w:val="00B0540D"/>
    <w:rsid w:val="00B06184"/>
    <w:rsid w:val="00B06808"/>
    <w:rsid w:val="00B06A7B"/>
    <w:rsid w:val="00B073C2"/>
    <w:rsid w:val="00B07C1C"/>
    <w:rsid w:val="00B12BCA"/>
    <w:rsid w:val="00B14D8C"/>
    <w:rsid w:val="00B16D73"/>
    <w:rsid w:val="00B17859"/>
    <w:rsid w:val="00B212DC"/>
    <w:rsid w:val="00B21679"/>
    <w:rsid w:val="00B2170D"/>
    <w:rsid w:val="00B21D13"/>
    <w:rsid w:val="00B24841"/>
    <w:rsid w:val="00B24C74"/>
    <w:rsid w:val="00B250A2"/>
    <w:rsid w:val="00B25E8B"/>
    <w:rsid w:val="00B2620A"/>
    <w:rsid w:val="00B27886"/>
    <w:rsid w:val="00B30AE1"/>
    <w:rsid w:val="00B30CB7"/>
    <w:rsid w:val="00B322BE"/>
    <w:rsid w:val="00B3287C"/>
    <w:rsid w:val="00B3310D"/>
    <w:rsid w:val="00B334BD"/>
    <w:rsid w:val="00B36FE8"/>
    <w:rsid w:val="00B37378"/>
    <w:rsid w:val="00B374F1"/>
    <w:rsid w:val="00B400AF"/>
    <w:rsid w:val="00B4026A"/>
    <w:rsid w:val="00B413D1"/>
    <w:rsid w:val="00B42721"/>
    <w:rsid w:val="00B42EDD"/>
    <w:rsid w:val="00B434EE"/>
    <w:rsid w:val="00B454B2"/>
    <w:rsid w:val="00B45CF0"/>
    <w:rsid w:val="00B46EA6"/>
    <w:rsid w:val="00B477DB"/>
    <w:rsid w:val="00B47D60"/>
    <w:rsid w:val="00B53425"/>
    <w:rsid w:val="00B537A2"/>
    <w:rsid w:val="00B5428A"/>
    <w:rsid w:val="00B54BA6"/>
    <w:rsid w:val="00B552AD"/>
    <w:rsid w:val="00B5627C"/>
    <w:rsid w:val="00B56E61"/>
    <w:rsid w:val="00B578A0"/>
    <w:rsid w:val="00B624EC"/>
    <w:rsid w:val="00B62EEA"/>
    <w:rsid w:val="00B63328"/>
    <w:rsid w:val="00B636CC"/>
    <w:rsid w:val="00B63F9B"/>
    <w:rsid w:val="00B64D2B"/>
    <w:rsid w:val="00B655B3"/>
    <w:rsid w:val="00B660D8"/>
    <w:rsid w:val="00B74108"/>
    <w:rsid w:val="00B74C3C"/>
    <w:rsid w:val="00B74C56"/>
    <w:rsid w:val="00B75D15"/>
    <w:rsid w:val="00B761C6"/>
    <w:rsid w:val="00B76567"/>
    <w:rsid w:val="00B80D22"/>
    <w:rsid w:val="00B849D9"/>
    <w:rsid w:val="00B86E2B"/>
    <w:rsid w:val="00B874F7"/>
    <w:rsid w:val="00B8776E"/>
    <w:rsid w:val="00B90008"/>
    <w:rsid w:val="00B913FB"/>
    <w:rsid w:val="00B92A9F"/>
    <w:rsid w:val="00B92D32"/>
    <w:rsid w:val="00B94F8C"/>
    <w:rsid w:val="00B9536F"/>
    <w:rsid w:val="00B95A5A"/>
    <w:rsid w:val="00BA2552"/>
    <w:rsid w:val="00BA45F6"/>
    <w:rsid w:val="00BA480C"/>
    <w:rsid w:val="00BA4C8D"/>
    <w:rsid w:val="00BA5DDA"/>
    <w:rsid w:val="00BA612D"/>
    <w:rsid w:val="00BA69E9"/>
    <w:rsid w:val="00BA7788"/>
    <w:rsid w:val="00BB197F"/>
    <w:rsid w:val="00BB1D00"/>
    <w:rsid w:val="00BB2DEC"/>
    <w:rsid w:val="00BB2EEA"/>
    <w:rsid w:val="00BB3DF8"/>
    <w:rsid w:val="00BB4567"/>
    <w:rsid w:val="00BB45A9"/>
    <w:rsid w:val="00BB5399"/>
    <w:rsid w:val="00BB734D"/>
    <w:rsid w:val="00BB7719"/>
    <w:rsid w:val="00BC0BB7"/>
    <w:rsid w:val="00BC1D30"/>
    <w:rsid w:val="00BC4092"/>
    <w:rsid w:val="00BC6096"/>
    <w:rsid w:val="00BC7129"/>
    <w:rsid w:val="00BC7380"/>
    <w:rsid w:val="00BD1B9B"/>
    <w:rsid w:val="00BD1EDB"/>
    <w:rsid w:val="00BD531A"/>
    <w:rsid w:val="00BD5571"/>
    <w:rsid w:val="00BD57B9"/>
    <w:rsid w:val="00BD6180"/>
    <w:rsid w:val="00BE0BC2"/>
    <w:rsid w:val="00BE1926"/>
    <w:rsid w:val="00BE2A24"/>
    <w:rsid w:val="00BE325A"/>
    <w:rsid w:val="00BE593B"/>
    <w:rsid w:val="00BE63F7"/>
    <w:rsid w:val="00BF173B"/>
    <w:rsid w:val="00BF4C00"/>
    <w:rsid w:val="00BF5A96"/>
    <w:rsid w:val="00BF73D2"/>
    <w:rsid w:val="00C010FC"/>
    <w:rsid w:val="00C01125"/>
    <w:rsid w:val="00C01D1C"/>
    <w:rsid w:val="00C01F94"/>
    <w:rsid w:val="00C02B49"/>
    <w:rsid w:val="00C031C0"/>
    <w:rsid w:val="00C03FEA"/>
    <w:rsid w:val="00C04AB5"/>
    <w:rsid w:val="00C05193"/>
    <w:rsid w:val="00C070DA"/>
    <w:rsid w:val="00C10A57"/>
    <w:rsid w:val="00C12863"/>
    <w:rsid w:val="00C13FFE"/>
    <w:rsid w:val="00C1496B"/>
    <w:rsid w:val="00C14E79"/>
    <w:rsid w:val="00C15BAF"/>
    <w:rsid w:val="00C163EC"/>
    <w:rsid w:val="00C17320"/>
    <w:rsid w:val="00C207B7"/>
    <w:rsid w:val="00C21203"/>
    <w:rsid w:val="00C2207A"/>
    <w:rsid w:val="00C2237E"/>
    <w:rsid w:val="00C22FFF"/>
    <w:rsid w:val="00C230D1"/>
    <w:rsid w:val="00C23647"/>
    <w:rsid w:val="00C2516B"/>
    <w:rsid w:val="00C257D4"/>
    <w:rsid w:val="00C25B26"/>
    <w:rsid w:val="00C25E80"/>
    <w:rsid w:val="00C265E3"/>
    <w:rsid w:val="00C26A72"/>
    <w:rsid w:val="00C2753E"/>
    <w:rsid w:val="00C275A7"/>
    <w:rsid w:val="00C31C5D"/>
    <w:rsid w:val="00C32EF2"/>
    <w:rsid w:val="00C32F9A"/>
    <w:rsid w:val="00C36D7D"/>
    <w:rsid w:val="00C371A0"/>
    <w:rsid w:val="00C409EB"/>
    <w:rsid w:val="00C41A60"/>
    <w:rsid w:val="00C464AA"/>
    <w:rsid w:val="00C474AE"/>
    <w:rsid w:val="00C50F7A"/>
    <w:rsid w:val="00C515C8"/>
    <w:rsid w:val="00C53E75"/>
    <w:rsid w:val="00C54C35"/>
    <w:rsid w:val="00C56AA5"/>
    <w:rsid w:val="00C56B29"/>
    <w:rsid w:val="00C5752C"/>
    <w:rsid w:val="00C579AA"/>
    <w:rsid w:val="00C61208"/>
    <w:rsid w:val="00C61310"/>
    <w:rsid w:val="00C61D97"/>
    <w:rsid w:val="00C62AE2"/>
    <w:rsid w:val="00C635FB"/>
    <w:rsid w:val="00C758E7"/>
    <w:rsid w:val="00C75A90"/>
    <w:rsid w:val="00C76027"/>
    <w:rsid w:val="00C77743"/>
    <w:rsid w:val="00C80FC0"/>
    <w:rsid w:val="00C81208"/>
    <w:rsid w:val="00C81907"/>
    <w:rsid w:val="00C81B34"/>
    <w:rsid w:val="00C82AC4"/>
    <w:rsid w:val="00C84570"/>
    <w:rsid w:val="00C8486A"/>
    <w:rsid w:val="00C85241"/>
    <w:rsid w:val="00C85EAF"/>
    <w:rsid w:val="00C90C55"/>
    <w:rsid w:val="00C90D9D"/>
    <w:rsid w:val="00C93134"/>
    <w:rsid w:val="00C93CDB"/>
    <w:rsid w:val="00C94E81"/>
    <w:rsid w:val="00C96718"/>
    <w:rsid w:val="00C977DC"/>
    <w:rsid w:val="00CA0236"/>
    <w:rsid w:val="00CA0B92"/>
    <w:rsid w:val="00CA11E9"/>
    <w:rsid w:val="00CA1811"/>
    <w:rsid w:val="00CA1D39"/>
    <w:rsid w:val="00CA1F06"/>
    <w:rsid w:val="00CA331F"/>
    <w:rsid w:val="00CA4046"/>
    <w:rsid w:val="00CA61B3"/>
    <w:rsid w:val="00CB0484"/>
    <w:rsid w:val="00CB107F"/>
    <w:rsid w:val="00CB1366"/>
    <w:rsid w:val="00CB53F2"/>
    <w:rsid w:val="00CB6B00"/>
    <w:rsid w:val="00CB717A"/>
    <w:rsid w:val="00CC01C8"/>
    <w:rsid w:val="00CC0A5E"/>
    <w:rsid w:val="00CC0CDD"/>
    <w:rsid w:val="00CC62E2"/>
    <w:rsid w:val="00CD0711"/>
    <w:rsid w:val="00CD33CE"/>
    <w:rsid w:val="00CD4AB5"/>
    <w:rsid w:val="00CD4CBE"/>
    <w:rsid w:val="00CD641D"/>
    <w:rsid w:val="00CD7499"/>
    <w:rsid w:val="00CD74FB"/>
    <w:rsid w:val="00CD7CCD"/>
    <w:rsid w:val="00CE04E9"/>
    <w:rsid w:val="00CE0E41"/>
    <w:rsid w:val="00CE10C0"/>
    <w:rsid w:val="00CE1114"/>
    <w:rsid w:val="00CE1C8D"/>
    <w:rsid w:val="00CE36DC"/>
    <w:rsid w:val="00CE4353"/>
    <w:rsid w:val="00CE58AF"/>
    <w:rsid w:val="00CE60E0"/>
    <w:rsid w:val="00CE6C25"/>
    <w:rsid w:val="00CF049F"/>
    <w:rsid w:val="00CF0EB6"/>
    <w:rsid w:val="00CF18E3"/>
    <w:rsid w:val="00CF330B"/>
    <w:rsid w:val="00CF4324"/>
    <w:rsid w:val="00CF6ACD"/>
    <w:rsid w:val="00CF6CA1"/>
    <w:rsid w:val="00D0046F"/>
    <w:rsid w:val="00D01F51"/>
    <w:rsid w:val="00D02D9A"/>
    <w:rsid w:val="00D03143"/>
    <w:rsid w:val="00D03E13"/>
    <w:rsid w:val="00D04254"/>
    <w:rsid w:val="00D04E1B"/>
    <w:rsid w:val="00D054A0"/>
    <w:rsid w:val="00D055E0"/>
    <w:rsid w:val="00D05CD1"/>
    <w:rsid w:val="00D079A9"/>
    <w:rsid w:val="00D07C93"/>
    <w:rsid w:val="00D1005B"/>
    <w:rsid w:val="00D11EAF"/>
    <w:rsid w:val="00D12BD1"/>
    <w:rsid w:val="00D12D73"/>
    <w:rsid w:val="00D13414"/>
    <w:rsid w:val="00D1403C"/>
    <w:rsid w:val="00D14650"/>
    <w:rsid w:val="00D15E56"/>
    <w:rsid w:val="00D174BB"/>
    <w:rsid w:val="00D209AC"/>
    <w:rsid w:val="00D20E71"/>
    <w:rsid w:val="00D21921"/>
    <w:rsid w:val="00D223DE"/>
    <w:rsid w:val="00D23CFF"/>
    <w:rsid w:val="00D23E1B"/>
    <w:rsid w:val="00D244EB"/>
    <w:rsid w:val="00D24BFA"/>
    <w:rsid w:val="00D2525E"/>
    <w:rsid w:val="00D252A5"/>
    <w:rsid w:val="00D256DA"/>
    <w:rsid w:val="00D257E4"/>
    <w:rsid w:val="00D25C95"/>
    <w:rsid w:val="00D3018D"/>
    <w:rsid w:val="00D305B1"/>
    <w:rsid w:val="00D31A68"/>
    <w:rsid w:val="00D32564"/>
    <w:rsid w:val="00D329C4"/>
    <w:rsid w:val="00D33AD3"/>
    <w:rsid w:val="00D34B22"/>
    <w:rsid w:val="00D35F15"/>
    <w:rsid w:val="00D36144"/>
    <w:rsid w:val="00D37CF2"/>
    <w:rsid w:val="00D422A6"/>
    <w:rsid w:val="00D42C45"/>
    <w:rsid w:val="00D45F5C"/>
    <w:rsid w:val="00D46CBE"/>
    <w:rsid w:val="00D47380"/>
    <w:rsid w:val="00D505D2"/>
    <w:rsid w:val="00D528E7"/>
    <w:rsid w:val="00D53543"/>
    <w:rsid w:val="00D544F0"/>
    <w:rsid w:val="00D54F71"/>
    <w:rsid w:val="00D552F0"/>
    <w:rsid w:val="00D55D0C"/>
    <w:rsid w:val="00D55FA1"/>
    <w:rsid w:val="00D57EB6"/>
    <w:rsid w:val="00D6077B"/>
    <w:rsid w:val="00D6156B"/>
    <w:rsid w:val="00D61835"/>
    <w:rsid w:val="00D61F0B"/>
    <w:rsid w:val="00D6461B"/>
    <w:rsid w:val="00D665E1"/>
    <w:rsid w:val="00D66A27"/>
    <w:rsid w:val="00D776DD"/>
    <w:rsid w:val="00D77E95"/>
    <w:rsid w:val="00D8432D"/>
    <w:rsid w:val="00D85404"/>
    <w:rsid w:val="00D8610C"/>
    <w:rsid w:val="00D86350"/>
    <w:rsid w:val="00D90D93"/>
    <w:rsid w:val="00D929B8"/>
    <w:rsid w:val="00D92C0D"/>
    <w:rsid w:val="00D96653"/>
    <w:rsid w:val="00D97B13"/>
    <w:rsid w:val="00DA0907"/>
    <w:rsid w:val="00DA0D99"/>
    <w:rsid w:val="00DA0ED8"/>
    <w:rsid w:val="00DA1041"/>
    <w:rsid w:val="00DA152A"/>
    <w:rsid w:val="00DA1638"/>
    <w:rsid w:val="00DA18DE"/>
    <w:rsid w:val="00DA3495"/>
    <w:rsid w:val="00DA4477"/>
    <w:rsid w:val="00DA7129"/>
    <w:rsid w:val="00DA7CA1"/>
    <w:rsid w:val="00DA7E5B"/>
    <w:rsid w:val="00DB024A"/>
    <w:rsid w:val="00DB05A5"/>
    <w:rsid w:val="00DB0C73"/>
    <w:rsid w:val="00DB0E27"/>
    <w:rsid w:val="00DB1769"/>
    <w:rsid w:val="00DB2302"/>
    <w:rsid w:val="00DB2BFF"/>
    <w:rsid w:val="00DB4200"/>
    <w:rsid w:val="00DB55C9"/>
    <w:rsid w:val="00DB6070"/>
    <w:rsid w:val="00DB743A"/>
    <w:rsid w:val="00DC2671"/>
    <w:rsid w:val="00DC2C3E"/>
    <w:rsid w:val="00DC3F9C"/>
    <w:rsid w:val="00DC51DA"/>
    <w:rsid w:val="00DC52BE"/>
    <w:rsid w:val="00DC53CE"/>
    <w:rsid w:val="00DC6E34"/>
    <w:rsid w:val="00DD2A39"/>
    <w:rsid w:val="00DD2EEA"/>
    <w:rsid w:val="00DD31E7"/>
    <w:rsid w:val="00DD4964"/>
    <w:rsid w:val="00DD728E"/>
    <w:rsid w:val="00DE093D"/>
    <w:rsid w:val="00DE29CF"/>
    <w:rsid w:val="00DF036A"/>
    <w:rsid w:val="00DF2A7B"/>
    <w:rsid w:val="00DF4E21"/>
    <w:rsid w:val="00DF569B"/>
    <w:rsid w:val="00DF6016"/>
    <w:rsid w:val="00E02823"/>
    <w:rsid w:val="00E0347B"/>
    <w:rsid w:val="00E03B70"/>
    <w:rsid w:val="00E050D9"/>
    <w:rsid w:val="00E0611E"/>
    <w:rsid w:val="00E1053D"/>
    <w:rsid w:val="00E11752"/>
    <w:rsid w:val="00E1177F"/>
    <w:rsid w:val="00E12381"/>
    <w:rsid w:val="00E12619"/>
    <w:rsid w:val="00E12E0A"/>
    <w:rsid w:val="00E13E75"/>
    <w:rsid w:val="00E15A80"/>
    <w:rsid w:val="00E17CFD"/>
    <w:rsid w:val="00E231D8"/>
    <w:rsid w:val="00E249CB"/>
    <w:rsid w:val="00E25B72"/>
    <w:rsid w:val="00E25D85"/>
    <w:rsid w:val="00E25E08"/>
    <w:rsid w:val="00E26394"/>
    <w:rsid w:val="00E26C55"/>
    <w:rsid w:val="00E27202"/>
    <w:rsid w:val="00E3004D"/>
    <w:rsid w:val="00E300C1"/>
    <w:rsid w:val="00E30F6D"/>
    <w:rsid w:val="00E31B52"/>
    <w:rsid w:val="00E352E6"/>
    <w:rsid w:val="00E359A5"/>
    <w:rsid w:val="00E35E8E"/>
    <w:rsid w:val="00E3709D"/>
    <w:rsid w:val="00E41771"/>
    <w:rsid w:val="00E42D92"/>
    <w:rsid w:val="00E43089"/>
    <w:rsid w:val="00E433BB"/>
    <w:rsid w:val="00E438BD"/>
    <w:rsid w:val="00E45C5C"/>
    <w:rsid w:val="00E45E58"/>
    <w:rsid w:val="00E46033"/>
    <w:rsid w:val="00E46714"/>
    <w:rsid w:val="00E46B2E"/>
    <w:rsid w:val="00E4719C"/>
    <w:rsid w:val="00E5053F"/>
    <w:rsid w:val="00E50561"/>
    <w:rsid w:val="00E5143D"/>
    <w:rsid w:val="00E51617"/>
    <w:rsid w:val="00E53576"/>
    <w:rsid w:val="00E54843"/>
    <w:rsid w:val="00E561D2"/>
    <w:rsid w:val="00E57011"/>
    <w:rsid w:val="00E57307"/>
    <w:rsid w:val="00E60529"/>
    <w:rsid w:val="00E60CB5"/>
    <w:rsid w:val="00E6218F"/>
    <w:rsid w:val="00E62DBD"/>
    <w:rsid w:val="00E63B4C"/>
    <w:rsid w:val="00E644C9"/>
    <w:rsid w:val="00E64C36"/>
    <w:rsid w:val="00E709C2"/>
    <w:rsid w:val="00E71268"/>
    <w:rsid w:val="00E71F2B"/>
    <w:rsid w:val="00E73CCC"/>
    <w:rsid w:val="00E746C3"/>
    <w:rsid w:val="00E758EC"/>
    <w:rsid w:val="00E7612B"/>
    <w:rsid w:val="00E7650A"/>
    <w:rsid w:val="00E8024D"/>
    <w:rsid w:val="00E80545"/>
    <w:rsid w:val="00E80BA8"/>
    <w:rsid w:val="00E81960"/>
    <w:rsid w:val="00E83628"/>
    <w:rsid w:val="00E836D1"/>
    <w:rsid w:val="00E83CAF"/>
    <w:rsid w:val="00E83F68"/>
    <w:rsid w:val="00E849D8"/>
    <w:rsid w:val="00E853B4"/>
    <w:rsid w:val="00E877F2"/>
    <w:rsid w:val="00E90A30"/>
    <w:rsid w:val="00E91EF1"/>
    <w:rsid w:val="00E91F7E"/>
    <w:rsid w:val="00E92BEC"/>
    <w:rsid w:val="00E92C77"/>
    <w:rsid w:val="00E934EA"/>
    <w:rsid w:val="00E9440F"/>
    <w:rsid w:val="00E94A74"/>
    <w:rsid w:val="00E94BF5"/>
    <w:rsid w:val="00E94E9A"/>
    <w:rsid w:val="00E96A3D"/>
    <w:rsid w:val="00E97A83"/>
    <w:rsid w:val="00EA09F8"/>
    <w:rsid w:val="00EA0B68"/>
    <w:rsid w:val="00EA1DEF"/>
    <w:rsid w:val="00EA2161"/>
    <w:rsid w:val="00EA2CF9"/>
    <w:rsid w:val="00EA30DA"/>
    <w:rsid w:val="00EA3549"/>
    <w:rsid w:val="00EA365B"/>
    <w:rsid w:val="00EA4ACB"/>
    <w:rsid w:val="00EA4E3C"/>
    <w:rsid w:val="00EA572C"/>
    <w:rsid w:val="00EA5CB6"/>
    <w:rsid w:val="00EA5EE0"/>
    <w:rsid w:val="00EA6136"/>
    <w:rsid w:val="00EA697B"/>
    <w:rsid w:val="00EB037A"/>
    <w:rsid w:val="00EB1DF0"/>
    <w:rsid w:val="00EB2EF6"/>
    <w:rsid w:val="00EB35AA"/>
    <w:rsid w:val="00EB3913"/>
    <w:rsid w:val="00EB6A75"/>
    <w:rsid w:val="00EB7E40"/>
    <w:rsid w:val="00EC0ED4"/>
    <w:rsid w:val="00EC48D2"/>
    <w:rsid w:val="00EC5A04"/>
    <w:rsid w:val="00EC6756"/>
    <w:rsid w:val="00EC7B2B"/>
    <w:rsid w:val="00EC7CC9"/>
    <w:rsid w:val="00ED04C6"/>
    <w:rsid w:val="00ED23EA"/>
    <w:rsid w:val="00ED265E"/>
    <w:rsid w:val="00ED49A5"/>
    <w:rsid w:val="00ED4B1E"/>
    <w:rsid w:val="00ED7423"/>
    <w:rsid w:val="00EE0D3D"/>
    <w:rsid w:val="00EE146E"/>
    <w:rsid w:val="00EE1A9D"/>
    <w:rsid w:val="00EE2BEF"/>
    <w:rsid w:val="00EE2EA8"/>
    <w:rsid w:val="00EE3C2A"/>
    <w:rsid w:val="00EE68BC"/>
    <w:rsid w:val="00EE6A11"/>
    <w:rsid w:val="00EE6FEC"/>
    <w:rsid w:val="00EF03DD"/>
    <w:rsid w:val="00EF38B6"/>
    <w:rsid w:val="00EF40B4"/>
    <w:rsid w:val="00EF4DD2"/>
    <w:rsid w:val="00EF4E78"/>
    <w:rsid w:val="00EF5231"/>
    <w:rsid w:val="00EF60A7"/>
    <w:rsid w:val="00F01BC5"/>
    <w:rsid w:val="00F01EBC"/>
    <w:rsid w:val="00F0200A"/>
    <w:rsid w:val="00F0390A"/>
    <w:rsid w:val="00F0783F"/>
    <w:rsid w:val="00F1322A"/>
    <w:rsid w:val="00F15C14"/>
    <w:rsid w:val="00F20F48"/>
    <w:rsid w:val="00F24CC2"/>
    <w:rsid w:val="00F25300"/>
    <w:rsid w:val="00F27800"/>
    <w:rsid w:val="00F32915"/>
    <w:rsid w:val="00F35027"/>
    <w:rsid w:val="00F37F45"/>
    <w:rsid w:val="00F40E51"/>
    <w:rsid w:val="00F415E9"/>
    <w:rsid w:val="00F41674"/>
    <w:rsid w:val="00F441B8"/>
    <w:rsid w:val="00F47CDF"/>
    <w:rsid w:val="00F508BA"/>
    <w:rsid w:val="00F533A3"/>
    <w:rsid w:val="00F5672C"/>
    <w:rsid w:val="00F56B7C"/>
    <w:rsid w:val="00F570AA"/>
    <w:rsid w:val="00F57307"/>
    <w:rsid w:val="00F57967"/>
    <w:rsid w:val="00F60996"/>
    <w:rsid w:val="00F616F7"/>
    <w:rsid w:val="00F6400E"/>
    <w:rsid w:val="00F64CA2"/>
    <w:rsid w:val="00F659CE"/>
    <w:rsid w:val="00F70307"/>
    <w:rsid w:val="00F72574"/>
    <w:rsid w:val="00F72A8E"/>
    <w:rsid w:val="00F7312B"/>
    <w:rsid w:val="00F74248"/>
    <w:rsid w:val="00F74438"/>
    <w:rsid w:val="00F7493B"/>
    <w:rsid w:val="00F75695"/>
    <w:rsid w:val="00F76437"/>
    <w:rsid w:val="00F76862"/>
    <w:rsid w:val="00F7708A"/>
    <w:rsid w:val="00F77643"/>
    <w:rsid w:val="00F80788"/>
    <w:rsid w:val="00F81E15"/>
    <w:rsid w:val="00F821A5"/>
    <w:rsid w:val="00F82970"/>
    <w:rsid w:val="00F85DA9"/>
    <w:rsid w:val="00F87597"/>
    <w:rsid w:val="00F87D8B"/>
    <w:rsid w:val="00F90551"/>
    <w:rsid w:val="00F92140"/>
    <w:rsid w:val="00F935BB"/>
    <w:rsid w:val="00F95304"/>
    <w:rsid w:val="00F95FEF"/>
    <w:rsid w:val="00F96940"/>
    <w:rsid w:val="00F96DC9"/>
    <w:rsid w:val="00FA052A"/>
    <w:rsid w:val="00FA0E7B"/>
    <w:rsid w:val="00FA3F07"/>
    <w:rsid w:val="00FA51AC"/>
    <w:rsid w:val="00FA72EC"/>
    <w:rsid w:val="00FB08C5"/>
    <w:rsid w:val="00FB099D"/>
    <w:rsid w:val="00FB0F12"/>
    <w:rsid w:val="00FB16C2"/>
    <w:rsid w:val="00FB28EE"/>
    <w:rsid w:val="00FB2A64"/>
    <w:rsid w:val="00FB3E3D"/>
    <w:rsid w:val="00FB3E72"/>
    <w:rsid w:val="00FB42B8"/>
    <w:rsid w:val="00FB4732"/>
    <w:rsid w:val="00FB4E8C"/>
    <w:rsid w:val="00FB568F"/>
    <w:rsid w:val="00FB5B4C"/>
    <w:rsid w:val="00FB6692"/>
    <w:rsid w:val="00FC0259"/>
    <w:rsid w:val="00FC064C"/>
    <w:rsid w:val="00FC0A04"/>
    <w:rsid w:val="00FC1661"/>
    <w:rsid w:val="00FC1BDE"/>
    <w:rsid w:val="00FC1C5B"/>
    <w:rsid w:val="00FC1DC6"/>
    <w:rsid w:val="00FC2F21"/>
    <w:rsid w:val="00FC3DFD"/>
    <w:rsid w:val="00FC4FD9"/>
    <w:rsid w:val="00FC525C"/>
    <w:rsid w:val="00FC5A82"/>
    <w:rsid w:val="00FD1BDB"/>
    <w:rsid w:val="00FD1CD9"/>
    <w:rsid w:val="00FD2032"/>
    <w:rsid w:val="00FD27D9"/>
    <w:rsid w:val="00FD3087"/>
    <w:rsid w:val="00FD3480"/>
    <w:rsid w:val="00FD37BA"/>
    <w:rsid w:val="00FD5C8F"/>
    <w:rsid w:val="00FD63B0"/>
    <w:rsid w:val="00FD690C"/>
    <w:rsid w:val="00FD7C27"/>
    <w:rsid w:val="00FE1AFA"/>
    <w:rsid w:val="00FE4074"/>
    <w:rsid w:val="00FE443C"/>
    <w:rsid w:val="00FE47E9"/>
    <w:rsid w:val="00FE4DAF"/>
    <w:rsid w:val="00FE5820"/>
    <w:rsid w:val="00FE6897"/>
    <w:rsid w:val="00FE7DE7"/>
    <w:rsid w:val="00FF43F7"/>
    <w:rsid w:val="00FF7B68"/>
    <w:rsid w:val="0BA3D639"/>
    <w:rsid w:val="22CDA6F5"/>
    <w:rsid w:val="3C8E4B8A"/>
    <w:rsid w:val="4DEC160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D7AF5"/>
  <w15:chartTrackingRefBased/>
  <w15:docId w15:val="{94D36EAC-F4AD-46B6-9C8D-EFF995B7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E2003"/>
    <w:pPr>
      <w:widowControl w:val="0"/>
      <w:spacing w:before="240" w:after="240" w:line="400" w:lineRule="exact"/>
    </w:pPr>
    <w:rPr>
      <w:rFonts w:ascii="Times New Roman" w:eastAsia="標楷體" w:hAnsi="Times New Roman" w:cs="Times New Roman"/>
      <w:kern w:val="0"/>
      <w:szCs w:val="24"/>
    </w:rPr>
  </w:style>
  <w:style w:type="paragraph" w:styleId="1">
    <w:name w:val="heading 1"/>
    <w:basedOn w:val="a0"/>
    <w:next w:val="a0"/>
    <w:link w:val="10"/>
    <w:uiPriority w:val="9"/>
    <w:qFormat/>
    <w:rsid w:val="009023FC"/>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505775"/>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semiHidden/>
    <w:unhideWhenUsed/>
    <w:qFormat/>
    <w:rsid w:val="003E688A"/>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rsid w:val="003C7EFF"/>
    <w:pPr>
      <w:tabs>
        <w:tab w:val="right" w:leader="dot" w:pos="9631"/>
      </w:tabs>
      <w:snapToGrid w:val="0"/>
      <w:spacing w:before="0" w:afterLines="50" w:after="180" w:line="240" w:lineRule="auto"/>
      <w:ind w:left="173" w:hangingChars="72" w:hanging="173"/>
      <w:jc w:val="both"/>
      <w:outlineLvl w:val="0"/>
    </w:pPr>
    <w:rPr>
      <w:b/>
      <w:bCs/>
      <w:caps/>
      <w:noProof/>
    </w:rPr>
  </w:style>
  <w:style w:type="paragraph" w:styleId="21">
    <w:name w:val="toc 2"/>
    <w:basedOn w:val="a0"/>
    <w:next w:val="a0"/>
    <w:autoRedefine/>
    <w:uiPriority w:val="39"/>
    <w:rsid w:val="0053402B"/>
    <w:pPr>
      <w:tabs>
        <w:tab w:val="left" w:pos="1276"/>
        <w:tab w:val="right" w:leader="dot" w:pos="9631"/>
      </w:tabs>
      <w:spacing w:before="0" w:after="0"/>
      <w:ind w:left="709"/>
      <w:jc w:val="both"/>
    </w:pPr>
    <w:rPr>
      <w:smallCaps/>
      <w:noProof/>
      <w:sz w:val="28"/>
      <w:szCs w:val="20"/>
    </w:rPr>
  </w:style>
  <w:style w:type="paragraph" w:styleId="a4">
    <w:name w:val="List Paragraph"/>
    <w:aliases w:val="1.1.1.1清單段落,列點,(二),Recommendation,Footnote Sam,List Paragraph (numbered (a)),Text,Noise heading,RUS List,Rec para,Dot pt,F5 List Paragraph,No Spacing1,List Paragraph Char Char Char,Indicator Text,Numbered Para 1,圖標號,標題一,標題 (4),卑南壹,L"/>
    <w:basedOn w:val="a0"/>
    <w:link w:val="a5"/>
    <w:uiPriority w:val="34"/>
    <w:qFormat/>
    <w:rsid w:val="005E2003"/>
    <w:pPr>
      <w:ind w:leftChars="200" w:left="480"/>
    </w:pPr>
  </w:style>
  <w:style w:type="paragraph" w:styleId="a6">
    <w:name w:val="header"/>
    <w:basedOn w:val="a0"/>
    <w:link w:val="a7"/>
    <w:uiPriority w:val="99"/>
    <w:unhideWhenUsed/>
    <w:rsid w:val="00246539"/>
    <w:pPr>
      <w:tabs>
        <w:tab w:val="center" w:pos="4153"/>
        <w:tab w:val="right" w:pos="8306"/>
      </w:tabs>
      <w:snapToGrid w:val="0"/>
    </w:pPr>
    <w:rPr>
      <w:sz w:val="20"/>
      <w:szCs w:val="20"/>
    </w:rPr>
  </w:style>
  <w:style w:type="character" w:customStyle="1" w:styleId="a7">
    <w:name w:val="頁首 字元"/>
    <w:basedOn w:val="a1"/>
    <w:link w:val="a6"/>
    <w:uiPriority w:val="99"/>
    <w:rsid w:val="00246539"/>
    <w:rPr>
      <w:rFonts w:ascii="Times New Roman" w:eastAsia="標楷體" w:hAnsi="Times New Roman" w:cs="Times New Roman"/>
      <w:kern w:val="0"/>
      <w:sz w:val="20"/>
      <w:szCs w:val="20"/>
    </w:rPr>
  </w:style>
  <w:style w:type="paragraph" w:styleId="a8">
    <w:name w:val="footer"/>
    <w:basedOn w:val="a0"/>
    <w:link w:val="a9"/>
    <w:uiPriority w:val="99"/>
    <w:unhideWhenUsed/>
    <w:rsid w:val="00246539"/>
    <w:pPr>
      <w:tabs>
        <w:tab w:val="center" w:pos="4153"/>
        <w:tab w:val="right" w:pos="8306"/>
      </w:tabs>
      <w:snapToGrid w:val="0"/>
    </w:pPr>
    <w:rPr>
      <w:sz w:val="20"/>
      <w:szCs w:val="20"/>
    </w:rPr>
  </w:style>
  <w:style w:type="character" w:customStyle="1" w:styleId="a9">
    <w:name w:val="頁尾 字元"/>
    <w:basedOn w:val="a1"/>
    <w:link w:val="a8"/>
    <w:uiPriority w:val="99"/>
    <w:rsid w:val="00246539"/>
    <w:rPr>
      <w:rFonts w:ascii="Times New Roman" w:eastAsia="標楷體" w:hAnsi="Times New Roman" w:cs="Times New Roman"/>
      <w:kern w:val="0"/>
      <w:sz w:val="20"/>
      <w:szCs w:val="20"/>
    </w:rPr>
  </w:style>
  <w:style w:type="table" w:styleId="aa">
    <w:name w:val="Table Grid"/>
    <w:aliases w:val="CV table,功能需求表格,表格細"/>
    <w:basedOn w:val="a2"/>
    <w:uiPriority w:val="39"/>
    <w:rsid w:val="00163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471B09"/>
    <w:pPr>
      <w:spacing w:before="0" w:after="0" w:line="240" w:lineRule="auto"/>
    </w:pPr>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471B09"/>
    <w:rPr>
      <w:rFonts w:asciiTheme="majorHAnsi" w:eastAsiaTheme="majorEastAsia" w:hAnsiTheme="majorHAnsi" w:cstheme="majorBidi"/>
      <w:kern w:val="0"/>
      <w:sz w:val="18"/>
      <w:szCs w:val="18"/>
    </w:rPr>
  </w:style>
  <w:style w:type="paragraph" w:customStyle="1" w:styleId="ad">
    <w:name w:val="壹、"/>
    <w:basedOn w:val="a0"/>
    <w:autoRedefine/>
    <w:qFormat/>
    <w:rsid w:val="00D57EB6"/>
    <w:pPr>
      <w:widowControl/>
      <w:snapToGrid w:val="0"/>
      <w:spacing w:before="0" w:after="0" w:line="360" w:lineRule="auto"/>
      <w:outlineLvl w:val="0"/>
    </w:pPr>
    <w:rPr>
      <w:rFonts w:ascii="標楷體" w:hAnsi="標楷體" w:cstheme="minorBidi"/>
      <w:b/>
      <w:sz w:val="32"/>
      <w:szCs w:val="32"/>
      <w:lang w:val="en-AU"/>
    </w:rPr>
  </w:style>
  <w:style w:type="paragraph" w:customStyle="1" w:styleId="paragraph">
    <w:name w:val="paragraph"/>
    <w:basedOn w:val="a0"/>
    <w:rsid w:val="00F85DA9"/>
    <w:pPr>
      <w:widowControl/>
      <w:spacing w:before="100" w:beforeAutospacing="1" w:after="100" w:afterAutospacing="1" w:line="240" w:lineRule="auto"/>
    </w:pPr>
    <w:rPr>
      <w:rFonts w:ascii="新細明體" w:eastAsia="新細明體" w:hAnsi="新細明體" w:cs="新細明體"/>
    </w:rPr>
  </w:style>
  <w:style w:type="character" w:customStyle="1" w:styleId="normaltextrun">
    <w:name w:val="normaltextrun"/>
    <w:basedOn w:val="a1"/>
    <w:rsid w:val="00F85DA9"/>
  </w:style>
  <w:style w:type="character" w:customStyle="1" w:styleId="eop">
    <w:name w:val="eop"/>
    <w:basedOn w:val="a1"/>
    <w:rsid w:val="00F85DA9"/>
  </w:style>
  <w:style w:type="character" w:customStyle="1" w:styleId="10">
    <w:name w:val="標題 1 字元"/>
    <w:basedOn w:val="a1"/>
    <w:link w:val="1"/>
    <w:uiPriority w:val="9"/>
    <w:rsid w:val="009023FC"/>
    <w:rPr>
      <w:rFonts w:asciiTheme="majorHAnsi" w:eastAsiaTheme="majorEastAsia" w:hAnsiTheme="majorHAnsi" w:cstheme="majorBidi"/>
      <w:b/>
      <w:bCs/>
      <w:kern w:val="52"/>
      <w:sz w:val="52"/>
      <w:szCs w:val="52"/>
    </w:rPr>
  </w:style>
  <w:style w:type="paragraph" w:styleId="ae">
    <w:name w:val="TOC Heading"/>
    <w:basedOn w:val="1"/>
    <w:next w:val="a0"/>
    <w:uiPriority w:val="39"/>
    <w:unhideWhenUsed/>
    <w:qFormat/>
    <w:rsid w:val="009023FC"/>
    <w:pPr>
      <w:outlineLvl w:val="9"/>
    </w:pPr>
  </w:style>
  <w:style w:type="table" w:customStyle="1" w:styleId="CVtable1">
    <w:name w:val="CV table1"/>
    <w:basedOn w:val="a2"/>
    <w:next w:val="aa"/>
    <w:uiPriority w:val="59"/>
    <w:rsid w:val="006D1645"/>
    <w:rPr>
      <w:rFonts w:ascii="EYInterstate" w:eastAsia="SimHei" w:hAnsi="EYInterstate" w:cs="Times New Roman"/>
      <w:kern w:val="0"/>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a2"/>
    <w:next w:val="aa"/>
    <w:uiPriority w:val="59"/>
    <w:rsid w:val="006D1645"/>
    <w:rPr>
      <w:rFonts w:ascii="EYInterstate" w:eastAsia="SimHei" w:hAnsi="EYInterstate" w:cs="Times New Roman"/>
      <w:kern w:val="0"/>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0"/>
    <w:link w:val="af0"/>
    <w:unhideWhenUsed/>
    <w:rsid w:val="00EB037A"/>
    <w:pPr>
      <w:widowControl/>
      <w:snapToGrid w:val="0"/>
      <w:spacing w:before="0" w:after="0" w:line="240" w:lineRule="auto"/>
    </w:pPr>
    <w:rPr>
      <w:rFonts w:ascii="標楷體" w:hAnsi="標楷體" w:cs="標楷體"/>
      <w:sz w:val="20"/>
      <w:szCs w:val="20"/>
      <w:lang w:val="en-GB" w:eastAsia="en-GB"/>
    </w:rPr>
  </w:style>
  <w:style w:type="character" w:customStyle="1" w:styleId="af0">
    <w:name w:val="註腳文字 字元"/>
    <w:basedOn w:val="a1"/>
    <w:link w:val="af"/>
    <w:rsid w:val="00EB037A"/>
    <w:rPr>
      <w:rFonts w:ascii="標楷體" w:eastAsia="標楷體" w:hAnsi="標楷體" w:cs="標楷體"/>
      <w:kern w:val="0"/>
      <w:sz w:val="20"/>
      <w:szCs w:val="20"/>
      <w:lang w:val="en-GB" w:eastAsia="en-GB"/>
    </w:rPr>
  </w:style>
  <w:style w:type="character" w:styleId="af1">
    <w:name w:val="footnote reference"/>
    <w:basedOn w:val="a1"/>
    <w:uiPriority w:val="99"/>
    <w:unhideWhenUsed/>
    <w:rsid w:val="00EB037A"/>
    <w:rPr>
      <w:vertAlign w:val="superscript"/>
    </w:rPr>
  </w:style>
  <w:style w:type="character" w:styleId="af2">
    <w:name w:val="Emphasis"/>
    <w:basedOn w:val="a1"/>
    <w:uiPriority w:val="20"/>
    <w:qFormat/>
    <w:rsid w:val="0039520C"/>
    <w:rPr>
      <w:i/>
      <w:iCs/>
    </w:rPr>
  </w:style>
  <w:style w:type="character" w:styleId="af3">
    <w:name w:val="Hyperlink"/>
    <w:basedOn w:val="a1"/>
    <w:uiPriority w:val="99"/>
    <w:unhideWhenUsed/>
    <w:rsid w:val="00A733D8"/>
    <w:rPr>
      <w:color w:val="0563C1" w:themeColor="hyperlink"/>
      <w:u w:val="single"/>
    </w:rPr>
  </w:style>
  <w:style w:type="paragraph" w:styleId="31">
    <w:name w:val="toc 3"/>
    <w:basedOn w:val="a0"/>
    <w:next w:val="a0"/>
    <w:autoRedefine/>
    <w:uiPriority w:val="39"/>
    <w:unhideWhenUsed/>
    <w:rsid w:val="00A733D8"/>
    <w:pPr>
      <w:widowControl/>
      <w:spacing w:before="0" w:after="100" w:line="259" w:lineRule="auto"/>
      <w:ind w:left="440"/>
    </w:pPr>
    <w:rPr>
      <w:rFonts w:asciiTheme="minorHAnsi" w:eastAsiaTheme="minorEastAsia" w:hAnsiTheme="minorHAnsi"/>
      <w:sz w:val="22"/>
      <w:szCs w:val="22"/>
    </w:rPr>
  </w:style>
  <w:style w:type="character" w:styleId="af4">
    <w:name w:val="annotation reference"/>
    <w:basedOn w:val="a1"/>
    <w:uiPriority w:val="99"/>
    <w:semiHidden/>
    <w:unhideWhenUsed/>
    <w:rsid w:val="007255DA"/>
    <w:rPr>
      <w:sz w:val="18"/>
      <w:szCs w:val="18"/>
    </w:rPr>
  </w:style>
  <w:style w:type="paragraph" w:styleId="af5">
    <w:name w:val="annotation text"/>
    <w:basedOn w:val="a0"/>
    <w:link w:val="af6"/>
    <w:uiPriority w:val="99"/>
    <w:unhideWhenUsed/>
    <w:rsid w:val="007255DA"/>
  </w:style>
  <w:style w:type="character" w:customStyle="1" w:styleId="af6">
    <w:name w:val="註解文字 字元"/>
    <w:basedOn w:val="a1"/>
    <w:link w:val="af5"/>
    <w:uiPriority w:val="99"/>
    <w:rsid w:val="007255DA"/>
    <w:rPr>
      <w:rFonts w:ascii="Times New Roman" w:eastAsia="標楷體" w:hAnsi="Times New Roman" w:cs="Times New Roman"/>
      <w:kern w:val="0"/>
      <w:szCs w:val="24"/>
    </w:rPr>
  </w:style>
  <w:style w:type="paragraph" w:styleId="af7">
    <w:name w:val="annotation subject"/>
    <w:basedOn w:val="af5"/>
    <w:next w:val="af5"/>
    <w:link w:val="af8"/>
    <w:uiPriority w:val="99"/>
    <w:semiHidden/>
    <w:unhideWhenUsed/>
    <w:rsid w:val="007255DA"/>
    <w:rPr>
      <w:b/>
      <w:bCs/>
    </w:rPr>
  </w:style>
  <w:style w:type="character" w:customStyle="1" w:styleId="af8">
    <w:name w:val="註解主旨 字元"/>
    <w:basedOn w:val="af6"/>
    <w:link w:val="af7"/>
    <w:uiPriority w:val="99"/>
    <w:semiHidden/>
    <w:rsid w:val="007255DA"/>
    <w:rPr>
      <w:rFonts w:ascii="Times New Roman" w:eastAsia="標楷體" w:hAnsi="Times New Roman" w:cs="Times New Roman"/>
      <w:b/>
      <w:bCs/>
      <w:kern w:val="0"/>
      <w:szCs w:val="24"/>
    </w:rPr>
  </w:style>
  <w:style w:type="paragraph" w:customStyle="1" w:styleId="af9">
    <w:name w:val="一、標題"/>
    <w:basedOn w:val="a0"/>
    <w:link w:val="afa"/>
    <w:qFormat/>
    <w:rsid w:val="00756C2D"/>
    <w:pPr>
      <w:spacing w:before="0" w:after="0" w:line="240" w:lineRule="auto"/>
      <w:ind w:leftChars="100" w:left="240"/>
      <w:jc w:val="both"/>
    </w:pPr>
    <w:rPr>
      <w:rFonts w:hAnsi="標楷體"/>
      <w:b/>
      <w:snapToGrid w:val="0"/>
      <w:kern w:val="2"/>
      <w:sz w:val="28"/>
    </w:rPr>
  </w:style>
  <w:style w:type="character" w:customStyle="1" w:styleId="afa">
    <w:name w:val="一、標題 字元"/>
    <w:basedOn w:val="a1"/>
    <w:link w:val="af9"/>
    <w:rsid w:val="00756C2D"/>
    <w:rPr>
      <w:rFonts w:ascii="Times New Roman" w:eastAsia="標楷體" w:hAnsi="標楷體" w:cs="Times New Roman"/>
      <w:b/>
      <w:snapToGrid w:val="0"/>
      <w:sz w:val="28"/>
      <w:szCs w:val="24"/>
    </w:rPr>
  </w:style>
  <w:style w:type="paragraph" w:customStyle="1" w:styleId="afb">
    <w:name w:val="圖標"/>
    <w:basedOn w:val="a0"/>
    <w:link w:val="afc"/>
    <w:qFormat/>
    <w:rsid w:val="002B112E"/>
    <w:pPr>
      <w:snapToGrid w:val="0"/>
      <w:spacing w:before="0" w:after="0" w:line="360" w:lineRule="auto"/>
      <w:jc w:val="center"/>
    </w:pPr>
    <w:rPr>
      <w:b/>
      <w:color w:val="000000"/>
      <w:spacing w:val="20"/>
      <w:kern w:val="2"/>
    </w:rPr>
  </w:style>
  <w:style w:type="character" w:customStyle="1" w:styleId="afc">
    <w:name w:val="圖標 字元"/>
    <w:basedOn w:val="a1"/>
    <w:link w:val="afb"/>
    <w:rsid w:val="002B112E"/>
    <w:rPr>
      <w:rFonts w:ascii="Times New Roman" w:eastAsia="標楷體" w:hAnsi="Times New Roman" w:cs="Times New Roman"/>
      <w:b/>
      <w:color w:val="000000"/>
      <w:spacing w:val="20"/>
      <w:szCs w:val="24"/>
    </w:rPr>
  </w:style>
  <w:style w:type="paragraph" w:customStyle="1" w:styleId="afd">
    <w:name w:val="一、內文"/>
    <w:basedOn w:val="a0"/>
    <w:link w:val="afe"/>
    <w:qFormat/>
    <w:rsid w:val="00EF4E78"/>
    <w:pPr>
      <w:widowControl/>
      <w:snapToGrid w:val="0"/>
      <w:spacing w:before="0" w:after="0" w:line="360" w:lineRule="atLeast"/>
      <w:ind w:leftChars="150" w:left="360" w:firstLineChars="200" w:firstLine="480"/>
      <w:jc w:val="both"/>
    </w:pPr>
    <w:rPr>
      <w:kern w:val="2"/>
      <w:szCs w:val="28"/>
    </w:rPr>
  </w:style>
  <w:style w:type="character" w:customStyle="1" w:styleId="afe">
    <w:name w:val="一、內文 字元"/>
    <w:basedOn w:val="a1"/>
    <w:link w:val="afd"/>
    <w:rsid w:val="00EF4E78"/>
    <w:rPr>
      <w:rFonts w:ascii="Times New Roman" w:eastAsia="標楷體" w:hAnsi="Times New Roman" w:cs="Times New Roman"/>
      <w:szCs w:val="28"/>
    </w:rPr>
  </w:style>
  <w:style w:type="paragraph" w:customStyle="1" w:styleId="aff">
    <w:name w:val="表標"/>
    <w:basedOn w:val="a0"/>
    <w:link w:val="aff0"/>
    <w:qFormat/>
    <w:rsid w:val="003079BC"/>
    <w:pPr>
      <w:snapToGrid w:val="0"/>
      <w:spacing w:before="0" w:after="0" w:line="360" w:lineRule="atLeast"/>
      <w:jc w:val="center"/>
    </w:pPr>
    <w:rPr>
      <w:b/>
      <w:color w:val="000000"/>
      <w:spacing w:val="20"/>
      <w:kern w:val="2"/>
      <w:szCs w:val="20"/>
    </w:rPr>
  </w:style>
  <w:style w:type="character" w:customStyle="1" w:styleId="aff0">
    <w:name w:val="表標 字元"/>
    <w:basedOn w:val="a1"/>
    <w:link w:val="aff"/>
    <w:rsid w:val="003079BC"/>
    <w:rPr>
      <w:rFonts w:ascii="Times New Roman" w:eastAsia="標楷體" w:hAnsi="Times New Roman" w:cs="Times New Roman"/>
      <w:b/>
      <w:color w:val="000000"/>
      <w:spacing w:val="20"/>
      <w:szCs w:val="20"/>
    </w:rPr>
  </w:style>
  <w:style w:type="paragraph" w:customStyle="1" w:styleId="1new">
    <w:name w:val="1. 內容 new"/>
    <w:basedOn w:val="a4"/>
    <w:link w:val="1new0"/>
    <w:qFormat/>
    <w:rsid w:val="00303CD7"/>
    <w:pPr>
      <w:snapToGrid w:val="0"/>
      <w:spacing w:before="0" w:afterLines="50" w:after="50" w:line="240" w:lineRule="auto"/>
      <w:ind w:leftChars="0" w:left="1446" w:firstLineChars="200" w:firstLine="200"/>
      <w:jc w:val="both"/>
    </w:pPr>
    <w:rPr>
      <w:kern w:val="2"/>
      <w:sz w:val="28"/>
      <w:szCs w:val="28"/>
    </w:rPr>
  </w:style>
  <w:style w:type="character" w:customStyle="1" w:styleId="1new0">
    <w:name w:val="1. 內容 new 字元"/>
    <w:basedOn w:val="a1"/>
    <w:link w:val="1new"/>
    <w:rsid w:val="00303CD7"/>
    <w:rPr>
      <w:rFonts w:ascii="Times New Roman" w:eastAsia="標楷體" w:hAnsi="Times New Roman" w:cs="Times New Roman"/>
      <w:sz w:val="28"/>
      <w:szCs w:val="28"/>
    </w:rPr>
  </w:style>
  <w:style w:type="character" w:customStyle="1" w:styleId="a5">
    <w:name w:val="清單段落 字元"/>
    <w:aliases w:val="1.1.1.1清單段落 字元,列點 字元,(二) 字元,Recommendation 字元,Footnote Sam 字元,List Paragraph (numbered (a)) 字元,Text 字元,Noise heading 字元,RUS List 字元,Rec para 字元,Dot pt 字元,F5 List Paragraph 字元,No Spacing1 字元,List Paragraph Char Char Char 字元,Indicator Text 字元,L 字元"/>
    <w:link w:val="a4"/>
    <w:uiPriority w:val="34"/>
    <w:qFormat/>
    <w:rsid w:val="00C41A60"/>
    <w:rPr>
      <w:rFonts w:ascii="Times New Roman" w:eastAsia="標楷體" w:hAnsi="Times New Roman" w:cs="Times New Roman"/>
      <w:kern w:val="0"/>
      <w:szCs w:val="24"/>
    </w:rPr>
  </w:style>
  <w:style w:type="paragraph" w:styleId="aff1">
    <w:name w:val="caption"/>
    <w:basedOn w:val="a0"/>
    <w:next w:val="a0"/>
    <w:uiPriority w:val="35"/>
    <w:unhideWhenUsed/>
    <w:qFormat/>
    <w:rsid w:val="00DC51DA"/>
    <w:pPr>
      <w:spacing w:before="0" w:after="0" w:line="240" w:lineRule="auto"/>
    </w:pPr>
    <w:rPr>
      <w:rFonts w:asciiTheme="minorHAnsi" w:eastAsiaTheme="minorEastAsia" w:hAnsiTheme="minorHAnsi" w:cstheme="minorBidi"/>
      <w:kern w:val="2"/>
      <w:sz w:val="20"/>
      <w:szCs w:val="20"/>
    </w:rPr>
  </w:style>
  <w:style w:type="paragraph" w:customStyle="1" w:styleId="110">
    <w:name w:val="郵_1.1"/>
    <w:basedOn w:val="af9"/>
    <w:link w:val="111"/>
    <w:autoRedefine/>
    <w:qFormat/>
    <w:rsid w:val="007056E4"/>
    <w:pPr>
      <w:overflowPunct w:val="0"/>
      <w:snapToGrid w:val="0"/>
      <w:spacing w:afterLines="50" w:after="180"/>
      <w:ind w:leftChars="169" w:left="967" w:hanging="561"/>
      <w:outlineLvl w:val="1"/>
    </w:pPr>
    <w:rPr>
      <w:rFonts w:hAnsi="Times New Roman"/>
      <w:b w:val="0"/>
      <w:bCs/>
      <w:noProof/>
      <w:sz w:val="24"/>
    </w:rPr>
  </w:style>
  <w:style w:type="paragraph" w:customStyle="1" w:styleId="112">
    <w:name w:val="郵_1.1_內文"/>
    <w:basedOn w:val="a0"/>
    <w:link w:val="113"/>
    <w:autoRedefine/>
    <w:qFormat/>
    <w:rsid w:val="003F2AFB"/>
    <w:pPr>
      <w:overflowPunct w:val="0"/>
      <w:snapToGrid w:val="0"/>
      <w:spacing w:before="0" w:after="0" w:line="240" w:lineRule="auto"/>
      <w:jc w:val="center"/>
    </w:pPr>
  </w:style>
  <w:style w:type="character" w:customStyle="1" w:styleId="111">
    <w:name w:val="郵_1.1 字元"/>
    <w:basedOn w:val="afa"/>
    <w:link w:val="110"/>
    <w:rsid w:val="007056E4"/>
    <w:rPr>
      <w:rFonts w:ascii="Times New Roman" w:eastAsia="標楷體" w:hAnsi="Times New Roman" w:cs="Times New Roman"/>
      <w:b w:val="0"/>
      <w:bCs/>
      <w:noProof/>
      <w:snapToGrid w:val="0"/>
      <w:sz w:val="28"/>
      <w:szCs w:val="24"/>
    </w:rPr>
  </w:style>
  <w:style w:type="paragraph" w:customStyle="1" w:styleId="a">
    <w:name w:val="郵_一、"/>
    <w:basedOn w:val="af9"/>
    <w:link w:val="aff2"/>
    <w:autoRedefine/>
    <w:rsid w:val="002B0117"/>
    <w:pPr>
      <w:numPr>
        <w:ilvl w:val="1"/>
        <w:numId w:val="1"/>
      </w:numPr>
      <w:ind w:leftChars="0" w:left="0"/>
    </w:pPr>
    <w:rPr>
      <w:rFonts w:hAnsi="Times New Roman"/>
    </w:rPr>
  </w:style>
  <w:style w:type="character" w:customStyle="1" w:styleId="113">
    <w:name w:val="郵_1.1_內文 字元"/>
    <w:basedOn w:val="a1"/>
    <w:link w:val="112"/>
    <w:rsid w:val="003F2AFB"/>
    <w:rPr>
      <w:rFonts w:ascii="Times New Roman" w:eastAsia="標楷體" w:hAnsi="Times New Roman" w:cs="Times New Roman"/>
      <w:kern w:val="0"/>
      <w:szCs w:val="24"/>
    </w:rPr>
  </w:style>
  <w:style w:type="paragraph" w:customStyle="1" w:styleId="aff3">
    <w:name w:val="郵_一"/>
    <w:basedOn w:val="a4"/>
    <w:link w:val="aff4"/>
    <w:autoRedefine/>
    <w:qFormat/>
    <w:rsid w:val="0000504F"/>
    <w:pPr>
      <w:overflowPunct w:val="0"/>
      <w:snapToGrid w:val="0"/>
      <w:spacing w:before="0" w:afterLines="50" w:after="180" w:line="240" w:lineRule="auto"/>
      <w:ind w:leftChars="0" w:left="0"/>
      <w:jc w:val="both"/>
    </w:pPr>
    <w:rPr>
      <w:sz w:val="28"/>
    </w:rPr>
  </w:style>
  <w:style w:type="character" w:customStyle="1" w:styleId="aff2">
    <w:name w:val="郵_一、 字元"/>
    <w:basedOn w:val="afa"/>
    <w:link w:val="a"/>
    <w:rsid w:val="002B0117"/>
    <w:rPr>
      <w:rFonts w:ascii="Times New Roman" w:eastAsia="標楷體" w:hAnsi="Times New Roman" w:cs="Times New Roman"/>
      <w:b/>
      <w:snapToGrid w:val="0"/>
      <w:sz w:val="28"/>
      <w:szCs w:val="24"/>
    </w:rPr>
  </w:style>
  <w:style w:type="paragraph" w:customStyle="1" w:styleId="aff5">
    <w:name w:val="郵_一內文"/>
    <w:basedOn w:val="a0"/>
    <w:link w:val="aff6"/>
    <w:autoRedefine/>
    <w:qFormat/>
    <w:rsid w:val="00AC49DB"/>
    <w:pPr>
      <w:overflowPunct w:val="0"/>
      <w:snapToGrid w:val="0"/>
      <w:spacing w:before="120" w:after="120" w:line="240" w:lineRule="auto"/>
      <w:ind w:leftChars="659" w:left="1582"/>
      <w:jc w:val="both"/>
    </w:pPr>
    <w:rPr>
      <w:sz w:val="28"/>
      <w:szCs w:val="28"/>
    </w:rPr>
  </w:style>
  <w:style w:type="character" w:customStyle="1" w:styleId="aff4">
    <w:name w:val="郵_一 字元"/>
    <w:basedOn w:val="a5"/>
    <w:link w:val="aff3"/>
    <w:rsid w:val="0000504F"/>
    <w:rPr>
      <w:rFonts w:ascii="Times New Roman" w:eastAsia="標楷體" w:hAnsi="Times New Roman" w:cs="Times New Roman"/>
      <w:kern w:val="0"/>
      <w:sz w:val="28"/>
      <w:szCs w:val="24"/>
    </w:rPr>
  </w:style>
  <w:style w:type="paragraph" w:customStyle="1" w:styleId="aff7">
    <w:name w:val="郵_(一)"/>
    <w:basedOn w:val="a4"/>
    <w:link w:val="aff8"/>
    <w:autoRedefine/>
    <w:qFormat/>
    <w:rsid w:val="007C7F99"/>
    <w:pPr>
      <w:snapToGrid w:val="0"/>
      <w:spacing w:before="120" w:after="120" w:line="240" w:lineRule="auto"/>
      <w:ind w:leftChars="0" w:left="0"/>
      <w:jc w:val="both"/>
    </w:pPr>
  </w:style>
  <w:style w:type="character" w:customStyle="1" w:styleId="aff6">
    <w:name w:val="郵_一內文 字元"/>
    <w:basedOn w:val="a1"/>
    <w:link w:val="aff5"/>
    <w:rsid w:val="00AC49DB"/>
    <w:rPr>
      <w:rFonts w:ascii="Times New Roman" w:eastAsia="標楷體" w:hAnsi="Times New Roman" w:cs="Times New Roman"/>
      <w:kern w:val="0"/>
      <w:sz w:val="28"/>
      <w:szCs w:val="28"/>
    </w:rPr>
  </w:style>
  <w:style w:type="paragraph" w:customStyle="1" w:styleId="aff9">
    <w:name w:val="郵_(一)內文"/>
    <w:basedOn w:val="a0"/>
    <w:link w:val="affa"/>
    <w:qFormat/>
    <w:rsid w:val="00665F08"/>
    <w:pPr>
      <w:snapToGrid w:val="0"/>
      <w:spacing w:before="0" w:afterLines="50" w:after="50" w:line="240" w:lineRule="auto"/>
      <w:ind w:leftChars="898" w:left="898"/>
      <w:jc w:val="both"/>
    </w:pPr>
    <w:rPr>
      <w:sz w:val="28"/>
      <w:szCs w:val="28"/>
    </w:rPr>
  </w:style>
  <w:style w:type="character" w:customStyle="1" w:styleId="aff8">
    <w:name w:val="郵_(一) 字元"/>
    <w:basedOn w:val="a5"/>
    <w:link w:val="aff7"/>
    <w:rsid w:val="007C7F99"/>
    <w:rPr>
      <w:rFonts w:ascii="Times New Roman" w:eastAsia="標楷體" w:hAnsi="Times New Roman" w:cs="Times New Roman"/>
      <w:kern w:val="0"/>
      <w:szCs w:val="24"/>
    </w:rPr>
  </w:style>
  <w:style w:type="paragraph" w:customStyle="1" w:styleId="114">
    <w:name w:val="郵_1.1_內(粗)"/>
    <w:basedOn w:val="112"/>
    <w:link w:val="115"/>
    <w:autoRedefine/>
    <w:qFormat/>
    <w:rsid w:val="00665F08"/>
    <w:rPr>
      <w:b/>
    </w:rPr>
  </w:style>
  <w:style w:type="character" w:customStyle="1" w:styleId="affa">
    <w:name w:val="郵_(一)內文 字元"/>
    <w:basedOn w:val="a1"/>
    <w:link w:val="aff9"/>
    <w:rsid w:val="00665F08"/>
    <w:rPr>
      <w:rFonts w:ascii="Times New Roman" w:eastAsia="標楷體" w:hAnsi="Times New Roman" w:cs="Times New Roman"/>
      <w:kern w:val="0"/>
      <w:sz w:val="28"/>
      <w:szCs w:val="28"/>
    </w:rPr>
  </w:style>
  <w:style w:type="character" w:customStyle="1" w:styleId="20">
    <w:name w:val="標題 2 字元"/>
    <w:basedOn w:val="a1"/>
    <w:link w:val="2"/>
    <w:uiPriority w:val="9"/>
    <w:semiHidden/>
    <w:rsid w:val="00505775"/>
    <w:rPr>
      <w:rFonts w:asciiTheme="majorHAnsi" w:eastAsiaTheme="majorEastAsia" w:hAnsiTheme="majorHAnsi" w:cstheme="majorBidi"/>
      <w:b/>
      <w:bCs/>
      <w:kern w:val="0"/>
      <w:sz w:val="48"/>
      <w:szCs w:val="48"/>
    </w:rPr>
  </w:style>
  <w:style w:type="character" w:customStyle="1" w:styleId="115">
    <w:name w:val="郵_1.1_內(粗) 字元"/>
    <w:basedOn w:val="113"/>
    <w:link w:val="114"/>
    <w:rsid w:val="00665F08"/>
    <w:rPr>
      <w:rFonts w:ascii="Times New Roman" w:eastAsia="標楷體" w:hAnsi="Times New Roman" w:cs="Times New Roman"/>
      <w:b/>
      <w:kern w:val="0"/>
      <w:sz w:val="28"/>
      <w:szCs w:val="28"/>
    </w:rPr>
  </w:style>
  <w:style w:type="paragraph" w:styleId="affb">
    <w:name w:val="table of figures"/>
    <w:basedOn w:val="a0"/>
    <w:next w:val="a0"/>
    <w:uiPriority w:val="99"/>
    <w:unhideWhenUsed/>
    <w:rsid w:val="0008640A"/>
    <w:pPr>
      <w:ind w:leftChars="400" w:left="400" w:hangingChars="200" w:hanging="200"/>
    </w:pPr>
  </w:style>
  <w:style w:type="character" w:customStyle="1" w:styleId="30">
    <w:name w:val="標題 3 字元"/>
    <w:basedOn w:val="a1"/>
    <w:link w:val="3"/>
    <w:uiPriority w:val="9"/>
    <w:semiHidden/>
    <w:rsid w:val="003E688A"/>
    <w:rPr>
      <w:rFonts w:asciiTheme="majorHAnsi" w:eastAsiaTheme="majorEastAsia" w:hAnsiTheme="majorHAnsi" w:cstheme="majorBidi"/>
      <w:b/>
      <w:bCs/>
      <w:kern w:val="0"/>
      <w:sz w:val="36"/>
      <w:szCs w:val="36"/>
    </w:rPr>
  </w:style>
  <w:style w:type="character" w:customStyle="1" w:styleId="findhit">
    <w:name w:val="findhit"/>
    <w:basedOn w:val="a1"/>
    <w:rsid w:val="008F2604"/>
  </w:style>
  <w:style w:type="paragraph" w:customStyle="1" w:styleId="Standard">
    <w:name w:val="Standard"/>
    <w:rsid w:val="001529A4"/>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affc">
    <w:name w:val="圖名"/>
    <w:basedOn w:val="aff1"/>
    <w:link w:val="affd"/>
    <w:qFormat/>
    <w:rsid w:val="00C17320"/>
    <w:pPr>
      <w:spacing w:line="228" w:lineRule="auto"/>
      <w:jc w:val="center"/>
    </w:pPr>
    <w:rPr>
      <w:rFonts w:ascii="Times New Roman" w:eastAsia="標楷體" w:hAnsi="Times New Roman" w:cs="Times New Roman"/>
      <w:b/>
      <w:kern w:val="0"/>
      <w:sz w:val="32"/>
      <w:szCs w:val="32"/>
    </w:rPr>
  </w:style>
  <w:style w:type="character" w:customStyle="1" w:styleId="affd">
    <w:name w:val="圖名 字元"/>
    <w:link w:val="affc"/>
    <w:locked/>
    <w:rsid w:val="00C17320"/>
    <w:rPr>
      <w:rFonts w:ascii="Times New Roman" w:eastAsia="標楷體" w:hAnsi="Times New Roman" w:cs="Times New Roman"/>
      <w:b/>
      <w:kern w:val="0"/>
      <w:sz w:val="32"/>
      <w:szCs w:val="32"/>
    </w:rPr>
  </w:style>
  <w:style w:type="paragraph" w:customStyle="1" w:styleId="affe">
    <w:name w:val="表格文字"/>
    <w:rsid w:val="000429AF"/>
    <w:pPr>
      <w:adjustRightInd w:val="0"/>
      <w:snapToGrid w:val="0"/>
      <w:jc w:val="center"/>
      <w:textAlignment w:val="baseline"/>
    </w:pPr>
    <w:rPr>
      <w:rFonts w:ascii="Times New Roman" w:eastAsia="標楷體" w:hAnsi="Times New Roman" w:cs="Times New Roman"/>
      <w:kern w:val="0"/>
      <w:sz w:val="26"/>
      <w:szCs w:val="20"/>
    </w:rPr>
  </w:style>
  <w:style w:type="table" w:customStyle="1" w:styleId="12">
    <w:name w:val="表格格線1"/>
    <w:basedOn w:val="a2"/>
    <w:next w:val="aa"/>
    <w:uiPriority w:val="39"/>
    <w:rsid w:val="00FF43F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Revision"/>
    <w:hidden/>
    <w:uiPriority w:val="99"/>
    <w:semiHidden/>
    <w:rsid w:val="00976157"/>
    <w:rPr>
      <w:rFonts w:ascii="Times New Roman" w:eastAsia="標楷體" w:hAnsi="Times New Roman" w:cs="Times New Roman"/>
      <w:kern w:val="0"/>
      <w:szCs w:val="24"/>
    </w:rPr>
  </w:style>
  <w:style w:type="paragraph" w:styleId="afff0">
    <w:name w:val="Salutation"/>
    <w:basedOn w:val="a0"/>
    <w:next w:val="a0"/>
    <w:link w:val="afff1"/>
    <w:uiPriority w:val="99"/>
    <w:unhideWhenUsed/>
    <w:rsid w:val="005628B5"/>
  </w:style>
  <w:style w:type="character" w:customStyle="1" w:styleId="afff1">
    <w:name w:val="問候 字元"/>
    <w:basedOn w:val="a1"/>
    <w:link w:val="afff0"/>
    <w:uiPriority w:val="99"/>
    <w:rsid w:val="005628B5"/>
    <w:rPr>
      <w:rFonts w:ascii="Times New Roman" w:eastAsia="標楷體" w:hAnsi="Times New Roman" w:cs="Times New Roman"/>
      <w:kern w:val="0"/>
      <w:szCs w:val="24"/>
    </w:rPr>
  </w:style>
  <w:style w:type="paragraph" w:styleId="afff2">
    <w:name w:val="Closing"/>
    <w:basedOn w:val="a0"/>
    <w:link w:val="afff3"/>
    <w:uiPriority w:val="99"/>
    <w:unhideWhenUsed/>
    <w:rsid w:val="005628B5"/>
    <w:pPr>
      <w:ind w:leftChars="1800" w:left="100"/>
    </w:pPr>
  </w:style>
  <w:style w:type="character" w:customStyle="1" w:styleId="afff3">
    <w:name w:val="結語 字元"/>
    <w:basedOn w:val="a1"/>
    <w:link w:val="afff2"/>
    <w:uiPriority w:val="99"/>
    <w:rsid w:val="005628B5"/>
    <w:rPr>
      <w:rFonts w:ascii="Times New Roman" w:eastAsia="標楷體" w:hAnsi="Times New Roman" w:cs="Times New Roman"/>
      <w:kern w:val="0"/>
      <w:szCs w:val="24"/>
    </w:rPr>
  </w:style>
  <w:style w:type="paragraph" w:customStyle="1" w:styleId="afff4">
    <w:name w:val="一.文"/>
    <w:basedOn w:val="a0"/>
    <w:link w:val="afff5"/>
    <w:rsid w:val="00FA72EC"/>
    <w:pPr>
      <w:snapToGrid w:val="0"/>
      <w:spacing w:before="0" w:after="120" w:line="480" w:lineRule="exact"/>
      <w:ind w:leftChars="150" w:left="360" w:firstLineChars="200" w:firstLine="560"/>
      <w:jc w:val="both"/>
    </w:pPr>
    <w:rPr>
      <w:snapToGrid w:val="0"/>
      <w:sz w:val="28"/>
      <w:szCs w:val="20"/>
    </w:rPr>
  </w:style>
  <w:style w:type="character" w:customStyle="1" w:styleId="afff5">
    <w:name w:val="一.文 字元"/>
    <w:basedOn w:val="a1"/>
    <w:link w:val="afff4"/>
    <w:rsid w:val="00FA72EC"/>
    <w:rPr>
      <w:rFonts w:ascii="Times New Roman" w:eastAsia="標楷體" w:hAnsi="Times New Roman" w:cs="Times New Roman"/>
      <w:snapToGrid w:val="0"/>
      <w:kern w:val="0"/>
      <w:sz w:val="28"/>
      <w:szCs w:val="20"/>
    </w:rPr>
  </w:style>
  <w:style w:type="character" w:customStyle="1" w:styleId="afff6">
    <w:name w:val="章節 字元"/>
    <w:basedOn w:val="a1"/>
    <w:link w:val="afff7"/>
    <w:locked/>
    <w:rsid w:val="005E5875"/>
    <w:rPr>
      <w:rFonts w:ascii="Times New Roman" w:eastAsia="標楷體" w:hAnsi="Times New Roman" w:cs="Times New Roman"/>
      <w:b/>
      <w:bCs/>
      <w:sz w:val="32"/>
      <w:szCs w:val="32"/>
    </w:rPr>
  </w:style>
  <w:style w:type="paragraph" w:customStyle="1" w:styleId="afff7">
    <w:name w:val="章節"/>
    <w:basedOn w:val="a0"/>
    <w:link w:val="afff6"/>
    <w:qFormat/>
    <w:rsid w:val="005E5875"/>
    <w:pPr>
      <w:spacing w:before="0" w:afterLines="50" w:after="0" w:line="240" w:lineRule="auto"/>
      <w:jc w:val="center"/>
      <w:outlineLvl w:val="0"/>
    </w:pPr>
    <w:rPr>
      <w:b/>
      <w:bCs/>
      <w:kern w:val="2"/>
      <w:sz w:val="32"/>
      <w:szCs w:val="32"/>
    </w:rPr>
  </w:style>
  <w:style w:type="character" w:customStyle="1" w:styleId="13">
    <w:name w:val="1.標題 字元"/>
    <w:basedOn w:val="a1"/>
    <w:link w:val="14"/>
    <w:locked/>
    <w:rsid w:val="00FD63B0"/>
    <w:rPr>
      <w:rFonts w:ascii="Times New Roman" w:eastAsia="標楷體" w:hAnsi="Times New Roman" w:cs="Times New Roman"/>
      <w:bCs/>
      <w:sz w:val="28"/>
      <w:szCs w:val="28"/>
    </w:rPr>
  </w:style>
  <w:style w:type="paragraph" w:customStyle="1" w:styleId="14">
    <w:name w:val="1.標題"/>
    <w:basedOn w:val="a0"/>
    <w:link w:val="13"/>
    <w:qFormat/>
    <w:rsid w:val="00FD63B0"/>
    <w:pPr>
      <w:spacing w:before="0" w:afterLines="50" w:after="0"/>
      <w:ind w:leftChars="300" w:left="1000" w:hangingChars="100" w:hanging="280"/>
      <w:jc w:val="both"/>
      <w:outlineLvl w:val="5"/>
    </w:pPr>
    <w:rPr>
      <w:bCs/>
      <w:kern w:val="2"/>
      <w:sz w:val="28"/>
      <w:szCs w:val="28"/>
    </w:rPr>
  </w:style>
  <w:style w:type="paragraph" w:customStyle="1" w:styleId="afff8">
    <w:name w:val="(一)內容"/>
    <w:basedOn w:val="a0"/>
    <w:link w:val="afff9"/>
    <w:qFormat/>
    <w:rsid w:val="00500AA2"/>
    <w:pPr>
      <w:spacing w:before="0" w:afterLines="50" w:after="180"/>
      <w:ind w:leftChars="200" w:left="480" w:firstLineChars="200" w:firstLine="480"/>
      <w:jc w:val="both"/>
    </w:pPr>
    <w:rPr>
      <w:bCs/>
      <w:kern w:val="2"/>
      <w:sz w:val="28"/>
      <w:szCs w:val="28"/>
    </w:rPr>
  </w:style>
  <w:style w:type="character" w:customStyle="1" w:styleId="afff9">
    <w:name w:val="(一)內容 字元"/>
    <w:basedOn w:val="a1"/>
    <w:link w:val="afff8"/>
    <w:rsid w:val="00500AA2"/>
    <w:rPr>
      <w:rFonts w:ascii="Times New Roman" w:eastAsia="標楷體" w:hAnsi="Times New Roman" w:cs="Times New Roman"/>
      <w:bCs/>
      <w:sz w:val="28"/>
      <w:szCs w:val="28"/>
    </w:rPr>
  </w:style>
  <w:style w:type="table" w:styleId="6-6">
    <w:name w:val="Grid Table 6 Colorful Accent 6"/>
    <w:basedOn w:val="a2"/>
    <w:uiPriority w:val="51"/>
    <w:rsid w:val="00F0783F"/>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F0783F"/>
    <w:pPr>
      <w:widowControl w:val="0"/>
      <w:autoSpaceDE w:val="0"/>
      <w:autoSpaceDN w:val="0"/>
      <w:adjustRightInd w:val="0"/>
    </w:pPr>
    <w:rPr>
      <w:rFonts w:ascii="標楷體" w:eastAsia="標楷體" w:cs="標楷體"/>
      <w:color w:val="000000"/>
      <w:kern w:val="0"/>
      <w:szCs w:val="24"/>
    </w:rPr>
  </w:style>
  <w:style w:type="table" w:styleId="5-6">
    <w:name w:val="Grid Table 5 Dark Accent 6"/>
    <w:basedOn w:val="a2"/>
    <w:uiPriority w:val="50"/>
    <w:rsid w:val="00B374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5">
    <w:name w:val="Grid Table 5 Dark Accent 5"/>
    <w:basedOn w:val="a2"/>
    <w:uiPriority w:val="50"/>
    <w:rsid w:val="008573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2">
    <w:name w:val="Grid Table 5 Dark Accent 2"/>
    <w:basedOn w:val="a2"/>
    <w:uiPriority w:val="50"/>
    <w:rsid w:val="008573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4-6">
    <w:name w:val="List Table 4 Accent 6"/>
    <w:basedOn w:val="a2"/>
    <w:uiPriority w:val="49"/>
    <w:rsid w:val="007A7C1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2">
    <w:name w:val="List Table 4 Accent 2"/>
    <w:basedOn w:val="a2"/>
    <w:uiPriority w:val="49"/>
    <w:rsid w:val="00D528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3423">
      <w:bodyDiv w:val="1"/>
      <w:marLeft w:val="0"/>
      <w:marRight w:val="0"/>
      <w:marTop w:val="0"/>
      <w:marBottom w:val="0"/>
      <w:divBdr>
        <w:top w:val="none" w:sz="0" w:space="0" w:color="auto"/>
        <w:left w:val="none" w:sz="0" w:space="0" w:color="auto"/>
        <w:bottom w:val="none" w:sz="0" w:space="0" w:color="auto"/>
        <w:right w:val="none" w:sz="0" w:space="0" w:color="auto"/>
      </w:divBdr>
    </w:div>
    <w:div w:id="165872197">
      <w:bodyDiv w:val="1"/>
      <w:marLeft w:val="0"/>
      <w:marRight w:val="0"/>
      <w:marTop w:val="0"/>
      <w:marBottom w:val="0"/>
      <w:divBdr>
        <w:top w:val="none" w:sz="0" w:space="0" w:color="auto"/>
        <w:left w:val="none" w:sz="0" w:space="0" w:color="auto"/>
        <w:bottom w:val="none" w:sz="0" w:space="0" w:color="auto"/>
        <w:right w:val="none" w:sz="0" w:space="0" w:color="auto"/>
      </w:divBdr>
    </w:div>
    <w:div w:id="448940025">
      <w:bodyDiv w:val="1"/>
      <w:marLeft w:val="0"/>
      <w:marRight w:val="0"/>
      <w:marTop w:val="0"/>
      <w:marBottom w:val="0"/>
      <w:divBdr>
        <w:top w:val="none" w:sz="0" w:space="0" w:color="auto"/>
        <w:left w:val="none" w:sz="0" w:space="0" w:color="auto"/>
        <w:bottom w:val="none" w:sz="0" w:space="0" w:color="auto"/>
        <w:right w:val="none" w:sz="0" w:space="0" w:color="auto"/>
      </w:divBdr>
    </w:div>
    <w:div w:id="586571892">
      <w:bodyDiv w:val="1"/>
      <w:marLeft w:val="0"/>
      <w:marRight w:val="0"/>
      <w:marTop w:val="0"/>
      <w:marBottom w:val="0"/>
      <w:divBdr>
        <w:top w:val="none" w:sz="0" w:space="0" w:color="auto"/>
        <w:left w:val="none" w:sz="0" w:space="0" w:color="auto"/>
        <w:bottom w:val="none" w:sz="0" w:space="0" w:color="auto"/>
        <w:right w:val="none" w:sz="0" w:space="0" w:color="auto"/>
      </w:divBdr>
    </w:div>
    <w:div w:id="635650206">
      <w:bodyDiv w:val="1"/>
      <w:marLeft w:val="0"/>
      <w:marRight w:val="0"/>
      <w:marTop w:val="0"/>
      <w:marBottom w:val="0"/>
      <w:divBdr>
        <w:top w:val="none" w:sz="0" w:space="0" w:color="auto"/>
        <w:left w:val="none" w:sz="0" w:space="0" w:color="auto"/>
        <w:bottom w:val="none" w:sz="0" w:space="0" w:color="auto"/>
        <w:right w:val="none" w:sz="0" w:space="0" w:color="auto"/>
      </w:divBdr>
    </w:div>
    <w:div w:id="776288791">
      <w:bodyDiv w:val="1"/>
      <w:marLeft w:val="0"/>
      <w:marRight w:val="0"/>
      <w:marTop w:val="0"/>
      <w:marBottom w:val="0"/>
      <w:divBdr>
        <w:top w:val="none" w:sz="0" w:space="0" w:color="auto"/>
        <w:left w:val="none" w:sz="0" w:space="0" w:color="auto"/>
        <w:bottom w:val="none" w:sz="0" w:space="0" w:color="auto"/>
        <w:right w:val="none" w:sz="0" w:space="0" w:color="auto"/>
      </w:divBdr>
    </w:div>
    <w:div w:id="910121318">
      <w:bodyDiv w:val="1"/>
      <w:marLeft w:val="0"/>
      <w:marRight w:val="0"/>
      <w:marTop w:val="0"/>
      <w:marBottom w:val="0"/>
      <w:divBdr>
        <w:top w:val="none" w:sz="0" w:space="0" w:color="auto"/>
        <w:left w:val="none" w:sz="0" w:space="0" w:color="auto"/>
        <w:bottom w:val="none" w:sz="0" w:space="0" w:color="auto"/>
        <w:right w:val="none" w:sz="0" w:space="0" w:color="auto"/>
      </w:divBdr>
      <w:divsChild>
        <w:div w:id="51854567">
          <w:marLeft w:val="446"/>
          <w:marRight w:val="0"/>
          <w:marTop w:val="0"/>
          <w:marBottom w:val="0"/>
          <w:divBdr>
            <w:top w:val="none" w:sz="0" w:space="0" w:color="auto"/>
            <w:left w:val="none" w:sz="0" w:space="0" w:color="auto"/>
            <w:bottom w:val="none" w:sz="0" w:space="0" w:color="auto"/>
            <w:right w:val="none" w:sz="0" w:space="0" w:color="auto"/>
          </w:divBdr>
        </w:div>
        <w:div w:id="159546843">
          <w:marLeft w:val="446"/>
          <w:marRight w:val="0"/>
          <w:marTop w:val="0"/>
          <w:marBottom w:val="0"/>
          <w:divBdr>
            <w:top w:val="none" w:sz="0" w:space="0" w:color="auto"/>
            <w:left w:val="none" w:sz="0" w:space="0" w:color="auto"/>
            <w:bottom w:val="none" w:sz="0" w:space="0" w:color="auto"/>
            <w:right w:val="none" w:sz="0" w:space="0" w:color="auto"/>
          </w:divBdr>
        </w:div>
        <w:div w:id="671613959">
          <w:marLeft w:val="446"/>
          <w:marRight w:val="0"/>
          <w:marTop w:val="0"/>
          <w:marBottom w:val="0"/>
          <w:divBdr>
            <w:top w:val="none" w:sz="0" w:space="0" w:color="auto"/>
            <w:left w:val="none" w:sz="0" w:space="0" w:color="auto"/>
            <w:bottom w:val="none" w:sz="0" w:space="0" w:color="auto"/>
            <w:right w:val="none" w:sz="0" w:space="0" w:color="auto"/>
          </w:divBdr>
        </w:div>
        <w:div w:id="1080521472">
          <w:marLeft w:val="446"/>
          <w:marRight w:val="0"/>
          <w:marTop w:val="0"/>
          <w:marBottom w:val="0"/>
          <w:divBdr>
            <w:top w:val="none" w:sz="0" w:space="0" w:color="auto"/>
            <w:left w:val="none" w:sz="0" w:space="0" w:color="auto"/>
            <w:bottom w:val="none" w:sz="0" w:space="0" w:color="auto"/>
            <w:right w:val="none" w:sz="0" w:space="0" w:color="auto"/>
          </w:divBdr>
        </w:div>
        <w:div w:id="1693844338">
          <w:marLeft w:val="446"/>
          <w:marRight w:val="0"/>
          <w:marTop w:val="0"/>
          <w:marBottom w:val="0"/>
          <w:divBdr>
            <w:top w:val="none" w:sz="0" w:space="0" w:color="auto"/>
            <w:left w:val="none" w:sz="0" w:space="0" w:color="auto"/>
            <w:bottom w:val="none" w:sz="0" w:space="0" w:color="auto"/>
            <w:right w:val="none" w:sz="0" w:space="0" w:color="auto"/>
          </w:divBdr>
        </w:div>
        <w:div w:id="1795056515">
          <w:marLeft w:val="446"/>
          <w:marRight w:val="0"/>
          <w:marTop w:val="0"/>
          <w:marBottom w:val="0"/>
          <w:divBdr>
            <w:top w:val="none" w:sz="0" w:space="0" w:color="auto"/>
            <w:left w:val="none" w:sz="0" w:space="0" w:color="auto"/>
            <w:bottom w:val="none" w:sz="0" w:space="0" w:color="auto"/>
            <w:right w:val="none" w:sz="0" w:space="0" w:color="auto"/>
          </w:divBdr>
        </w:div>
        <w:div w:id="1959140559">
          <w:marLeft w:val="446"/>
          <w:marRight w:val="0"/>
          <w:marTop w:val="0"/>
          <w:marBottom w:val="0"/>
          <w:divBdr>
            <w:top w:val="none" w:sz="0" w:space="0" w:color="auto"/>
            <w:left w:val="none" w:sz="0" w:space="0" w:color="auto"/>
            <w:bottom w:val="none" w:sz="0" w:space="0" w:color="auto"/>
            <w:right w:val="none" w:sz="0" w:space="0" w:color="auto"/>
          </w:divBdr>
        </w:div>
      </w:divsChild>
    </w:div>
    <w:div w:id="1000623334">
      <w:bodyDiv w:val="1"/>
      <w:marLeft w:val="0"/>
      <w:marRight w:val="0"/>
      <w:marTop w:val="0"/>
      <w:marBottom w:val="0"/>
      <w:divBdr>
        <w:top w:val="none" w:sz="0" w:space="0" w:color="auto"/>
        <w:left w:val="none" w:sz="0" w:space="0" w:color="auto"/>
        <w:bottom w:val="none" w:sz="0" w:space="0" w:color="auto"/>
        <w:right w:val="none" w:sz="0" w:space="0" w:color="auto"/>
      </w:divBdr>
    </w:div>
    <w:div w:id="1093012901">
      <w:bodyDiv w:val="1"/>
      <w:marLeft w:val="0"/>
      <w:marRight w:val="0"/>
      <w:marTop w:val="0"/>
      <w:marBottom w:val="0"/>
      <w:divBdr>
        <w:top w:val="none" w:sz="0" w:space="0" w:color="auto"/>
        <w:left w:val="none" w:sz="0" w:space="0" w:color="auto"/>
        <w:bottom w:val="none" w:sz="0" w:space="0" w:color="auto"/>
        <w:right w:val="none" w:sz="0" w:space="0" w:color="auto"/>
      </w:divBdr>
    </w:div>
    <w:div w:id="1171525905">
      <w:bodyDiv w:val="1"/>
      <w:marLeft w:val="0"/>
      <w:marRight w:val="0"/>
      <w:marTop w:val="0"/>
      <w:marBottom w:val="0"/>
      <w:divBdr>
        <w:top w:val="none" w:sz="0" w:space="0" w:color="auto"/>
        <w:left w:val="none" w:sz="0" w:space="0" w:color="auto"/>
        <w:bottom w:val="none" w:sz="0" w:space="0" w:color="auto"/>
        <w:right w:val="none" w:sz="0" w:space="0" w:color="auto"/>
      </w:divBdr>
    </w:div>
    <w:div w:id="1184127276">
      <w:bodyDiv w:val="1"/>
      <w:marLeft w:val="0"/>
      <w:marRight w:val="0"/>
      <w:marTop w:val="0"/>
      <w:marBottom w:val="0"/>
      <w:divBdr>
        <w:top w:val="none" w:sz="0" w:space="0" w:color="auto"/>
        <w:left w:val="none" w:sz="0" w:space="0" w:color="auto"/>
        <w:bottom w:val="none" w:sz="0" w:space="0" w:color="auto"/>
        <w:right w:val="none" w:sz="0" w:space="0" w:color="auto"/>
      </w:divBdr>
      <w:divsChild>
        <w:div w:id="351301333">
          <w:marLeft w:val="0"/>
          <w:marRight w:val="0"/>
          <w:marTop w:val="0"/>
          <w:marBottom w:val="0"/>
          <w:divBdr>
            <w:top w:val="none" w:sz="0" w:space="0" w:color="auto"/>
            <w:left w:val="none" w:sz="0" w:space="0" w:color="auto"/>
            <w:bottom w:val="none" w:sz="0" w:space="0" w:color="auto"/>
            <w:right w:val="none" w:sz="0" w:space="0" w:color="auto"/>
          </w:divBdr>
          <w:divsChild>
            <w:div w:id="1649019415">
              <w:marLeft w:val="0"/>
              <w:marRight w:val="0"/>
              <w:marTop w:val="0"/>
              <w:marBottom w:val="0"/>
              <w:divBdr>
                <w:top w:val="none" w:sz="0" w:space="0" w:color="auto"/>
                <w:left w:val="none" w:sz="0" w:space="0" w:color="auto"/>
                <w:bottom w:val="none" w:sz="0" w:space="0" w:color="auto"/>
                <w:right w:val="none" w:sz="0" w:space="0" w:color="auto"/>
              </w:divBdr>
            </w:div>
          </w:divsChild>
        </w:div>
        <w:div w:id="457339892">
          <w:marLeft w:val="0"/>
          <w:marRight w:val="0"/>
          <w:marTop w:val="0"/>
          <w:marBottom w:val="0"/>
          <w:divBdr>
            <w:top w:val="none" w:sz="0" w:space="0" w:color="auto"/>
            <w:left w:val="none" w:sz="0" w:space="0" w:color="auto"/>
            <w:bottom w:val="none" w:sz="0" w:space="0" w:color="auto"/>
            <w:right w:val="none" w:sz="0" w:space="0" w:color="auto"/>
          </w:divBdr>
          <w:divsChild>
            <w:div w:id="685985978">
              <w:marLeft w:val="0"/>
              <w:marRight w:val="0"/>
              <w:marTop w:val="0"/>
              <w:marBottom w:val="0"/>
              <w:divBdr>
                <w:top w:val="none" w:sz="0" w:space="0" w:color="auto"/>
                <w:left w:val="none" w:sz="0" w:space="0" w:color="auto"/>
                <w:bottom w:val="none" w:sz="0" w:space="0" w:color="auto"/>
                <w:right w:val="none" w:sz="0" w:space="0" w:color="auto"/>
              </w:divBdr>
            </w:div>
          </w:divsChild>
        </w:div>
        <w:div w:id="853421931">
          <w:marLeft w:val="0"/>
          <w:marRight w:val="0"/>
          <w:marTop w:val="0"/>
          <w:marBottom w:val="0"/>
          <w:divBdr>
            <w:top w:val="none" w:sz="0" w:space="0" w:color="auto"/>
            <w:left w:val="none" w:sz="0" w:space="0" w:color="auto"/>
            <w:bottom w:val="none" w:sz="0" w:space="0" w:color="auto"/>
            <w:right w:val="none" w:sz="0" w:space="0" w:color="auto"/>
          </w:divBdr>
          <w:divsChild>
            <w:div w:id="1795325745">
              <w:marLeft w:val="0"/>
              <w:marRight w:val="0"/>
              <w:marTop w:val="0"/>
              <w:marBottom w:val="0"/>
              <w:divBdr>
                <w:top w:val="none" w:sz="0" w:space="0" w:color="auto"/>
                <w:left w:val="none" w:sz="0" w:space="0" w:color="auto"/>
                <w:bottom w:val="none" w:sz="0" w:space="0" w:color="auto"/>
                <w:right w:val="none" w:sz="0" w:space="0" w:color="auto"/>
              </w:divBdr>
            </w:div>
          </w:divsChild>
        </w:div>
        <w:div w:id="858548601">
          <w:marLeft w:val="0"/>
          <w:marRight w:val="0"/>
          <w:marTop w:val="0"/>
          <w:marBottom w:val="0"/>
          <w:divBdr>
            <w:top w:val="none" w:sz="0" w:space="0" w:color="auto"/>
            <w:left w:val="none" w:sz="0" w:space="0" w:color="auto"/>
            <w:bottom w:val="none" w:sz="0" w:space="0" w:color="auto"/>
            <w:right w:val="none" w:sz="0" w:space="0" w:color="auto"/>
          </w:divBdr>
          <w:divsChild>
            <w:div w:id="1193498351">
              <w:marLeft w:val="0"/>
              <w:marRight w:val="0"/>
              <w:marTop w:val="0"/>
              <w:marBottom w:val="0"/>
              <w:divBdr>
                <w:top w:val="none" w:sz="0" w:space="0" w:color="auto"/>
                <w:left w:val="none" w:sz="0" w:space="0" w:color="auto"/>
                <w:bottom w:val="none" w:sz="0" w:space="0" w:color="auto"/>
                <w:right w:val="none" w:sz="0" w:space="0" w:color="auto"/>
              </w:divBdr>
            </w:div>
          </w:divsChild>
        </w:div>
        <w:div w:id="886259732">
          <w:marLeft w:val="0"/>
          <w:marRight w:val="0"/>
          <w:marTop w:val="0"/>
          <w:marBottom w:val="0"/>
          <w:divBdr>
            <w:top w:val="none" w:sz="0" w:space="0" w:color="auto"/>
            <w:left w:val="none" w:sz="0" w:space="0" w:color="auto"/>
            <w:bottom w:val="none" w:sz="0" w:space="0" w:color="auto"/>
            <w:right w:val="none" w:sz="0" w:space="0" w:color="auto"/>
          </w:divBdr>
          <w:divsChild>
            <w:div w:id="29304245">
              <w:marLeft w:val="0"/>
              <w:marRight w:val="0"/>
              <w:marTop w:val="0"/>
              <w:marBottom w:val="0"/>
              <w:divBdr>
                <w:top w:val="none" w:sz="0" w:space="0" w:color="auto"/>
                <w:left w:val="none" w:sz="0" w:space="0" w:color="auto"/>
                <w:bottom w:val="none" w:sz="0" w:space="0" w:color="auto"/>
                <w:right w:val="none" w:sz="0" w:space="0" w:color="auto"/>
              </w:divBdr>
            </w:div>
          </w:divsChild>
        </w:div>
        <w:div w:id="1436903456">
          <w:marLeft w:val="0"/>
          <w:marRight w:val="0"/>
          <w:marTop w:val="0"/>
          <w:marBottom w:val="0"/>
          <w:divBdr>
            <w:top w:val="none" w:sz="0" w:space="0" w:color="auto"/>
            <w:left w:val="none" w:sz="0" w:space="0" w:color="auto"/>
            <w:bottom w:val="none" w:sz="0" w:space="0" w:color="auto"/>
            <w:right w:val="none" w:sz="0" w:space="0" w:color="auto"/>
          </w:divBdr>
          <w:divsChild>
            <w:div w:id="232618407">
              <w:marLeft w:val="0"/>
              <w:marRight w:val="0"/>
              <w:marTop w:val="0"/>
              <w:marBottom w:val="0"/>
              <w:divBdr>
                <w:top w:val="none" w:sz="0" w:space="0" w:color="auto"/>
                <w:left w:val="none" w:sz="0" w:space="0" w:color="auto"/>
                <w:bottom w:val="none" w:sz="0" w:space="0" w:color="auto"/>
                <w:right w:val="none" w:sz="0" w:space="0" w:color="auto"/>
              </w:divBdr>
            </w:div>
            <w:div w:id="243220683">
              <w:marLeft w:val="0"/>
              <w:marRight w:val="0"/>
              <w:marTop w:val="0"/>
              <w:marBottom w:val="0"/>
              <w:divBdr>
                <w:top w:val="none" w:sz="0" w:space="0" w:color="auto"/>
                <w:left w:val="none" w:sz="0" w:space="0" w:color="auto"/>
                <w:bottom w:val="none" w:sz="0" w:space="0" w:color="auto"/>
                <w:right w:val="none" w:sz="0" w:space="0" w:color="auto"/>
              </w:divBdr>
            </w:div>
            <w:div w:id="355355793">
              <w:marLeft w:val="0"/>
              <w:marRight w:val="0"/>
              <w:marTop w:val="0"/>
              <w:marBottom w:val="0"/>
              <w:divBdr>
                <w:top w:val="none" w:sz="0" w:space="0" w:color="auto"/>
                <w:left w:val="none" w:sz="0" w:space="0" w:color="auto"/>
                <w:bottom w:val="none" w:sz="0" w:space="0" w:color="auto"/>
                <w:right w:val="none" w:sz="0" w:space="0" w:color="auto"/>
              </w:divBdr>
            </w:div>
            <w:div w:id="2069108557">
              <w:marLeft w:val="0"/>
              <w:marRight w:val="0"/>
              <w:marTop w:val="0"/>
              <w:marBottom w:val="0"/>
              <w:divBdr>
                <w:top w:val="none" w:sz="0" w:space="0" w:color="auto"/>
                <w:left w:val="none" w:sz="0" w:space="0" w:color="auto"/>
                <w:bottom w:val="none" w:sz="0" w:space="0" w:color="auto"/>
                <w:right w:val="none" w:sz="0" w:space="0" w:color="auto"/>
              </w:divBdr>
            </w:div>
          </w:divsChild>
        </w:div>
        <w:div w:id="1708606815">
          <w:marLeft w:val="0"/>
          <w:marRight w:val="0"/>
          <w:marTop w:val="0"/>
          <w:marBottom w:val="0"/>
          <w:divBdr>
            <w:top w:val="none" w:sz="0" w:space="0" w:color="auto"/>
            <w:left w:val="none" w:sz="0" w:space="0" w:color="auto"/>
            <w:bottom w:val="none" w:sz="0" w:space="0" w:color="auto"/>
            <w:right w:val="none" w:sz="0" w:space="0" w:color="auto"/>
          </w:divBdr>
          <w:divsChild>
            <w:div w:id="1064907739">
              <w:marLeft w:val="0"/>
              <w:marRight w:val="0"/>
              <w:marTop w:val="0"/>
              <w:marBottom w:val="0"/>
              <w:divBdr>
                <w:top w:val="none" w:sz="0" w:space="0" w:color="auto"/>
                <w:left w:val="none" w:sz="0" w:space="0" w:color="auto"/>
                <w:bottom w:val="none" w:sz="0" w:space="0" w:color="auto"/>
                <w:right w:val="none" w:sz="0" w:space="0" w:color="auto"/>
              </w:divBdr>
            </w:div>
          </w:divsChild>
        </w:div>
        <w:div w:id="1958289245">
          <w:marLeft w:val="0"/>
          <w:marRight w:val="0"/>
          <w:marTop w:val="0"/>
          <w:marBottom w:val="0"/>
          <w:divBdr>
            <w:top w:val="none" w:sz="0" w:space="0" w:color="auto"/>
            <w:left w:val="none" w:sz="0" w:space="0" w:color="auto"/>
            <w:bottom w:val="none" w:sz="0" w:space="0" w:color="auto"/>
            <w:right w:val="none" w:sz="0" w:space="0" w:color="auto"/>
          </w:divBdr>
          <w:divsChild>
            <w:div w:id="15529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5709">
      <w:bodyDiv w:val="1"/>
      <w:marLeft w:val="0"/>
      <w:marRight w:val="0"/>
      <w:marTop w:val="0"/>
      <w:marBottom w:val="0"/>
      <w:divBdr>
        <w:top w:val="none" w:sz="0" w:space="0" w:color="auto"/>
        <w:left w:val="none" w:sz="0" w:space="0" w:color="auto"/>
        <w:bottom w:val="none" w:sz="0" w:space="0" w:color="auto"/>
        <w:right w:val="none" w:sz="0" w:space="0" w:color="auto"/>
      </w:divBdr>
    </w:div>
    <w:div w:id="1357655648">
      <w:bodyDiv w:val="1"/>
      <w:marLeft w:val="0"/>
      <w:marRight w:val="0"/>
      <w:marTop w:val="0"/>
      <w:marBottom w:val="0"/>
      <w:divBdr>
        <w:top w:val="none" w:sz="0" w:space="0" w:color="auto"/>
        <w:left w:val="none" w:sz="0" w:space="0" w:color="auto"/>
        <w:bottom w:val="none" w:sz="0" w:space="0" w:color="auto"/>
        <w:right w:val="none" w:sz="0" w:space="0" w:color="auto"/>
      </w:divBdr>
    </w:div>
    <w:div w:id="1607275224">
      <w:bodyDiv w:val="1"/>
      <w:marLeft w:val="0"/>
      <w:marRight w:val="0"/>
      <w:marTop w:val="0"/>
      <w:marBottom w:val="0"/>
      <w:divBdr>
        <w:top w:val="none" w:sz="0" w:space="0" w:color="auto"/>
        <w:left w:val="none" w:sz="0" w:space="0" w:color="auto"/>
        <w:bottom w:val="none" w:sz="0" w:space="0" w:color="auto"/>
        <w:right w:val="none" w:sz="0" w:space="0" w:color="auto"/>
      </w:divBdr>
      <w:divsChild>
        <w:div w:id="1165783591">
          <w:marLeft w:val="562"/>
          <w:marRight w:val="0"/>
          <w:marTop w:val="0"/>
          <w:marBottom w:val="120"/>
          <w:divBdr>
            <w:top w:val="none" w:sz="0" w:space="0" w:color="auto"/>
            <w:left w:val="none" w:sz="0" w:space="0" w:color="auto"/>
            <w:bottom w:val="none" w:sz="0" w:space="0" w:color="auto"/>
            <w:right w:val="none" w:sz="0" w:space="0" w:color="auto"/>
          </w:divBdr>
        </w:div>
      </w:divsChild>
    </w:div>
    <w:div w:id="1704209164">
      <w:bodyDiv w:val="1"/>
      <w:marLeft w:val="0"/>
      <w:marRight w:val="0"/>
      <w:marTop w:val="0"/>
      <w:marBottom w:val="0"/>
      <w:divBdr>
        <w:top w:val="none" w:sz="0" w:space="0" w:color="auto"/>
        <w:left w:val="none" w:sz="0" w:space="0" w:color="auto"/>
        <w:bottom w:val="none" w:sz="0" w:space="0" w:color="auto"/>
        <w:right w:val="none" w:sz="0" w:space="0" w:color="auto"/>
      </w:divBdr>
    </w:div>
    <w:div w:id="1771390154">
      <w:bodyDiv w:val="1"/>
      <w:marLeft w:val="0"/>
      <w:marRight w:val="0"/>
      <w:marTop w:val="0"/>
      <w:marBottom w:val="0"/>
      <w:divBdr>
        <w:top w:val="none" w:sz="0" w:space="0" w:color="auto"/>
        <w:left w:val="none" w:sz="0" w:space="0" w:color="auto"/>
        <w:bottom w:val="none" w:sz="0" w:space="0" w:color="auto"/>
        <w:right w:val="none" w:sz="0" w:space="0" w:color="auto"/>
      </w:divBdr>
    </w:div>
    <w:div w:id="1810438499">
      <w:bodyDiv w:val="1"/>
      <w:marLeft w:val="0"/>
      <w:marRight w:val="0"/>
      <w:marTop w:val="0"/>
      <w:marBottom w:val="0"/>
      <w:divBdr>
        <w:top w:val="none" w:sz="0" w:space="0" w:color="auto"/>
        <w:left w:val="none" w:sz="0" w:space="0" w:color="auto"/>
        <w:bottom w:val="none" w:sz="0" w:space="0" w:color="auto"/>
        <w:right w:val="none" w:sz="0" w:space="0" w:color="auto"/>
      </w:divBdr>
    </w:div>
    <w:div w:id="2036806502">
      <w:bodyDiv w:val="1"/>
      <w:marLeft w:val="0"/>
      <w:marRight w:val="0"/>
      <w:marTop w:val="0"/>
      <w:marBottom w:val="0"/>
      <w:divBdr>
        <w:top w:val="none" w:sz="0" w:space="0" w:color="auto"/>
        <w:left w:val="none" w:sz="0" w:space="0" w:color="auto"/>
        <w:bottom w:val="none" w:sz="0" w:space="0" w:color="auto"/>
        <w:right w:val="none" w:sz="0" w:space="0" w:color="auto"/>
      </w:divBdr>
    </w:div>
    <w:div w:id="2061324907">
      <w:bodyDiv w:val="1"/>
      <w:marLeft w:val="0"/>
      <w:marRight w:val="0"/>
      <w:marTop w:val="0"/>
      <w:marBottom w:val="0"/>
      <w:divBdr>
        <w:top w:val="none" w:sz="0" w:space="0" w:color="auto"/>
        <w:left w:val="none" w:sz="0" w:space="0" w:color="auto"/>
        <w:bottom w:val="none" w:sz="0" w:space="0" w:color="auto"/>
        <w:right w:val="none" w:sz="0" w:space="0" w:color="auto"/>
      </w:divBdr>
    </w:div>
    <w:div w:id="21060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chart" Target="charts/chart2.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sitca.org.tw\New-Group\Bussiness\034%20%202%20&#35657;&#21048;&#26399;&#36008;&#26989;&#27704;&#32396;&#30332;&#23637;&#36681;&#22411;&#22519;&#34892;&#31574;&#30053;\(&#23433;&#27704;)%20%20&#19977;&#20844;&#26371;%20&#20849;&#21516;&#30740;&#31350;&#27683;&#20505;&#35722;&#36983;&#24773;&#22659;&#20998;&#26512;21&#33287;&#25581;&#38706;22__&#25581;&#38706;&#30899;&#30436;&#26597;&#36039;&#35338;26\&#20808;&#34892;&#35430;&#20316;&#23567;&#32068;\&#31532;4&#27425;&#26371;&#35696;-&#25351;&#27161;&#30446;&#27161;(&#30899;&#25490;&#25918;)\&#31684;&#30087;&#19977;&#22294;&#349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file:///\\sitca.org.tw\New-Group\Bussiness\034%20%202%20&#35657;&#21048;&#26399;&#36008;&#26989;&#27704;&#32396;&#30332;&#23637;&#36681;&#22411;&#22519;&#34892;&#31574;&#30053;\(&#23433;&#27704;)%20%20&#19977;&#20844;&#26371;%20&#20849;&#21516;&#30740;&#31350;&#27683;&#20505;&#35722;&#36983;&#24773;&#22659;&#20998;&#26512;21&#33287;&#25581;&#38706;22__&#25581;&#38706;&#30899;&#30436;&#26597;&#36039;&#35338;26\&#20808;&#34892;&#35430;&#20316;&#23567;&#32068;\&#31532;4&#27425;&#26371;&#35696;-&#25351;&#27161;&#30446;&#27161;(&#30899;&#25490;&#25918;)\&#31684;&#30087;&#19977;&#22294;&#349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r>
              <a:rPr lang="zh-TW" altLang="en-US" sz="1050" b="1"/>
              <a:t>溫室氣體排放</a:t>
            </a:r>
            <a:r>
              <a:rPr lang="en-US" altLang="zh-TW" sz="1050" b="1"/>
              <a:t>--</a:t>
            </a:r>
            <a:r>
              <a:rPr lang="zh-TW" altLang="en-US" sz="1050" b="1"/>
              <a:t>範疇一二</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manualLayout>
          <c:layoutTarget val="inner"/>
          <c:xMode val="edge"/>
          <c:yMode val="edge"/>
          <c:x val="7.9247594050743664E-2"/>
          <c:y val="0.15585666375036453"/>
          <c:w val="0.81551202974628167"/>
          <c:h val="0.73674394867308257"/>
        </c:manualLayout>
      </c:layout>
      <c:barChart>
        <c:barDir val="col"/>
        <c:grouping val="stacked"/>
        <c:varyColors val="0"/>
        <c:ser>
          <c:idx val="0"/>
          <c:order val="0"/>
          <c:tx>
            <c:v>範疇一</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'範疇1 2'!$B$1:$D$1</c:f>
              <c:numCache>
                <c:formatCode>General</c:formatCode>
                <c:ptCount val="3"/>
                <c:pt idx="0">
                  <c:v>2020</c:v>
                </c:pt>
                <c:pt idx="1">
                  <c:v>2021</c:v>
                </c:pt>
                <c:pt idx="2">
                  <c:v>2022</c:v>
                </c:pt>
              </c:numCache>
            </c:numRef>
          </c:cat>
          <c:val>
            <c:numRef>
              <c:f>'範疇1 2'!$B$2:$D$2</c:f>
              <c:numCache>
                <c:formatCode>General</c:formatCode>
                <c:ptCount val="3"/>
                <c:pt idx="0">
                  <c:v>10.5</c:v>
                </c:pt>
                <c:pt idx="1">
                  <c:v>9.1</c:v>
                </c:pt>
                <c:pt idx="2">
                  <c:v>10.199999999999999</c:v>
                </c:pt>
              </c:numCache>
            </c:numRef>
          </c:val>
          <c:extLst>
            <c:ext xmlns:c16="http://schemas.microsoft.com/office/drawing/2014/chart" uri="{C3380CC4-5D6E-409C-BE32-E72D297353CC}">
              <c16:uniqueId val="{00000000-6F7A-4975-AE7B-19607605CAA0}"/>
            </c:ext>
          </c:extLst>
        </c:ser>
        <c:ser>
          <c:idx val="1"/>
          <c:order val="1"/>
          <c:tx>
            <c:v>範疇二</c:v>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'範疇1 2'!$B$1:$D$1</c:f>
              <c:numCache>
                <c:formatCode>General</c:formatCode>
                <c:ptCount val="3"/>
                <c:pt idx="0">
                  <c:v>2020</c:v>
                </c:pt>
                <c:pt idx="1">
                  <c:v>2021</c:v>
                </c:pt>
                <c:pt idx="2">
                  <c:v>2022</c:v>
                </c:pt>
              </c:numCache>
            </c:numRef>
          </c:cat>
          <c:val>
            <c:numRef>
              <c:f>'範疇1 2'!$B$3:$D$3</c:f>
              <c:numCache>
                <c:formatCode>General</c:formatCode>
                <c:ptCount val="3"/>
                <c:pt idx="0">
                  <c:v>455.8</c:v>
                </c:pt>
                <c:pt idx="1">
                  <c:v>423.3</c:v>
                </c:pt>
                <c:pt idx="2">
                  <c:v>403.8</c:v>
                </c:pt>
              </c:numCache>
            </c:numRef>
          </c:val>
          <c:extLst>
            <c:ext xmlns:c16="http://schemas.microsoft.com/office/drawing/2014/chart" uri="{C3380CC4-5D6E-409C-BE32-E72D297353CC}">
              <c16:uniqueId val="{00000001-6F7A-4975-AE7B-19607605CAA0}"/>
            </c:ext>
          </c:extLst>
        </c:ser>
        <c:dLbls>
          <c:dLblPos val="ctr"/>
          <c:showLegendKey val="0"/>
          <c:showVal val="1"/>
          <c:showCatName val="0"/>
          <c:showSerName val="0"/>
          <c:showPercent val="0"/>
          <c:showBubbleSize val="0"/>
        </c:dLbls>
        <c:gapWidth val="150"/>
        <c:overlap val="100"/>
        <c:axId val="1645075280"/>
        <c:axId val="1645088240"/>
      </c:barChart>
      <c:catAx>
        <c:axId val="1645075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TW"/>
          </a:p>
        </c:txPr>
        <c:crossAx val="1645088240"/>
        <c:crosses val="autoZero"/>
        <c:auto val="1"/>
        <c:lblAlgn val="ctr"/>
        <c:lblOffset val="100"/>
        <c:noMultiLvlLbl val="0"/>
      </c:catAx>
      <c:valAx>
        <c:axId val="1645088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zh-TW"/>
          </a:p>
        </c:txPr>
        <c:crossAx val="1645075280"/>
        <c:crosses val="autoZero"/>
        <c:crossBetween val="between"/>
      </c:valAx>
      <c:spPr>
        <a:noFill/>
        <a:ln>
          <a:noFill/>
        </a:ln>
        <a:effectLst/>
      </c:spPr>
    </c:plotArea>
    <c:legend>
      <c:legendPos val="r"/>
      <c:layout>
        <c:manualLayout>
          <c:xMode val="edge"/>
          <c:yMode val="edge"/>
          <c:x val="0.89475962379702523"/>
          <c:y val="0.211735564304462"/>
          <c:w val="8.8573709536307957E-2"/>
          <c:h val="0.429399241761446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zh-TW" altLang="en-US" sz="1000" b="1"/>
              <a:t>溫室氣體排放</a:t>
            </a:r>
            <a:r>
              <a:rPr lang="en-US" altLang="zh-TW" sz="1000" b="1"/>
              <a:t>--</a:t>
            </a:r>
            <a:r>
              <a:rPr lang="zh-TW" altLang="en-US" sz="1000" b="1"/>
              <a:t>範疇三</a:t>
            </a:r>
            <a:r>
              <a:rPr lang="en-US" altLang="zh-TW" sz="1000" b="1"/>
              <a:t>(</a:t>
            </a:r>
            <a:r>
              <a:rPr lang="zh-TW" altLang="en-US" sz="1000" b="1"/>
              <a:t>碳足跡</a:t>
            </a:r>
            <a:r>
              <a:rPr lang="en-US" altLang="zh-TW" sz="1000" b="1"/>
              <a:t>)</a:t>
            </a:r>
            <a:endParaRPr lang="zh-TW" altLang="en-US"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manualLayout>
          <c:layoutTarget val="inner"/>
          <c:xMode val="edge"/>
          <c:yMode val="edge"/>
          <c:x val="7.9147223184596618E-2"/>
          <c:y val="0.16149905465088787"/>
          <c:w val="0.8145509347307035"/>
          <c:h val="0.69287790062086929"/>
        </c:manualLayout>
      </c:layout>
      <c:barChart>
        <c:barDir val="col"/>
        <c:grouping val="stacked"/>
        <c:varyColors val="0"/>
        <c:ser>
          <c:idx val="1"/>
          <c:order val="0"/>
          <c:tx>
            <c:strRef>
              <c:f>範疇3!$A$7</c:f>
              <c:strCache>
                <c:ptCount val="1"/>
                <c:pt idx="0">
                  <c:v>固定收益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範疇3!$D$1:$F$1</c:f>
              <c:numCache>
                <c:formatCode>General</c:formatCode>
                <c:ptCount val="3"/>
                <c:pt idx="0">
                  <c:v>2020</c:v>
                </c:pt>
                <c:pt idx="1">
                  <c:v>2021</c:v>
                </c:pt>
                <c:pt idx="2">
                  <c:v>2022</c:v>
                </c:pt>
              </c:numCache>
            </c:numRef>
          </c:cat>
          <c:val>
            <c:numRef>
              <c:f>範疇3!$D$9:$F$9</c:f>
              <c:numCache>
                <c:formatCode>General</c:formatCode>
                <c:ptCount val="3"/>
                <c:pt idx="0">
                  <c:v>181</c:v>
                </c:pt>
                <c:pt idx="1">
                  <c:v>163</c:v>
                </c:pt>
                <c:pt idx="2">
                  <c:v>132</c:v>
                </c:pt>
              </c:numCache>
            </c:numRef>
          </c:val>
          <c:extLst>
            <c:ext xmlns:c16="http://schemas.microsoft.com/office/drawing/2014/chart" uri="{C3380CC4-5D6E-409C-BE32-E72D297353CC}">
              <c16:uniqueId val="{00000000-6D40-4AE5-B543-96919EE0FAF0}"/>
            </c:ext>
          </c:extLst>
        </c:ser>
        <c:ser>
          <c:idx val="0"/>
          <c:order val="1"/>
          <c:tx>
            <c:strRef>
              <c:f>範疇3!$A$2</c:f>
              <c:strCache>
                <c:ptCount val="1"/>
                <c:pt idx="0">
                  <c:v>股票</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範疇3!$D$1:$F$1</c:f>
              <c:numCache>
                <c:formatCode>General</c:formatCode>
                <c:ptCount val="3"/>
                <c:pt idx="0">
                  <c:v>2020</c:v>
                </c:pt>
                <c:pt idx="1">
                  <c:v>2021</c:v>
                </c:pt>
                <c:pt idx="2">
                  <c:v>2022</c:v>
                </c:pt>
              </c:numCache>
            </c:numRef>
          </c:cat>
          <c:val>
            <c:numRef>
              <c:f>範疇3!$D$4:$F$4</c:f>
              <c:numCache>
                <c:formatCode>General</c:formatCode>
                <c:ptCount val="3"/>
                <c:pt idx="0">
                  <c:v>85</c:v>
                </c:pt>
                <c:pt idx="1">
                  <c:v>68</c:v>
                </c:pt>
                <c:pt idx="2">
                  <c:v>44</c:v>
                </c:pt>
              </c:numCache>
            </c:numRef>
          </c:val>
          <c:extLst>
            <c:ext xmlns:c16="http://schemas.microsoft.com/office/drawing/2014/chart" uri="{C3380CC4-5D6E-409C-BE32-E72D297353CC}">
              <c16:uniqueId val="{00000001-6D40-4AE5-B543-96919EE0FAF0}"/>
            </c:ext>
          </c:extLst>
        </c:ser>
        <c:dLbls>
          <c:dLblPos val="ctr"/>
          <c:showLegendKey val="0"/>
          <c:showVal val="1"/>
          <c:showCatName val="0"/>
          <c:showSerName val="0"/>
          <c:showPercent val="0"/>
          <c:showBubbleSize val="0"/>
        </c:dLbls>
        <c:gapWidth val="150"/>
        <c:overlap val="100"/>
        <c:axId val="1854980415"/>
        <c:axId val="1854970815"/>
      </c:barChart>
      <c:catAx>
        <c:axId val="1854980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masis MT Pro Black" panose="02040A04050005020304" pitchFamily="18" charset="0"/>
                <a:ea typeface="+mn-ea"/>
                <a:cs typeface="+mn-cs"/>
              </a:defRPr>
            </a:pPr>
            <a:endParaRPr lang="zh-TW"/>
          </a:p>
        </c:txPr>
        <c:crossAx val="1854970815"/>
        <c:crosses val="autoZero"/>
        <c:auto val="1"/>
        <c:lblAlgn val="ctr"/>
        <c:lblOffset val="100"/>
        <c:noMultiLvlLbl val="0"/>
      </c:catAx>
      <c:valAx>
        <c:axId val="18549708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54980415"/>
        <c:crosses val="autoZero"/>
        <c:crossBetween val="between"/>
      </c:valAx>
      <c:spPr>
        <a:noFill/>
        <a:ln>
          <a:noFill/>
        </a:ln>
        <a:effectLst/>
      </c:spPr>
    </c:plotArea>
    <c:legend>
      <c:legendPos val="r"/>
      <c:layout>
        <c:manualLayout>
          <c:xMode val="edge"/>
          <c:yMode val="edge"/>
          <c:x val="0.87547309863825362"/>
          <c:y val="0.3013084432164253"/>
          <c:w val="0.10510708423569587"/>
          <c:h val="0.464754524223690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zh-TW" altLang="en-US" sz="1000" b="1"/>
              <a:t>溫室氣體排放</a:t>
            </a:r>
            <a:r>
              <a:rPr lang="en-US" altLang="zh-TW" sz="1000" b="1"/>
              <a:t>--</a:t>
            </a:r>
            <a:r>
              <a:rPr lang="zh-TW" altLang="en-US" sz="1000" b="1"/>
              <a:t>範疇三</a:t>
            </a:r>
            <a:r>
              <a:rPr lang="zh-TW" altLang="en-US" sz="1000" b="0"/>
              <a:t> </a:t>
            </a:r>
            <a:r>
              <a:rPr lang="en-US" altLang="zh-TW" sz="900" b="1"/>
              <a:t>(</a:t>
            </a:r>
            <a:r>
              <a:rPr lang="zh-TW" altLang="en-US" sz="900" b="1"/>
              <a:t>承擔碳排</a:t>
            </a:r>
            <a:r>
              <a:rPr lang="en-US" altLang="zh-TW" sz="900" b="1"/>
              <a:t>&amp;</a:t>
            </a:r>
            <a:r>
              <a:rPr lang="zh-TW" altLang="en-US" sz="900" b="1"/>
              <a:t>加權平均碳密度</a:t>
            </a:r>
            <a:r>
              <a:rPr lang="en-US" altLang="zh-TW" sz="900" b="1"/>
              <a:t>)</a:t>
            </a:r>
            <a:endParaRPr lang="zh-TW" altLang="en-US" sz="1000" b="1"/>
          </a:p>
        </c:rich>
      </c:tx>
      <c:layout>
        <c:manualLayout>
          <c:xMode val="edge"/>
          <c:yMode val="edge"/>
          <c:x val="0.10225228516969023"/>
          <c:y val="2.1869874248223072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manualLayout>
          <c:layoutTarget val="inner"/>
          <c:xMode val="edge"/>
          <c:yMode val="edge"/>
          <c:x val="7.9247594050743664E-2"/>
          <c:y val="0.21909740449110529"/>
          <c:w val="0.84275914884481384"/>
          <c:h val="0.60706801929868059"/>
        </c:manualLayout>
      </c:layout>
      <c:barChart>
        <c:barDir val="col"/>
        <c:grouping val="clustered"/>
        <c:varyColors val="0"/>
        <c:ser>
          <c:idx val="0"/>
          <c:order val="0"/>
          <c:tx>
            <c:strRef>
              <c:f>範疇3!$B$13</c:f>
              <c:strCache>
                <c:ptCount val="1"/>
                <c:pt idx="0">
                  <c:v>承擔碳排</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zh-TW"/>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範疇3!$D$1:$F$1</c:f>
              <c:numCache>
                <c:formatCode>General</c:formatCode>
                <c:ptCount val="3"/>
                <c:pt idx="0">
                  <c:v>2020</c:v>
                </c:pt>
                <c:pt idx="1">
                  <c:v>2021</c:v>
                </c:pt>
                <c:pt idx="2">
                  <c:v>2022</c:v>
                </c:pt>
              </c:numCache>
            </c:numRef>
          </c:cat>
          <c:val>
            <c:numRef>
              <c:f>範疇3!$D$13:$F$13</c:f>
              <c:numCache>
                <c:formatCode>General</c:formatCode>
                <c:ptCount val="3"/>
                <c:pt idx="0">
                  <c:v>27</c:v>
                </c:pt>
                <c:pt idx="1">
                  <c:v>26</c:v>
                </c:pt>
                <c:pt idx="2">
                  <c:v>18</c:v>
                </c:pt>
              </c:numCache>
            </c:numRef>
          </c:val>
          <c:extLst>
            <c:ext xmlns:c16="http://schemas.microsoft.com/office/drawing/2014/chart" uri="{C3380CC4-5D6E-409C-BE32-E72D297353CC}">
              <c16:uniqueId val="{00000000-32AE-44DC-81B7-897226AC60C2}"/>
            </c:ext>
          </c:extLst>
        </c:ser>
        <c:dLbls>
          <c:showLegendKey val="0"/>
          <c:showVal val="1"/>
          <c:showCatName val="0"/>
          <c:showSerName val="0"/>
          <c:showPercent val="0"/>
          <c:showBubbleSize val="0"/>
        </c:dLbls>
        <c:gapWidth val="150"/>
        <c:axId val="1854980415"/>
        <c:axId val="1854970815"/>
      </c:barChart>
      <c:lineChart>
        <c:grouping val="standard"/>
        <c:varyColors val="0"/>
        <c:ser>
          <c:idx val="1"/>
          <c:order val="1"/>
          <c:tx>
            <c:strRef>
              <c:f>範疇3!$B$15</c:f>
              <c:strCache>
                <c:ptCount val="1"/>
                <c:pt idx="0">
                  <c:v>加權平均碳密度</c:v>
                </c:pt>
              </c:strCache>
            </c:strRef>
          </c:tx>
          <c:spPr>
            <a:ln w="28575" cap="rnd">
              <a:solidFill>
                <a:schemeClr val="accent2"/>
              </a:solidFill>
              <a:round/>
            </a:ln>
            <a:effectLst/>
          </c:spPr>
          <c:marker>
            <c:symbol val="none"/>
          </c:marker>
          <c:dPt>
            <c:idx val="2"/>
            <c:marker>
              <c:symbol val="none"/>
            </c:marker>
            <c:bubble3D val="0"/>
            <c:extLst>
              <c:ext xmlns:c16="http://schemas.microsoft.com/office/drawing/2014/chart" uri="{C3380CC4-5D6E-409C-BE32-E72D297353CC}">
                <c16:uniqueId val="{00000001-32AE-44DC-81B7-897226AC60C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6600"/>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範疇3!$D$15:$F$15</c:f>
              <c:numCache>
                <c:formatCode>General</c:formatCode>
                <c:ptCount val="3"/>
                <c:pt idx="0">
                  <c:v>198</c:v>
                </c:pt>
                <c:pt idx="1">
                  <c:v>192</c:v>
                </c:pt>
                <c:pt idx="2">
                  <c:v>161</c:v>
                </c:pt>
              </c:numCache>
            </c:numRef>
          </c:val>
          <c:smooth val="0"/>
          <c:extLst>
            <c:ext xmlns:c16="http://schemas.microsoft.com/office/drawing/2014/chart" uri="{C3380CC4-5D6E-409C-BE32-E72D297353CC}">
              <c16:uniqueId val="{00000002-32AE-44DC-81B7-897226AC60C2}"/>
            </c:ext>
          </c:extLst>
        </c:ser>
        <c:dLbls>
          <c:showLegendKey val="0"/>
          <c:showVal val="1"/>
          <c:showCatName val="0"/>
          <c:showSerName val="0"/>
          <c:showPercent val="0"/>
          <c:showBubbleSize val="0"/>
        </c:dLbls>
        <c:marker val="1"/>
        <c:smooth val="0"/>
        <c:axId val="670216304"/>
        <c:axId val="670219664"/>
      </c:lineChart>
      <c:catAx>
        <c:axId val="1854980415"/>
        <c:scaling>
          <c:orientation val="minMax"/>
        </c:scaling>
        <c:delete val="0"/>
        <c:axPos val="b"/>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w="0">
                  <a:solidFill>
                    <a:schemeClr val="tx1"/>
                  </a:solidFill>
                </a:ln>
                <a:noFill/>
                <a:latin typeface="Times New Roman" panose="02020603050405020304" pitchFamily="18" charset="0"/>
                <a:ea typeface="+mn-ea"/>
                <a:cs typeface="Times New Roman" panose="02020603050405020304" pitchFamily="18" charset="0"/>
              </a:defRPr>
            </a:pPr>
            <a:endParaRPr lang="zh-TW"/>
          </a:p>
        </c:txPr>
        <c:crossAx val="1854970815"/>
        <c:crosses val="autoZero"/>
        <c:auto val="1"/>
        <c:lblAlgn val="ctr"/>
        <c:lblOffset val="100"/>
        <c:noMultiLvlLbl val="0"/>
      </c:catAx>
      <c:valAx>
        <c:axId val="18549708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54980415"/>
        <c:crosses val="autoZero"/>
        <c:crossBetween val="between"/>
      </c:valAx>
      <c:valAx>
        <c:axId val="670219664"/>
        <c:scaling>
          <c:orientation val="minMax"/>
          <c:max val="2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FF6600"/>
                </a:solidFill>
                <a:latin typeface="+mn-lt"/>
                <a:ea typeface="+mn-ea"/>
                <a:cs typeface="+mn-cs"/>
              </a:defRPr>
            </a:pPr>
            <a:endParaRPr lang="zh-TW"/>
          </a:p>
        </c:txPr>
        <c:crossAx val="670216304"/>
        <c:crosses val="max"/>
        <c:crossBetween val="between"/>
      </c:valAx>
      <c:catAx>
        <c:axId val="670216304"/>
        <c:scaling>
          <c:orientation val="minMax"/>
        </c:scaling>
        <c:delete val="1"/>
        <c:axPos val="b"/>
        <c:majorTickMark val="out"/>
        <c:minorTickMark val="none"/>
        <c:tickLblPos val="nextTo"/>
        <c:crossAx val="670219664"/>
        <c:crosses val="autoZero"/>
        <c:auto val="1"/>
        <c:lblAlgn val="ctr"/>
        <c:lblOffset val="100"/>
        <c:noMultiLvlLbl val="0"/>
      </c:catAx>
      <c:spPr>
        <a:noFill/>
        <a:ln>
          <a:noFill/>
        </a:ln>
        <a:effectLst/>
      </c:spPr>
    </c:plotArea>
    <c:legend>
      <c:legendPos val="b"/>
      <c:layout>
        <c:manualLayout>
          <c:xMode val="edge"/>
          <c:yMode val="edge"/>
          <c:x val="5.8221924223380558E-2"/>
          <c:y val="0.93469864819894499"/>
          <c:w val="0.87553448201739881"/>
          <c:h val="6.530135180105495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4" ma:contentTypeDescription="Create a new document." ma:contentTypeScope="" ma:versionID="804d2a9363aa04790d0bd947aaac5d75">
  <xsd:schema xmlns:xsd="http://www.w3.org/2001/XMLSchema" xmlns:xs="http://www.w3.org/2001/XMLSchema" xmlns:p="http://schemas.microsoft.com/office/2006/metadata/properties" xmlns:ns3="1ee2afc6-efc0-4dcc-be09-aabefb754106" xmlns:ns4="6dff4707-7bf8-4102-b125-42e04ae9fdfc" targetNamespace="http://schemas.microsoft.com/office/2006/metadata/properties" ma:root="true" ma:fieldsID="44ce052ca83c0897327b4cf63edfda62" ns3:_="" ns4:_="">
    <xsd:import namespace="1ee2afc6-efc0-4dcc-be09-aabefb754106"/>
    <xsd:import namespace="6dff4707-7bf8-4102-b125-42e04ae9f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BA965-E594-4B87-BCD2-848FE8B65F14}">
  <ds:schemaRefs>
    <ds:schemaRef ds:uri="http://schemas.openxmlformats.org/officeDocument/2006/bibliography"/>
  </ds:schemaRefs>
</ds:datastoreItem>
</file>

<file path=customXml/itemProps2.xml><?xml version="1.0" encoding="utf-8"?>
<ds:datastoreItem xmlns:ds="http://schemas.openxmlformats.org/officeDocument/2006/customXml" ds:itemID="{FC9598D4-693D-45F1-ACD1-C4EE6A319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afc6-efc0-4dcc-be09-aabefb754106"/>
    <ds:schemaRef ds:uri="6dff4707-7bf8-4102-b125-42e04ae9f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1D807-E0A3-4200-9056-521F7607A151}">
  <ds:schemaRefs>
    <ds:schemaRef ds:uri="http://schemas.microsoft.com/sharepoint/v3/contenttype/forms"/>
  </ds:schemaRefs>
</ds:datastoreItem>
</file>

<file path=customXml/itemProps4.xml><?xml version="1.0" encoding="utf-8"?>
<ds:datastoreItem xmlns:ds="http://schemas.openxmlformats.org/officeDocument/2006/customXml" ds:itemID="{EDB8C65C-FA87-4071-819A-C39821DCB8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2405</Words>
  <Characters>13712</Characters>
  <Application>Microsoft Office Word</Application>
  <DocSecurity>0</DocSecurity>
  <Lines>114</Lines>
  <Paragraphs>32</Paragraphs>
  <ScaleCrop>false</ScaleCrop>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530075王雅昭</dc:creator>
  <cp:keywords/>
  <dc:description/>
  <cp:lastModifiedBy>投信投顧公會 吳梓賢</cp:lastModifiedBy>
  <cp:revision>10</cp:revision>
  <cp:lastPrinted>2024-04-01T06:36:00Z</cp:lastPrinted>
  <dcterms:created xsi:type="dcterms:W3CDTF">2024-03-26T01:52:00Z</dcterms:created>
  <dcterms:modified xsi:type="dcterms:W3CDTF">2024-04-01T06:54:00Z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0x010100A2CE81D0E9067B4C9491F29EF2260D9A</vt:lpwstr>
  </property>
</Properties>
</file>