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2AF" w:rsidRDefault="003E2930" w:rsidP="006C02AF">
      <w:pPr>
        <w:jc w:val="center"/>
        <w:rPr>
          <w:rFonts w:ascii="標楷體" w:eastAsia="標楷體" w:hAnsi="標楷體" w:hint="eastAsia"/>
          <w:sz w:val="26"/>
        </w:rPr>
      </w:pPr>
      <w:r w:rsidRPr="009122EF">
        <w:rPr>
          <w:rFonts w:ascii="標楷體" w:eastAsia="標楷體" w:hAnsi="標楷體"/>
          <w:sz w:val="26"/>
        </w:rPr>
        <w:t>中華民國證券投資信託暨顧問商業同業公會</w:t>
      </w:r>
    </w:p>
    <w:p w:rsidR="003E2930" w:rsidRDefault="003E2930" w:rsidP="006C02AF">
      <w:pPr>
        <w:jc w:val="center"/>
        <w:rPr>
          <w:rFonts w:ascii="標楷體" w:eastAsia="標楷體" w:hAnsi="標楷體" w:hint="eastAsia"/>
          <w:sz w:val="26"/>
        </w:rPr>
      </w:pPr>
      <w:r w:rsidRPr="009122EF">
        <w:rPr>
          <w:rFonts w:ascii="標楷體" w:eastAsia="標楷體" w:hAnsi="標楷體"/>
          <w:sz w:val="26"/>
        </w:rPr>
        <w:t>會員及其銷售機構基金通路報酬揭露施行要點問答集</w:t>
      </w:r>
    </w:p>
    <w:p w:rsidR="006C02AF" w:rsidRPr="009122EF" w:rsidRDefault="006C02AF" w:rsidP="006C02AF">
      <w:pPr>
        <w:jc w:val="center"/>
        <w:rPr>
          <w:rFonts w:ascii="標楷體" w:eastAsia="標楷體" w:hAnsi="標楷體"/>
        </w:rPr>
      </w:pPr>
    </w:p>
    <w:p w:rsidR="00DD5F79" w:rsidRPr="00703053" w:rsidRDefault="006C02AF" w:rsidP="00703053">
      <w:pPr>
        <w:ind w:right="920"/>
        <w:rPr>
          <w:rFonts w:ascii="標楷體" w:eastAsia="標楷體" w:hAnsi="標楷體" w:hint="eastAsia"/>
          <w:sz w:val="16"/>
          <w:szCs w:val="16"/>
        </w:rPr>
      </w:pPr>
      <w:r w:rsidRPr="00703053">
        <w:rPr>
          <w:rFonts w:ascii="標楷體" w:eastAsia="標楷體" w:hAnsi="標楷體" w:hint="eastAsia"/>
          <w:sz w:val="16"/>
          <w:szCs w:val="16"/>
        </w:rPr>
        <w:t>行政院金融監督管理委員會100年5月2日金</w:t>
      </w:r>
      <w:proofErr w:type="gramStart"/>
      <w:r w:rsidRPr="00703053">
        <w:rPr>
          <w:rFonts w:ascii="標楷體" w:eastAsia="標楷體" w:hAnsi="標楷體" w:hint="eastAsia"/>
          <w:sz w:val="16"/>
          <w:szCs w:val="16"/>
        </w:rPr>
        <w:t>管證投字</w:t>
      </w:r>
      <w:proofErr w:type="gramEnd"/>
      <w:r w:rsidRPr="00703053">
        <w:rPr>
          <w:rFonts w:ascii="標楷體" w:eastAsia="標楷體" w:hAnsi="標楷體" w:hint="eastAsia"/>
          <w:sz w:val="16"/>
          <w:szCs w:val="16"/>
        </w:rPr>
        <w:t>第1000015790號函准予核定</w:t>
      </w:r>
    </w:p>
    <w:p w:rsidR="006C02AF" w:rsidRPr="00703053" w:rsidRDefault="006C02AF" w:rsidP="00703053">
      <w:pPr>
        <w:ind w:right="380"/>
        <w:rPr>
          <w:rFonts w:ascii="標楷體" w:eastAsia="標楷體" w:hAnsi="標楷體" w:hint="eastAsia"/>
          <w:sz w:val="16"/>
          <w:szCs w:val="16"/>
        </w:rPr>
      </w:pPr>
      <w:r w:rsidRPr="00703053">
        <w:rPr>
          <w:rFonts w:ascii="標楷體" w:eastAsia="標楷體" w:hAnsi="標楷體" w:hint="eastAsia"/>
          <w:sz w:val="16"/>
          <w:szCs w:val="16"/>
        </w:rPr>
        <w:t>行政院金融監督管理委員會100年7月27日金</w:t>
      </w:r>
      <w:proofErr w:type="gramStart"/>
      <w:r w:rsidRPr="00703053">
        <w:rPr>
          <w:rFonts w:ascii="標楷體" w:eastAsia="標楷體" w:hAnsi="標楷體" w:hint="eastAsia"/>
          <w:sz w:val="16"/>
          <w:szCs w:val="16"/>
        </w:rPr>
        <w:t>管證投字</w:t>
      </w:r>
      <w:proofErr w:type="gramEnd"/>
      <w:r w:rsidRPr="00703053">
        <w:rPr>
          <w:rFonts w:ascii="標楷體" w:eastAsia="標楷體" w:hAnsi="標楷體" w:hint="eastAsia"/>
          <w:sz w:val="16"/>
          <w:szCs w:val="16"/>
        </w:rPr>
        <w:t>第1000032229號函准予核定</w:t>
      </w:r>
    </w:p>
    <w:p w:rsidR="006C02AF" w:rsidRPr="00703053" w:rsidRDefault="006C02AF" w:rsidP="00703053">
      <w:pPr>
        <w:ind w:right="920"/>
        <w:rPr>
          <w:rFonts w:ascii="標楷體" w:eastAsia="標楷體" w:hAnsi="標楷體" w:hint="eastAsia"/>
          <w:sz w:val="16"/>
          <w:szCs w:val="16"/>
        </w:rPr>
      </w:pPr>
      <w:r w:rsidRPr="00703053">
        <w:rPr>
          <w:rFonts w:ascii="標楷體" w:eastAsia="標楷體" w:hAnsi="標楷體" w:hint="eastAsia"/>
          <w:sz w:val="16"/>
          <w:szCs w:val="16"/>
        </w:rPr>
        <w:t>金融監督管理委員會101年10月18日金</w:t>
      </w:r>
      <w:proofErr w:type="gramStart"/>
      <w:r w:rsidRPr="00703053">
        <w:rPr>
          <w:rFonts w:ascii="標楷體" w:eastAsia="標楷體" w:hAnsi="標楷體" w:hint="eastAsia"/>
          <w:sz w:val="16"/>
          <w:szCs w:val="16"/>
        </w:rPr>
        <w:t>管證投字</w:t>
      </w:r>
      <w:proofErr w:type="gramEnd"/>
      <w:r w:rsidRPr="00703053">
        <w:rPr>
          <w:rFonts w:ascii="標楷體" w:eastAsia="標楷體" w:hAnsi="標楷體" w:hint="eastAsia"/>
          <w:sz w:val="16"/>
          <w:szCs w:val="16"/>
        </w:rPr>
        <w:t>第1010043955號函准予核定</w:t>
      </w:r>
    </w:p>
    <w:p w:rsidR="00DD5F79" w:rsidRPr="00703053" w:rsidRDefault="006C02AF" w:rsidP="00703053">
      <w:pPr>
        <w:ind w:right="1460"/>
        <w:rPr>
          <w:rFonts w:ascii="標楷體" w:eastAsia="標楷體" w:hAnsi="標楷體" w:hint="eastAsia"/>
          <w:sz w:val="16"/>
          <w:szCs w:val="16"/>
        </w:rPr>
      </w:pPr>
      <w:r w:rsidRPr="00703053">
        <w:rPr>
          <w:rFonts w:ascii="標楷體" w:eastAsia="標楷體" w:hAnsi="標楷體" w:hint="eastAsia"/>
          <w:sz w:val="16"/>
          <w:szCs w:val="16"/>
        </w:rPr>
        <w:t>金融監督管理委員會105年4月15日金</w:t>
      </w:r>
      <w:proofErr w:type="gramStart"/>
      <w:r w:rsidRPr="00703053">
        <w:rPr>
          <w:rFonts w:ascii="標楷體" w:eastAsia="標楷體" w:hAnsi="標楷體" w:hint="eastAsia"/>
          <w:sz w:val="16"/>
          <w:szCs w:val="16"/>
        </w:rPr>
        <w:t>管證投字</w:t>
      </w:r>
      <w:proofErr w:type="gramEnd"/>
      <w:r w:rsidRPr="00703053">
        <w:rPr>
          <w:rFonts w:ascii="標楷體" w:eastAsia="標楷體" w:hAnsi="標楷體" w:hint="eastAsia"/>
          <w:sz w:val="16"/>
          <w:szCs w:val="16"/>
        </w:rPr>
        <w:t>第1050005472號函准予核定</w:t>
      </w:r>
    </w:p>
    <w:p w:rsidR="003E2930" w:rsidRPr="00703053" w:rsidRDefault="006C02AF" w:rsidP="00703053">
      <w:pPr>
        <w:ind w:right="1460"/>
        <w:rPr>
          <w:rFonts w:ascii="標楷體" w:eastAsia="標楷體" w:hAnsi="標楷體"/>
          <w:sz w:val="16"/>
          <w:szCs w:val="16"/>
        </w:rPr>
      </w:pPr>
      <w:r w:rsidRPr="00703053">
        <w:rPr>
          <w:rFonts w:ascii="標楷體" w:eastAsia="標楷體" w:hAnsi="標楷體" w:hint="eastAsia"/>
          <w:sz w:val="16"/>
          <w:szCs w:val="16"/>
        </w:rPr>
        <w:t>金融監督管理委員會108年9月2日金</w:t>
      </w:r>
      <w:proofErr w:type="gramStart"/>
      <w:r w:rsidRPr="00703053">
        <w:rPr>
          <w:rFonts w:ascii="標楷體" w:eastAsia="標楷體" w:hAnsi="標楷體" w:hint="eastAsia"/>
          <w:sz w:val="16"/>
          <w:szCs w:val="16"/>
        </w:rPr>
        <w:t>管證投字</w:t>
      </w:r>
      <w:proofErr w:type="gramEnd"/>
      <w:r w:rsidRPr="00703053">
        <w:rPr>
          <w:rFonts w:ascii="標楷體" w:eastAsia="標楷體" w:hAnsi="標楷體" w:hint="eastAsia"/>
          <w:sz w:val="16"/>
          <w:szCs w:val="16"/>
        </w:rPr>
        <w:t>第1080321686號函同意備查</w:t>
      </w:r>
    </w:p>
    <w:p w:rsidR="003E2930" w:rsidRPr="009122EF" w:rsidRDefault="003E2930" w:rsidP="00DD5F79">
      <w:pPr>
        <w:jc w:val="right"/>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一、中華民國證券投資信託暨顧問商業同業公會（以下稱公會）依主管機關授權訂定「中華民國證券投資信託暨顧問商業同業公會會員及其銷售機構基金通路報酬揭露施行要點」（以下簡稱本施行要點），就投資型保險專設帳簿應如何適用？</w:t>
      </w:r>
    </w:p>
    <w:p w:rsidR="003E2930" w:rsidRPr="00170C7F"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說明：</w:t>
      </w:r>
    </w:p>
    <w:p w:rsidR="003E2930" w:rsidRPr="009122EF" w:rsidRDefault="003E2930">
      <w:pPr>
        <w:rPr>
          <w:rFonts w:ascii="標楷體" w:eastAsia="標楷體" w:hAnsi="標楷體"/>
          <w:sz w:val="26"/>
        </w:rPr>
      </w:pPr>
      <w:r w:rsidRPr="009122EF">
        <w:rPr>
          <w:rFonts w:ascii="標楷體" w:eastAsia="標楷體" w:hAnsi="標楷體"/>
          <w:sz w:val="26"/>
        </w:rPr>
        <w:t>保險公司辦理投資型保險專設帳簿申購基金業務時，其性質類似銷售機構，每日因應保戶需求</w:t>
      </w:r>
      <w:proofErr w:type="gramStart"/>
      <w:r w:rsidRPr="009122EF">
        <w:rPr>
          <w:rFonts w:ascii="標楷體" w:eastAsia="標楷體" w:hAnsi="標楷體"/>
          <w:sz w:val="26"/>
        </w:rPr>
        <w:t>之申贖</w:t>
      </w:r>
      <w:proofErr w:type="gramEnd"/>
      <w:r w:rsidRPr="009122EF">
        <w:rPr>
          <w:rFonts w:ascii="標楷體" w:eastAsia="標楷體" w:hAnsi="標楷體"/>
          <w:sz w:val="26"/>
        </w:rPr>
        <w:t>次數高，如每次</w:t>
      </w:r>
      <w:proofErr w:type="gramStart"/>
      <w:r w:rsidRPr="009122EF">
        <w:rPr>
          <w:rFonts w:ascii="標楷體" w:eastAsia="標楷體" w:hAnsi="標楷體"/>
          <w:sz w:val="26"/>
        </w:rPr>
        <w:t>申購均需對其</w:t>
      </w:r>
      <w:proofErr w:type="gramEnd"/>
      <w:r w:rsidRPr="009122EF">
        <w:rPr>
          <w:rFonts w:ascii="標楷體" w:eastAsia="標楷體" w:hAnsi="標楷體"/>
          <w:sz w:val="26"/>
        </w:rPr>
        <w:t>揭露通路報酬，並無</w:t>
      </w:r>
      <w:proofErr w:type="gramStart"/>
      <w:r w:rsidRPr="009122EF">
        <w:rPr>
          <w:rFonts w:ascii="標楷體" w:eastAsia="標楷體" w:hAnsi="標楷體"/>
          <w:sz w:val="26"/>
        </w:rPr>
        <w:t>實益且對</w:t>
      </w:r>
      <w:proofErr w:type="gramEnd"/>
      <w:r w:rsidRPr="009122EF">
        <w:rPr>
          <w:rFonts w:ascii="標楷體" w:eastAsia="標楷體" w:hAnsi="標楷體"/>
          <w:sz w:val="26"/>
        </w:rPr>
        <w:t>證券投資信託事業及總代理人增加無謂負擔，</w:t>
      </w:r>
      <w:proofErr w:type="gramStart"/>
      <w:r w:rsidRPr="009122EF">
        <w:rPr>
          <w:rFonts w:ascii="標楷體" w:eastAsia="標楷體" w:hAnsi="標楷體"/>
          <w:sz w:val="26"/>
        </w:rPr>
        <w:t>爰</w:t>
      </w:r>
      <w:proofErr w:type="gramEnd"/>
      <w:r w:rsidRPr="009122EF">
        <w:rPr>
          <w:rFonts w:ascii="標楷體" w:eastAsia="標楷體" w:hAnsi="標楷體"/>
          <w:sz w:val="26"/>
        </w:rPr>
        <w:t>如雙方已於投資契約、合作備忘錄等相當書件揭露基金之通路報酬資訊，則該保險公司後續進行申購基金時，證券投資信託事業及總代理人得無須再對其揭露通路報酬，惟仍須辦理變動通知與定期通知。</w:t>
      </w:r>
    </w:p>
    <w:p w:rsidR="003E2930" w:rsidRPr="00C32CE8"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二、本施行要點第三條第（1）點申購手續費分成是否包含遞延申購手續費？投資人申請轉換／轉申購應如何適用？</w:t>
      </w:r>
    </w:p>
    <w:p w:rsidR="003E2930" w:rsidRPr="009122EF"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說明：</w:t>
      </w:r>
    </w:p>
    <w:p w:rsidR="003E2930" w:rsidRPr="009122EF" w:rsidRDefault="003E2930">
      <w:pPr>
        <w:rPr>
          <w:rFonts w:ascii="標楷體" w:eastAsia="標楷體" w:hAnsi="標楷體"/>
          <w:sz w:val="26"/>
        </w:rPr>
      </w:pPr>
      <w:r w:rsidRPr="009122EF">
        <w:rPr>
          <w:rFonts w:ascii="標楷體" w:eastAsia="標楷體" w:hAnsi="標楷體"/>
          <w:sz w:val="26"/>
        </w:rPr>
        <w:t>（一）本施行要點第三條第（1）點申購手續費分成包含遞延申購手續費並於投資人申購時揭露。</w:t>
      </w:r>
    </w:p>
    <w:p w:rsidR="003E2930" w:rsidRPr="009122EF" w:rsidRDefault="003E2930">
      <w:pPr>
        <w:rPr>
          <w:rFonts w:ascii="標楷體" w:eastAsia="標楷體" w:hAnsi="標楷體"/>
          <w:sz w:val="26"/>
        </w:rPr>
      </w:pPr>
      <w:r w:rsidRPr="009122EF">
        <w:rPr>
          <w:rFonts w:ascii="標楷體" w:eastAsia="標楷體" w:hAnsi="標楷體"/>
          <w:sz w:val="26"/>
        </w:rPr>
        <w:t>（二）轉換／轉申購手續費分成不包含轉換／轉申購作業服務費等不涉及銷售機構與基金公司分成之項目。</w:t>
      </w:r>
    </w:p>
    <w:p w:rsidR="003E2930" w:rsidRPr="009122EF" w:rsidRDefault="003E2930">
      <w:pPr>
        <w:rPr>
          <w:rFonts w:ascii="標楷體" w:eastAsia="標楷體" w:hAnsi="標楷體"/>
          <w:sz w:val="26"/>
        </w:rPr>
      </w:pPr>
      <w:r w:rsidRPr="009122EF">
        <w:rPr>
          <w:rFonts w:ascii="標楷體" w:eastAsia="標楷體" w:hAnsi="標楷體"/>
          <w:sz w:val="26"/>
        </w:rPr>
        <w:t>（三）銷售機構事先與投資人約定投資條件，如：定時定額</w:t>
      </w:r>
      <w:proofErr w:type="gramStart"/>
      <w:r w:rsidRPr="009122EF">
        <w:rPr>
          <w:rFonts w:ascii="標楷體" w:eastAsia="標楷體" w:hAnsi="標楷體"/>
          <w:sz w:val="26"/>
        </w:rPr>
        <w:t>附加停利轉</w:t>
      </w:r>
      <w:proofErr w:type="gramEnd"/>
      <w:r w:rsidRPr="009122EF">
        <w:rPr>
          <w:rFonts w:ascii="標楷體" w:eastAsia="標楷體" w:hAnsi="標楷體"/>
          <w:sz w:val="26"/>
        </w:rPr>
        <w:t>申購或證券商受託買賣外國有價證券，並與委託人約定於結清某一證券投資將價金轉投資於另一種委託人事前約定之基金者，若銷售機構已事先告知投資人基金通路報酬並經確認者，嗣後依約所進行之交易，毋須再行銷售前揭露通知。</w:t>
      </w:r>
    </w:p>
    <w:p w:rsidR="003E2930" w:rsidRPr="00170C7F"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三、依據本施行要點第三條第（2）點經理費分成應如何適用？</w:t>
      </w:r>
    </w:p>
    <w:p w:rsidR="003E2930" w:rsidRPr="00703053" w:rsidRDefault="003E2930">
      <w:pPr>
        <w:rPr>
          <w:rFonts w:ascii="標楷體" w:eastAsia="標楷體" w:hAnsi="標楷體"/>
          <w:sz w:val="26"/>
        </w:rPr>
      </w:pPr>
    </w:p>
    <w:p w:rsidR="00703053" w:rsidRDefault="003E2930">
      <w:pPr>
        <w:rPr>
          <w:rFonts w:ascii="標楷體" w:eastAsia="標楷體" w:hAnsi="標楷體" w:hint="eastAsia"/>
          <w:sz w:val="26"/>
        </w:rPr>
      </w:pPr>
      <w:r w:rsidRPr="009122EF">
        <w:rPr>
          <w:rFonts w:ascii="標楷體" w:eastAsia="標楷體" w:hAnsi="標楷體"/>
          <w:sz w:val="26"/>
        </w:rPr>
        <w:t>說明：</w:t>
      </w:r>
    </w:p>
    <w:p w:rsidR="003E2930" w:rsidRPr="009122EF" w:rsidRDefault="003E2930" w:rsidP="00C32CE8">
      <w:pPr>
        <w:rPr>
          <w:rFonts w:ascii="標楷體" w:eastAsia="標楷體" w:hAnsi="標楷體"/>
          <w:sz w:val="26"/>
        </w:rPr>
      </w:pPr>
      <w:r w:rsidRPr="009122EF">
        <w:rPr>
          <w:rFonts w:ascii="標楷體" w:eastAsia="標楷體" w:hAnsi="標楷體"/>
          <w:sz w:val="26"/>
        </w:rPr>
        <w:lastRenderedPageBreak/>
        <w:t>本施行要點第三條第（2）點訂定，經理費分成為依投資人持有期間及持有受益憑證金額，取得經理費收入、經銷費（Distribution Fee、12b-1</w:t>
      </w:r>
      <w:r w:rsidR="00007760">
        <w:rPr>
          <w:rFonts w:ascii="標楷體" w:eastAsia="標楷體" w:hAnsi="標楷體" w:hint="eastAsia"/>
          <w:sz w:val="26"/>
        </w:rPr>
        <w:t xml:space="preserve"> </w:t>
      </w:r>
      <w:r w:rsidRPr="009122EF">
        <w:rPr>
          <w:rFonts w:ascii="標楷體" w:eastAsia="標楷體" w:hAnsi="標楷體"/>
          <w:sz w:val="26"/>
        </w:rPr>
        <w:t>fee等）的分成比率，故於揭露本基金經理費收入年　　率時應加計經銷費。</w:t>
      </w:r>
    </w:p>
    <w:p w:rsidR="003E2930" w:rsidRPr="009122EF" w:rsidRDefault="003E2930">
      <w:pPr>
        <w:rPr>
          <w:rFonts w:ascii="標楷體" w:eastAsia="標楷體" w:hAnsi="標楷體"/>
          <w:sz w:val="26"/>
        </w:rPr>
      </w:pPr>
      <w:r w:rsidRPr="009122EF">
        <w:rPr>
          <w:rFonts w:ascii="標楷體" w:eastAsia="標楷體" w:hAnsi="標楷體"/>
          <w:sz w:val="26"/>
        </w:rPr>
        <w:t>又，各國家規範不同，其分成名目為經理費分成、管理費分成、經銷費分成或分銷費分成等，皆須併入本施行要點經理費分成中加計。</w:t>
      </w:r>
    </w:p>
    <w:p w:rsidR="003E2930" w:rsidRPr="00C32CE8"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四、有關本施行要點第三條第（4）點1.之其他報酬部分應如何適用？</w:t>
      </w:r>
    </w:p>
    <w:p w:rsidR="003E2930" w:rsidRPr="009122EF"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說明：</w:t>
      </w:r>
    </w:p>
    <w:p w:rsidR="003E2930" w:rsidRPr="009122EF" w:rsidRDefault="003E2930">
      <w:pPr>
        <w:rPr>
          <w:rFonts w:ascii="標楷體" w:eastAsia="標楷體" w:hAnsi="標楷體"/>
          <w:sz w:val="26"/>
        </w:rPr>
      </w:pPr>
      <w:r w:rsidRPr="009122EF">
        <w:rPr>
          <w:rFonts w:ascii="標楷體" w:eastAsia="標楷體" w:hAnsi="標楷體"/>
          <w:sz w:val="26"/>
        </w:rPr>
        <w:t>（一）與銷售機構共同合作對投資人進行基金推廣</w:t>
      </w:r>
      <w:proofErr w:type="gramStart"/>
      <w:r w:rsidRPr="009122EF">
        <w:rPr>
          <w:rFonts w:ascii="標楷體" w:eastAsia="標楷體" w:hAnsi="標楷體"/>
          <w:sz w:val="26"/>
        </w:rPr>
        <w:t>所生文宣</w:t>
      </w:r>
      <w:proofErr w:type="gramEnd"/>
      <w:r w:rsidRPr="009122EF">
        <w:rPr>
          <w:rFonts w:ascii="標楷體" w:eastAsia="標楷體" w:hAnsi="標楷體"/>
          <w:sz w:val="26"/>
        </w:rPr>
        <w:t>廣告、投資月刊或專刊、產品說明會活動之相關費用為其他報酬可支付之項目。有關文宣廣告，包括但不限於媒體廣告、舉辦記者會、電子網頁 /網站設計製作或電郵推廣 （EDM）等活動。</w:t>
      </w:r>
    </w:p>
    <w:p w:rsidR="003E2930" w:rsidRPr="009122EF" w:rsidRDefault="003E2930">
      <w:pPr>
        <w:rPr>
          <w:rFonts w:ascii="標楷體" w:eastAsia="標楷體" w:hAnsi="標楷體"/>
          <w:sz w:val="26"/>
        </w:rPr>
      </w:pPr>
      <w:r w:rsidRPr="009122EF">
        <w:rPr>
          <w:rFonts w:ascii="標楷體" w:eastAsia="標楷體" w:hAnsi="標楷體"/>
          <w:sz w:val="26"/>
        </w:rPr>
        <w:t>（二）前述（一）之其他報酬，不包括提供予投資人之文具、年曆、筆記本或其他單價 2百元以下之贈品；但專為與銷售機構共同合作對投資人進行基金推廣所贊助或提供之相關贈品，則須列入其他報酬。</w:t>
      </w:r>
    </w:p>
    <w:p w:rsidR="003E2930" w:rsidRPr="00170C7F"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五、有關第四條揭露格式及原則，實務上應如何適用？</w:t>
      </w:r>
    </w:p>
    <w:p w:rsidR="003E2930" w:rsidRPr="009122EF"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說明：</w:t>
      </w:r>
    </w:p>
    <w:p w:rsidR="003E2930" w:rsidRPr="009122EF" w:rsidRDefault="003E2930">
      <w:pPr>
        <w:rPr>
          <w:rFonts w:ascii="標楷體" w:eastAsia="標楷體" w:hAnsi="標楷體"/>
          <w:sz w:val="26"/>
        </w:rPr>
      </w:pPr>
      <w:r w:rsidRPr="009122EF">
        <w:rPr>
          <w:rFonts w:ascii="標楷體" w:eastAsia="標楷體" w:hAnsi="標楷體"/>
          <w:sz w:val="26"/>
        </w:rPr>
        <w:t>（一）以基金別揭露；但同一證券投資信託事業或境外基金機構及總代理人，通路報酬費率相同之基金，銷售機構可選擇詳列於附註列表之方式共用一份揭露文件，或於網路頁面或語音播放一起詳列及說明。投資人於同次交易，申購一起詳列及說明之基金，不用重行簽署或確認。</w:t>
      </w:r>
    </w:p>
    <w:p w:rsidR="003E2930" w:rsidRPr="009122EF" w:rsidRDefault="003E2930">
      <w:pPr>
        <w:rPr>
          <w:rFonts w:ascii="標楷體" w:eastAsia="標楷體" w:hAnsi="標楷體"/>
          <w:sz w:val="26"/>
        </w:rPr>
      </w:pPr>
      <w:r w:rsidRPr="009122EF">
        <w:rPr>
          <w:rFonts w:ascii="標楷體" w:eastAsia="標楷體" w:hAnsi="標楷體"/>
          <w:sz w:val="26"/>
        </w:rPr>
        <w:t>（二）境外基金機構、總代理人或證券投資信託事業贊助或提供多家且特定銷售機構本施行要點第三條（3）贊助或提供對銷售機構之產品說明會及員工教育訓練及（4）其他報酬，相關通路報酬之分攤方式由境外基金機構、總代理人或證券投資信託事業與銷售機構間自行決定之。</w:t>
      </w:r>
    </w:p>
    <w:p w:rsidR="003E2930" w:rsidRPr="009122EF" w:rsidRDefault="003E2930">
      <w:pPr>
        <w:rPr>
          <w:rFonts w:ascii="標楷體" w:eastAsia="標楷體" w:hAnsi="標楷體"/>
          <w:sz w:val="26"/>
        </w:rPr>
      </w:pPr>
      <w:r w:rsidRPr="009122EF">
        <w:rPr>
          <w:rFonts w:ascii="標楷體" w:eastAsia="標楷體" w:hAnsi="標楷體"/>
          <w:sz w:val="26"/>
        </w:rPr>
        <w:t>（三）銷售機構對於金融消費者保護法第四條所稱專業投資機構申購基金時應進行之銷售前揭露通知，得僅於首次申購時為之，如雙方已於書面揭露本施行要點所規定之通路報酬並約定辦理變動通知之方式者，則該專業投資機構於後續申購基金時，銷售機構無須再對其揭露通路報酬，惟仍須辦理變動通知及定期通知。</w:t>
      </w:r>
    </w:p>
    <w:p w:rsidR="003E2930" w:rsidRPr="009122EF" w:rsidRDefault="003E2930">
      <w:pPr>
        <w:rPr>
          <w:rFonts w:ascii="標楷體" w:eastAsia="標楷體" w:hAnsi="標楷體"/>
          <w:sz w:val="26"/>
        </w:rPr>
      </w:pPr>
      <w:r w:rsidRPr="009122EF">
        <w:rPr>
          <w:rFonts w:ascii="標楷體" w:eastAsia="標楷體" w:hAnsi="標楷體"/>
          <w:sz w:val="26"/>
        </w:rPr>
        <w:t>（四）通路報酬揭露內容及格式詳如本施行要點問答集之通路報酬揭露格式範本，該通路報酬揭露格式範本自109年1月1日起施行。</w:t>
      </w:r>
    </w:p>
    <w:p w:rsidR="003E2930" w:rsidRPr="003700AC"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 xml:space="preserve">六、就本施行要點第四條第 （7）點，語音申購、自動化通路設備 </w:t>
      </w:r>
      <w:proofErr w:type="gramStart"/>
      <w:r w:rsidRPr="009122EF">
        <w:rPr>
          <w:rFonts w:ascii="標楷體" w:eastAsia="標楷體" w:hAnsi="標楷體"/>
          <w:sz w:val="26"/>
        </w:rPr>
        <w:t>（</w:t>
      </w:r>
      <w:proofErr w:type="gramEnd"/>
      <w:r w:rsidRPr="009122EF">
        <w:rPr>
          <w:rFonts w:ascii="標楷體" w:eastAsia="標楷體" w:hAnsi="標楷體"/>
          <w:sz w:val="26"/>
        </w:rPr>
        <w:t>ATM</w:t>
      </w:r>
    </w:p>
    <w:p w:rsidR="003E2930" w:rsidRPr="009122EF" w:rsidRDefault="003E2930">
      <w:pPr>
        <w:rPr>
          <w:rFonts w:ascii="標楷體" w:eastAsia="標楷體" w:hAnsi="標楷體"/>
          <w:sz w:val="26"/>
        </w:rPr>
      </w:pPr>
      <w:r w:rsidRPr="009122EF">
        <w:rPr>
          <w:rFonts w:ascii="標楷體" w:eastAsia="標楷體" w:hAnsi="標楷體"/>
          <w:sz w:val="26"/>
        </w:rPr>
        <w:t>）或行動銀行應如何進行，其原則為何？</w:t>
      </w:r>
    </w:p>
    <w:p w:rsidR="003E2930" w:rsidRPr="00B97335" w:rsidRDefault="003E2930">
      <w:pPr>
        <w:rPr>
          <w:rFonts w:ascii="標楷體" w:eastAsia="標楷體" w:hAnsi="標楷體"/>
          <w:sz w:val="26"/>
        </w:rPr>
      </w:pPr>
    </w:p>
    <w:p w:rsidR="00703053" w:rsidRDefault="003E2930">
      <w:pPr>
        <w:rPr>
          <w:rFonts w:ascii="標楷體" w:eastAsia="標楷體" w:hAnsi="標楷體" w:hint="eastAsia"/>
          <w:sz w:val="26"/>
        </w:rPr>
      </w:pPr>
      <w:r w:rsidRPr="009122EF">
        <w:rPr>
          <w:rFonts w:ascii="標楷體" w:eastAsia="標楷體" w:hAnsi="標楷體"/>
          <w:sz w:val="26"/>
        </w:rPr>
        <w:t>說明：</w:t>
      </w:r>
    </w:p>
    <w:p w:rsidR="003E2930" w:rsidRPr="009122EF" w:rsidRDefault="003E2930" w:rsidP="00A069D7">
      <w:pPr>
        <w:rPr>
          <w:rFonts w:ascii="標楷體" w:eastAsia="標楷體" w:hAnsi="標楷體"/>
          <w:sz w:val="26"/>
        </w:rPr>
      </w:pPr>
      <w:r w:rsidRPr="009122EF">
        <w:rPr>
          <w:rFonts w:ascii="標楷體" w:eastAsia="標楷體" w:hAnsi="標楷體"/>
          <w:sz w:val="26"/>
        </w:rPr>
        <w:t>語音申購（包括全人工語音接單、全自動語音接單或混合型）、自動化通路設備（ATM）或行動銀行程序原則如下：</w:t>
      </w:r>
    </w:p>
    <w:p w:rsidR="003E2930" w:rsidRPr="009122EF" w:rsidRDefault="003E2930">
      <w:pPr>
        <w:rPr>
          <w:rFonts w:ascii="標楷體" w:eastAsia="標楷體" w:hAnsi="標楷體"/>
          <w:sz w:val="26"/>
        </w:rPr>
      </w:pPr>
      <w:r w:rsidRPr="009122EF">
        <w:rPr>
          <w:rFonts w:ascii="標楷體" w:eastAsia="標楷體" w:hAnsi="標楷體"/>
          <w:sz w:val="26"/>
        </w:rPr>
        <w:t>（一）進入語音申購、自動化通路設備 （ATM）或行動銀行前，投資人必須各依不同銷售方式先提供身分證字號或出生年月日或登入帳號或密碼或個人金融卡等個人識別資訊以確認本人。</w:t>
      </w:r>
    </w:p>
    <w:p w:rsidR="003E2930" w:rsidRPr="009122EF" w:rsidRDefault="003E2930">
      <w:pPr>
        <w:rPr>
          <w:rFonts w:ascii="標楷體" w:eastAsia="標楷體" w:hAnsi="標楷體"/>
          <w:sz w:val="26"/>
        </w:rPr>
      </w:pPr>
      <w:r w:rsidRPr="009122EF">
        <w:rPr>
          <w:rFonts w:ascii="標楷體" w:eastAsia="標楷體" w:hAnsi="標楷體"/>
          <w:sz w:val="26"/>
        </w:rPr>
        <w:t>（二）確認本人後，語音系統、自動化通路設備 （ATM）或行動銀行先請投資人確認是否已知道通路報酬費率項目內容，投資人選擇知悉並確認取得資料管道後則開始交易；若投資人選擇</w:t>
      </w:r>
      <w:proofErr w:type="gramStart"/>
      <w:r w:rsidRPr="009122EF">
        <w:rPr>
          <w:rFonts w:ascii="標楷體" w:eastAsia="標楷體" w:hAnsi="標楷體"/>
          <w:sz w:val="26"/>
        </w:rPr>
        <w:t>不</w:t>
      </w:r>
      <w:proofErr w:type="gramEnd"/>
      <w:r w:rsidRPr="009122EF">
        <w:rPr>
          <w:rFonts w:ascii="標楷體" w:eastAsia="標楷體" w:hAnsi="標楷體"/>
          <w:sz w:val="26"/>
        </w:rPr>
        <w:t>知悉或未確認取得管道，則進行下一階段。</w:t>
      </w:r>
    </w:p>
    <w:p w:rsidR="003E2930" w:rsidRPr="009122EF" w:rsidRDefault="003E2930">
      <w:pPr>
        <w:rPr>
          <w:rFonts w:ascii="標楷體" w:eastAsia="標楷體" w:hAnsi="標楷體"/>
          <w:sz w:val="26"/>
        </w:rPr>
      </w:pPr>
      <w:r w:rsidRPr="009122EF">
        <w:rPr>
          <w:rFonts w:ascii="標楷體" w:eastAsia="標楷體" w:hAnsi="標楷體"/>
          <w:sz w:val="26"/>
        </w:rPr>
        <w:t>（三）就語音申購部份，投資人選擇</w:t>
      </w:r>
      <w:proofErr w:type="gramStart"/>
      <w:r w:rsidRPr="009122EF">
        <w:rPr>
          <w:rFonts w:ascii="標楷體" w:eastAsia="標楷體" w:hAnsi="標楷體"/>
          <w:sz w:val="26"/>
        </w:rPr>
        <w:t>不</w:t>
      </w:r>
      <w:proofErr w:type="gramEnd"/>
      <w:r w:rsidRPr="009122EF">
        <w:rPr>
          <w:rFonts w:ascii="標楷體" w:eastAsia="標楷體" w:hAnsi="標楷體"/>
          <w:sz w:val="26"/>
        </w:rPr>
        <w:t>知悉或未確認取得管道，銷售機構若擇以語音錄音播放或真人語音服務說明，為免過於冗長，可省略揭露格式計算說明部分覆誦。同時，就通路報酬揭露的項目及內容，可以較為口語方式表達說明。投資人知悉後則可開始交易。</w:t>
      </w:r>
    </w:p>
    <w:p w:rsidR="003E2930" w:rsidRPr="009122EF" w:rsidRDefault="003E2930">
      <w:pPr>
        <w:rPr>
          <w:rFonts w:ascii="標楷體" w:eastAsia="標楷體" w:hAnsi="標楷體"/>
          <w:sz w:val="26"/>
        </w:rPr>
      </w:pPr>
      <w:r w:rsidRPr="009122EF">
        <w:rPr>
          <w:rFonts w:ascii="標楷體" w:eastAsia="標楷體" w:hAnsi="標楷體"/>
          <w:sz w:val="26"/>
        </w:rPr>
        <w:t>（四）投資人選擇</w:t>
      </w:r>
      <w:proofErr w:type="gramStart"/>
      <w:r w:rsidRPr="009122EF">
        <w:rPr>
          <w:rFonts w:ascii="標楷體" w:eastAsia="標楷體" w:hAnsi="標楷體"/>
          <w:sz w:val="26"/>
        </w:rPr>
        <w:t>不</w:t>
      </w:r>
      <w:proofErr w:type="gramEnd"/>
      <w:r w:rsidRPr="009122EF">
        <w:rPr>
          <w:rFonts w:ascii="標楷體" w:eastAsia="標楷體" w:hAnsi="標楷體"/>
          <w:sz w:val="26"/>
        </w:rPr>
        <w:t>知悉或未確認取得管道，銷售機構亦可任選或</w:t>
      </w:r>
      <w:proofErr w:type="gramStart"/>
      <w:r w:rsidRPr="009122EF">
        <w:rPr>
          <w:rFonts w:ascii="標楷體" w:eastAsia="標楷體" w:hAnsi="標楷體"/>
          <w:sz w:val="26"/>
        </w:rPr>
        <w:t>併</w:t>
      </w:r>
      <w:proofErr w:type="gramEnd"/>
      <w:r w:rsidRPr="009122EF">
        <w:rPr>
          <w:rFonts w:ascii="標楷體" w:eastAsia="標楷體" w:hAnsi="標楷體"/>
          <w:sz w:val="26"/>
        </w:rPr>
        <w:t>選以網站揭露、傳真書面、電子郵件或郵寄等方式提供予投資人知悉，惟投資人需先行結束電話、自動化通路設備 （ATM）或行動銀行之本次操作，</w:t>
      </w:r>
      <w:proofErr w:type="gramStart"/>
      <w:r w:rsidRPr="009122EF">
        <w:rPr>
          <w:rFonts w:ascii="標楷體" w:eastAsia="標楷體" w:hAnsi="標楷體"/>
          <w:sz w:val="26"/>
        </w:rPr>
        <w:t>俾</w:t>
      </w:r>
      <w:proofErr w:type="gramEnd"/>
      <w:r w:rsidRPr="009122EF">
        <w:rPr>
          <w:rFonts w:ascii="標楷體" w:eastAsia="標楷體" w:hAnsi="標楷體"/>
          <w:sz w:val="26"/>
        </w:rPr>
        <w:t>以了解內容並待下次交易。</w:t>
      </w:r>
    </w:p>
    <w:p w:rsidR="003E2930" w:rsidRDefault="003E2930">
      <w:pPr>
        <w:rPr>
          <w:rFonts w:ascii="標楷體" w:eastAsia="標楷體" w:hAnsi="標楷體" w:hint="eastAsia"/>
          <w:sz w:val="26"/>
        </w:rPr>
      </w:pPr>
      <w:r w:rsidRPr="009122EF">
        <w:rPr>
          <w:rFonts w:ascii="標楷體" w:eastAsia="標楷體" w:hAnsi="標楷體"/>
          <w:sz w:val="26"/>
        </w:rPr>
        <w:t>（五）銷售機構可選擇是否要留存全段錄音或全程軌跡，惟必須留存確認投資人已知悉之稽核軌跡以供查核。</w:t>
      </w: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A069D7" w:rsidRDefault="00A069D7" w:rsidP="00A069D7">
      <w:pPr>
        <w:rPr>
          <w:rFonts w:ascii="標楷體" w:eastAsia="標楷體" w:hAnsi="標楷體" w:hint="eastAsia"/>
          <w:sz w:val="26"/>
        </w:rPr>
      </w:pPr>
      <w:r>
        <w:rPr>
          <w:rFonts w:ascii="標楷體" w:eastAsia="標楷體" w:hAnsi="標楷體"/>
          <w:sz w:val="26"/>
        </w:rPr>
        <w:br w:type="page"/>
      </w:r>
      <w:r w:rsidRPr="00443940">
        <w:rPr>
          <w:rFonts w:eastAsia="標楷體" w:hAnsi="標楷體" w:hint="eastAsia"/>
          <w:snapToGrid w:val="0"/>
          <w:color w:val="000000"/>
          <w:sz w:val="28"/>
          <w:szCs w:val="20"/>
          <w:bdr w:val="single" w:sz="4" w:space="0" w:color="auto"/>
          <w:shd w:val="pct15" w:color="auto" w:fill="FFFFFF"/>
        </w:rPr>
        <w:lastRenderedPageBreak/>
        <w:t>流程圖</w:t>
      </w:r>
    </w:p>
    <w:p w:rsidR="00A069D7" w:rsidRDefault="00A069D7">
      <w:pPr>
        <w:rPr>
          <w:rFonts w:ascii="標楷體" w:eastAsia="標楷體" w:hAnsi="標楷體" w:hint="eastAsia"/>
          <w:sz w:val="26"/>
        </w:rPr>
      </w:pPr>
    </w:p>
    <w:p w:rsidR="00A069D7" w:rsidRDefault="00A069D7">
      <w:pPr>
        <w:rPr>
          <w:rFonts w:ascii="標楷體" w:eastAsia="標楷體" w:hAnsi="標楷體" w:hint="eastAsia"/>
          <w:sz w:val="26"/>
        </w:rPr>
      </w:pPr>
    </w:p>
    <w:p w:rsidR="007817FA" w:rsidRDefault="007817FA">
      <w:pPr>
        <w:rPr>
          <w:rFonts w:ascii="標楷體" w:eastAsia="標楷體" w:hAnsi="標楷體" w:hint="eastAsia"/>
          <w:sz w:val="26"/>
        </w:rPr>
      </w:pPr>
      <w:r>
        <w:rPr>
          <w:noProof/>
        </w:rPr>
        <w:pict>
          <v:group id="群組 1" o:spid="_x0000_s1064" style="position:absolute;margin-left:1pt;margin-top:13pt;width:495.85pt;height:350.6pt;z-index:251657728" coordsize="6297212,445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">
            <v:line id="直線接點 338" o:spid="_x0000_s1065" style="position:absolute;visibility:visible" from="2146852,3299792" to="3275247,3299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94EMIAAADcAAAADwAAAGRycy9kb3ducmV2LnhtbERPy2oCMRTdF/yHcAvuasYK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94EMIAAADcAAAADwAAAAAAAAAAAAAA&#10;AAChAgAAZHJzL2Rvd25yZXYueG1sUEsFBgAAAAAEAAQA+QAAAJADAAAAAA==&#10;">
              <v:stroke endarrow="block"/>
            </v:line>
            <v:shapetype id="_x0000_t202" coordsize="21600,21600" o:spt="202" path="m,l,21600r21600,l21600,xe">
              <v:stroke joinstyle="miter"/>
              <v:path gradientshapeok="t" o:connecttype="rect"/>
            </v:shapetype>
            <v:shape id="文字方塊 2" o:spid="_x0000_s1066" type="#_x0000_t202" style="position:absolute;top:1526455;width:1081391;height:695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4U+MQA&#10;AADcAAAADwAAAGRycy9kb3ducmV2LnhtbESPQWvCQBSE7wX/w/KEXopuNFg1uooUqt4kVu+P7DNJ&#10;m30bsluT/HtXKPQ4zMw3zHrbmUrcqXGlZQWTcQSCOLO65FzB5etztADhPLLGyjIp6MnBdjN4WWOi&#10;bcsp3c8+FwHCLkEFhfd1IqXLCjLoxrYmDt7NNgZ9kE0udYNtgJtKTqPoXRosOSwUWNNHQdnP+dco&#10;yF0af8dvMc5n/fR6uLbLfn/SSr0Ou90KhKfO/4f/2ketII7m8DwTjoD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OFPjEAAAA3AAAAA8AAAAAAAAAAAAAAAAAmAIAAGRycy9k&#10;b3ducmV2LnhtbFBLBQYAAAAABAAEAPUAAACJAwAAAAA=&#10;" filled="f">
              <v:textbox style="mso-fit-shape-to-text:t">
                <w:txbxContent>
                  <w:p w:rsidR="007817FA" w:rsidRPr="00414051" w:rsidRDefault="007817FA" w:rsidP="007817FA">
                    <w:pPr>
                      <w:ind w:rightChars="-34" w:right="-82"/>
                      <w:jc w:val="both"/>
                      <w:rPr>
                        <w:rFonts w:eastAsia="標楷體" w:hAnsi="標楷體"/>
                        <w:snapToGrid w:val="0"/>
                        <w:color w:val="000000"/>
                      </w:rPr>
                    </w:pPr>
                    <w:r w:rsidRPr="00414051">
                      <w:rPr>
                        <w:rFonts w:eastAsia="標楷體" w:hAnsi="標楷體" w:hint="eastAsia"/>
                        <w:snapToGrid w:val="0"/>
                        <w:color w:val="000000"/>
                      </w:rPr>
                      <w:t>投資人</w:t>
                    </w:r>
                    <w:r w:rsidRPr="00414051">
                      <w:rPr>
                        <w:rFonts w:eastAsia="標楷體" w:hAnsi="標楷體" w:hint="eastAsia"/>
                        <w:snapToGrid w:val="0"/>
                        <w:color w:val="000000"/>
                      </w:rPr>
                      <w:t>call in</w:t>
                    </w:r>
                  </w:p>
                  <w:p w:rsidR="007817FA" w:rsidRDefault="007817FA" w:rsidP="007817FA">
                    <w:r w:rsidRPr="00414051">
                      <w:rPr>
                        <w:rFonts w:eastAsia="標楷體" w:hAnsi="標楷體" w:hint="eastAsia"/>
                        <w:snapToGrid w:val="0"/>
                        <w:color w:val="000000"/>
                      </w:rPr>
                      <w:t>(</w:t>
                    </w:r>
                    <w:r w:rsidRPr="00414051">
                      <w:rPr>
                        <w:rFonts w:eastAsia="標楷體" w:hAnsi="標楷體" w:hint="eastAsia"/>
                        <w:snapToGrid w:val="0"/>
                        <w:color w:val="000000"/>
                      </w:rPr>
                      <w:t>確認人別資訊</w:t>
                    </w:r>
                    <w:r>
                      <w:rPr>
                        <w:rFonts w:eastAsia="標楷體" w:hAnsi="標楷體" w:hint="eastAsia"/>
                        <w:snapToGrid w:val="0"/>
                        <w:color w:val="000000"/>
                      </w:rPr>
                      <w:t>)</w:t>
                    </w:r>
                  </w:p>
                </w:txbxContent>
              </v:textbox>
            </v:shape>
            <v:line id="直線接點 299" o:spid="_x0000_s1067" style="position:absolute;flip:y;visibility:visible" from="1081378,1009816" to="1470633,1586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Kv8UAAADcAAAADwAAAGRycy9kb3ducmV2LnhtbESPT2vCQBDF74V+h2UKvQTdqCAmukpt&#10;KwjiwT8Hj0N2TEKzsyE71fTbu4VCj4837/fmLVa9a9SNulB7NjAapqCIC29rLg2cT5vBDFQQZIuN&#10;ZzLwQwFWy+enBebW3/lAt6OUKkI45GigEmlzrUNRkcMw9C1x9K6+cyhRdqW2Hd4j3DV6nKZT7bDm&#10;2FBhS+8VFV/Hbxff2Oz5YzJJ1k4nSUafF9mlWox5fenf5qCEevk//ktvrYFxlsHvmEgA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Kv8UAAADcAAAADwAAAAAAAAAA&#10;AAAAAAChAgAAZHJzL2Rvd25yZXYueG1sUEsFBgAAAAAEAAQA+QAAAJMDAAAAAA==&#10;">
              <v:stroke endarrow="block"/>
            </v:line>
            <v:shape id="文字方塊 2" o:spid="_x0000_s1068" type="#_x0000_t202" style="position:absolute;left:1478943;top:469127;width:1486535;height:1033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QIxMUA&#10;AADcAAAADwAAAGRycy9kb3ducmV2LnhtbESPTW/CMAyG75P4D5GRdhvpqDRGR0AINmlH1vFx9RrT&#10;Vmucqsmg8OvxYRJH6/X7+PFs0btGnagLtWcDz6MEFHHhbc2lge33x9MrqBCRLTaeycCFAizmg4cZ&#10;Ztaf+YtOeSyVQDhkaKCKsc20DkVFDsPIt8SSHX3nMMrYldp2eBa4a/Q4SV60w5rlQoUtrSoqfvM/&#10;JxrjwzZdb3KaTPAnXb9fd9PjvjHmcdgv30BF6uN9+b/9aQ2kiejLM0IAP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AjExQAAANwAAAAPAAAAAAAAAAAAAAAAAJgCAABkcnMv&#10;ZG93bnJldi54bWxQSwUGAAAAAAQABAD1AAAAigMAAAAA&#10;" filled="f">
              <v:textbox>
                <w:txbxContent>
                  <w:p w:rsidR="007817FA" w:rsidRPr="00CF6AC2" w:rsidRDefault="007817FA" w:rsidP="007817FA">
                    <w:pPr>
                      <w:ind w:rightChars="-34" w:right="-82"/>
                      <w:jc w:val="both"/>
                    </w:pPr>
                    <w:r w:rsidRPr="00414051">
                      <w:rPr>
                        <w:rFonts w:eastAsia="標楷體" w:hAnsi="標楷體" w:hint="eastAsia"/>
                        <w:snapToGrid w:val="0"/>
                        <w:color w:val="000000"/>
                      </w:rPr>
                      <w:t>投資人已知悉基金通路報酬費率項目內容</w:t>
                    </w:r>
                    <w:r w:rsidRPr="00414051">
                      <w:rPr>
                        <w:rFonts w:eastAsia="標楷體" w:hAnsi="標楷體" w:hint="eastAsia"/>
                        <w:snapToGrid w:val="0"/>
                        <w:color w:val="000000"/>
                      </w:rPr>
                      <w:t>(</w:t>
                    </w:r>
                    <w:r w:rsidRPr="00414051">
                      <w:rPr>
                        <w:rFonts w:eastAsia="標楷體" w:hAnsi="標楷體" w:hint="eastAsia"/>
                        <w:snapToGrid w:val="0"/>
                        <w:color w:val="000000"/>
                      </w:rPr>
                      <w:t>投資人需口頭或按鍵確認</w:t>
                    </w:r>
                    <w:r w:rsidRPr="00414051">
                      <w:rPr>
                        <w:rFonts w:eastAsia="標楷體" w:hAnsi="標楷體" w:hint="eastAsia"/>
                        <w:snapToGrid w:val="0"/>
                        <w:color w:val="000000"/>
                      </w:rPr>
                      <w:t>)</w:t>
                    </w:r>
                    <w:r w:rsidRPr="00CF6AC2">
                      <w:t xml:space="preserve"> </w:t>
                    </w:r>
                  </w:p>
                </w:txbxContent>
              </v:textbox>
            </v:shape>
            <v:line id="直線接點 323" o:spid="_x0000_s1069" style="position:absolute;visibility:visible" from="1081378,2162755" to="1475078,2162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J8vMQAAADcAAAADwAAAGRycy9kb3ducmV2LnhtbESPQWsCMRSE7wX/Q3iCt5pVodatUcRF&#10;8GALaun5dfPcLG5elk1c479vCoUeh5n5hlmuo21ET52vHSuYjDMQxKXTNVcKPs+751cQPiBrbByT&#10;ggd5WK8GT0vMtbvzkfpTqESCsM9RgQmhzaX0pSGLfuxa4uRdXGcxJNlVUnd4T3DbyGmWvUiLNacF&#10;gy1tDZXX080qmJviKOeyOJw/ir6eLOJ7/PpeKDUaxs0biEAx/If/2nutYDadwe+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ny8xAAAANwAAAAPAAAAAAAAAAAA&#10;AAAAAKECAABkcnMvZG93bnJldi54bWxQSwUGAAAAAAQABAD5AAAAkgMAAAAA&#10;">
              <v:stroke endarrow="block"/>
            </v:line>
            <v:shape id="文字方塊 2" o:spid="_x0000_s1070" type="#_x0000_t202" style="position:absolute;left:1510748;top:1956021;width:1319530;height:770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p8YA&#10;AADcAAAADwAAAGRycy9kb3ducmV2LnhtbESPzW7CMBCE70h9B2uReiMOSVUgYFBVWqnHEv6uS7wk&#10;UeN1FLuQ9unrSkgcR7Pzzc5i1ZtGXKhztWUF4ygGQVxYXXOpYLd9H01BOI+ssbFMCn7IwWr5MFhg&#10;pu2VN3TJfSkChF2GCirv20xKV1Rk0EW2JQ7e2XYGfZBdKXWH1wA3jUzi+FkarDk0VNjSa0XFV/5t&#10;whvJcZeuP3OaTPCUrt9+97PzoVHqcdi/zEF46v39+Jb+0ArS5An+xwQC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p8YAAADcAAAADwAAAAAAAAAAAAAAAACYAgAAZHJz&#10;L2Rvd25yZXYueG1sUEsFBgAAAAAEAAQA9QAAAIsDAAAAAA==&#10;" filled="f">
              <v:textbox>
                <w:txbxContent>
                  <w:p w:rsidR="007817FA" w:rsidRPr="0087278D" w:rsidRDefault="007817FA" w:rsidP="007817FA">
                    <w:pPr>
                      <w:ind w:rightChars="-34" w:right="-82"/>
                      <w:jc w:val="both"/>
                      <w:rPr>
                        <w:rFonts w:eastAsia="標楷體" w:hAnsi="標楷體"/>
                        <w:snapToGrid w:val="0"/>
                        <w:color w:val="000000"/>
                      </w:rPr>
                    </w:pPr>
                    <w:r w:rsidRPr="0087278D">
                      <w:rPr>
                        <w:rFonts w:eastAsia="標楷體" w:hAnsi="標楷體" w:hint="eastAsia"/>
                        <w:snapToGrid w:val="0"/>
                        <w:color w:val="000000"/>
                      </w:rPr>
                      <w:t>投資人口頭或按鍵表示</w:t>
                    </w:r>
                    <w:proofErr w:type="gramStart"/>
                    <w:r w:rsidRPr="0087278D">
                      <w:rPr>
                        <w:rFonts w:eastAsia="標楷體" w:hAnsi="標楷體" w:hint="eastAsia"/>
                        <w:snapToGrid w:val="0"/>
                        <w:color w:val="000000"/>
                      </w:rPr>
                      <w:t>不</w:t>
                    </w:r>
                    <w:proofErr w:type="gramEnd"/>
                    <w:r w:rsidRPr="0087278D">
                      <w:rPr>
                        <w:rFonts w:eastAsia="標楷體" w:hAnsi="標楷體" w:hint="eastAsia"/>
                        <w:snapToGrid w:val="0"/>
                        <w:color w:val="000000"/>
                      </w:rPr>
                      <w:t>知悉或未確認取得管道。</w:t>
                    </w:r>
                  </w:p>
                </w:txbxContent>
              </v:textbox>
            </v:shape>
            <v:line id="直線接點 325" o:spid="_x0000_s1071" style="position:absolute;visibility:visible" from="2965837,890546" to="3339548,890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dBU8UAAADcAAAADwAAAGRycy9kb3ducmV2LnhtbESPT2sCMRTE7wW/Q3iF3mpWS6u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dBU8UAAADcAAAADwAAAAAAAAAA&#10;AAAAAAChAgAAZHJzL2Rvd25yZXYueG1sUEsFBgAAAAAEAAQA+QAAAJMDAAAAAA==&#10;">
              <v:stroke endarrow="block"/>
            </v:line>
            <v:shape id="文字方塊 2" o:spid="_x0000_s1072" type="#_x0000_t202" style="position:absolute;left:3339548;width:1486535;height:17174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RpS8UA&#10;AADcAAAADwAAAGRycy9kb3ducmV2LnhtbESPzW7CMBCE70h9B2srcQOniQQ0xSDEj8SxBNpet/GS&#10;RI3XUWwg9OkxEhLH0ex8szOdd6YWZ2pdZVnB2zACQZxbXXGh4LDfDCYgnEfWWFsmBVdyMJ+99KaY&#10;anvhHZ0zX4gAYZeigtL7JpXS5SUZdEPbEAfvaFuDPsi2kLrFS4CbWsZRNJIGKw4NJTa0LCn/y04m&#10;vBH/HJLVZ0bjMf4mq/X/1/vxu1aq/9otPkB46vzz+JHeagVJPIL7mEAA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GlLxQAAANwAAAAPAAAAAAAAAAAAAAAAAJgCAABkcnMv&#10;ZG93bnJldi54bWxQSwUGAAAAAAQABAD1AAAAigMAAAAA&#10;" filled="f">
              <v:textbox>
                <w:txbxContent>
                  <w:p w:rsidR="007817FA" w:rsidRPr="0087278D" w:rsidRDefault="007817FA" w:rsidP="007817FA">
                    <w:pPr>
                      <w:ind w:rightChars="-34" w:right="-82"/>
                      <w:jc w:val="both"/>
                      <w:rPr>
                        <w:rFonts w:eastAsia="標楷體" w:hAnsi="標楷體"/>
                        <w:snapToGrid w:val="0"/>
                        <w:color w:val="000000"/>
                      </w:rPr>
                    </w:pPr>
                    <w:r w:rsidRPr="0087278D">
                      <w:rPr>
                        <w:rFonts w:eastAsia="標楷體" w:hAnsi="標楷體" w:hint="eastAsia"/>
                        <w:snapToGrid w:val="0"/>
                        <w:color w:val="000000"/>
                      </w:rPr>
                      <w:t>投資人確認取得內容之管道：</w:t>
                    </w:r>
                  </w:p>
                  <w:p w:rsidR="007817FA" w:rsidRPr="0087278D" w:rsidRDefault="007817FA" w:rsidP="007817FA">
                    <w:pPr>
                      <w:ind w:rightChars="-34" w:right="-82"/>
                      <w:jc w:val="both"/>
                      <w:rPr>
                        <w:rFonts w:eastAsia="標楷體" w:hAnsi="標楷體"/>
                        <w:snapToGrid w:val="0"/>
                        <w:color w:val="000000"/>
                      </w:rPr>
                    </w:pPr>
                    <w:r w:rsidRPr="0087278D">
                      <w:rPr>
                        <w:rFonts w:eastAsia="標楷體" w:hAnsi="標楷體" w:hint="eastAsia"/>
                        <w:snapToGrid w:val="0"/>
                        <w:color w:val="000000"/>
                      </w:rPr>
                      <w:t>1.</w:t>
                    </w:r>
                    <w:r w:rsidRPr="0087278D">
                      <w:rPr>
                        <w:rFonts w:eastAsia="標楷體" w:hAnsi="標楷體" w:hint="eastAsia"/>
                        <w:snapToGrid w:val="0"/>
                        <w:color w:val="000000"/>
                      </w:rPr>
                      <w:t>網站</w:t>
                    </w:r>
                  </w:p>
                  <w:p w:rsidR="007817FA" w:rsidRPr="0087278D" w:rsidRDefault="007817FA" w:rsidP="007817FA">
                    <w:pPr>
                      <w:ind w:rightChars="-34" w:right="-82"/>
                      <w:jc w:val="both"/>
                      <w:rPr>
                        <w:rFonts w:eastAsia="標楷體" w:hAnsi="標楷體"/>
                        <w:snapToGrid w:val="0"/>
                        <w:color w:val="000000"/>
                      </w:rPr>
                    </w:pPr>
                    <w:r w:rsidRPr="0087278D">
                      <w:rPr>
                        <w:rFonts w:eastAsia="標楷體" w:hAnsi="標楷體" w:hint="eastAsia"/>
                        <w:snapToGrid w:val="0"/>
                        <w:color w:val="000000"/>
                      </w:rPr>
                      <w:t>2.</w:t>
                    </w:r>
                    <w:r w:rsidRPr="0087278D">
                      <w:rPr>
                        <w:rFonts w:eastAsia="標楷體" w:hAnsi="標楷體" w:hint="eastAsia"/>
                        <w:snapToGrid w:val="0"/>
                        <w:color w:val="000000"/>
                      </w:rPr>
                      <w:t>語音</w:t>
                    </w:r>
                  </w:p>
                  <w:p w:rsidR="007817FA" w:rsidRPr="0087278D" w:rsidRDefault="007817FA" w:rsidP="007817FA">
                    <w:pPr>
                      <w:ind w:rightChars="-34" w:right="-82"/>
                      <w:jc w:val="both"/>
                      <w:rPr>
                        <w:rFonts w:eastAsia="標楷體" w:hAnsi="標楷體"/>
                        <w:snapToGrid w:val="0"/>
                        <w:color w:val="000000"/>
                      </w:rPr>
                    </w:pPr>
                    <w:r w:rsidRPr="0087278D">
                      <w:rPr>
                        <w:rFonts w:eastAsia="標楷體" w:hAnsi="標楷體" w:hint="eastAsia"/>
                        <w:snapToGrid w:val="0"/>
                        <w:color w:val="000000"/>
                      </w:rPr>
                      <w:t>3.</w:t>
                    </w:r>
                    <w:r w:rsidRPr="0087278D">
                      <w:rPr>
                        <w:rFonts w:eastAsia="標楷體" w:hAnsi="標楷體" w:hint="eastAsia"/>
                        <w:snapToGrid w:val="0"/>
                        <w:color w:val="000000"/>
                      </w:rPr>
                      <w:t>傳真或</w:t>
                    </w:r>
                    <w:r w:rsidRPr="0087278D">
                      <w:rPr>
                        <w:rFonts w:eastAsia="標楷體" w:hAnsi="標楷體" w:hint="eastAsia"/>
                        <w:snapToGrid w:val="0"/>
                        <w:color w:val="000000"/>
                      </w:rPr>
                      <w:t>e-mail</w:t>
                    </w:r>
                  </w:p>
                  <w:p w:rsidR="007817FA" w:rsidRPr="0087278D" w:rsidRDefault="007817FA" w:rsidP="007817FA">
                    <w:pPr>
                      <w:ind w:rightChars="-34" w:right="-82"/>
                      <w:jc w:val="both"/>
                      <w:rPr>
                        <w:rFonts w:eastAsia="標楷體" w:hAnsi="標楷體"/>
                        <w:snapToGrid w:val="0"/>
                        <w:color w:val="000000"/>
                      </w:rPr>
                    </w:pPr>
                    <w:r w:rsidRPr="0087278D">
                      <w:rPr>
                        <w:rFonts w:eastAsia="標楷體" w:hAnsi="標楷體" w:hint="eastAsia"/>
                        <w:snapToGrid w:val="0"/>
                        <w:color w:val="000000"/>
                      </w:rPr>
                      <w:t>4.</w:t>
                    </w:r>
                    <w:r w:rsidRPr="0087278D">
                      <w:rPr>
                        <w:rFonts w:eastAsia="標楷體" w:hAnsi="標楷體" w:hint="eastAsia"/>
                        <w:snapToGrid w:val="0"/>
                        <w:color w:val="000000"/>
                      </w:rPr>
                      <w:t>臨櫃</w:t>
                    </w:r>
                  </w:p>
                  <w:p w:rsidR="007817FA" w:rsidRPr="00CF6AC2" w:rsidRDefault="007817FA" w:rsidP="007817FA">
                    <w:pPr>
                      <w:ind w:rightChars="-34" w:right="-82"/>
                      <w:jc w:val="both"/>
                    </w:pPr>
                    <w:r w:rsidRPr="0087278D">
                      <w:rPr>
                        <w:rFonts w:eastAsia="標楷體" w:hAnsi="標楷體" w:hint="eastAsia"/>
                        <w:snapToGrid w:val="0"/>
                        <w:color w:val="000000"/>
                      </w:rPr>
                      <w:t>5.</w:t>
                    </w:r>
                    <w:r w:rsidRPr="0087278D">
                      <w:rPr>
                        <w:rFonts w:eastAsia="標楷體" w:hAnsi="標楷體" w:hint="eastAsia"/>
                        <w:snapToGrid w:val="0"/>
                        <w:color w:val="000000"/>
                      </w:rPr>
                      <w:t>其他</w:t>
                    </w:r>
                  </w:p>
                </w:txbxContent>
              </v:textbox>
            </v:shape>
            <v:line id="直線接點 327" o:spid="_x0000_s1073" style="position:absolute;visibility:visible" from="4826442,906449" to="5323647,906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l6v8UAAADcAAAADwAAAGRycy9kb3ducmV2LnhtbESPQWsCMRSE74X+h/AKvdWsCt26GqW4&#10;CD1oQS09v26em6Wbl2UT1/jvG6HgcZiZb5jFKtpWDNT7xrGC8SgDQVw53XCt4Ou4eXkD4QOyxtYx&#10;KbiSh9Xy8WGBhXYX3tNwCLVIEPYFKjAhdIWUvjJk0Y9cR5y8k+sthiT7WuoeLwluWznJsldpseG0&#10;YLCjtaHq93C2CnJT7mUuy+3xsxya8Szu4vfPTKnnp/g+BxEohnv4v/2hFUwnO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1l6v8UAAADcAAAADwAAAAAAAAAA&#10;AAAAAAChAgAAZHJzL2Rvd25yZXYueG1sUEsFBgAAAAAEAAQA+QAAAJMDAAAAAA==&#10;">
              <v:stroke endarrow="block"/>
            </v:line>
            <v:shape id="文字方塊 2" o:spid="_x0000_s1074" type="#_x0000_t202" style="position:absolute;left:5343277;top:731520;width:818515;height:3575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YosUA&#10;AADcAAAADwAAAGRycy9kb3ducmV2LnhtbESPTU/CQBCG7yT+h82YeIOtbSJSWIgRSTxq5eM6dIe2&#10;sTvbdBeo/nrnYMJx8s77zDOL1eBadaE+NJ4NPE4SUMSltw1XBrZfm/EzqBCRLbaeycAPBVgt70YL&#10;zK2/8iddilgpgXDI0UAdY5drHcqaHIaJ74glO/neYZSxr7Tt8Spw1+o0SZ60w4blQo0dvdZUfhdn&#10;JxrpYZutPwqaTvGYrd9+d7PTvjXm4X54mYOKNMTb8n/73RrIUrGVZ4QAe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R1iixQAAANwAAAAPAAAAAAAAAAAAAAAAAJgCAABkcnMv&#10;ZG93bnJldi54bWxQSwUGAAAAAAQABAD1AAAAigMAAAAA&#10;" filled="f">
              <v:textbox>
                <w:txbxContent>
                  <w:p w:rsidR="007817FA" w:rsidRPr="0087278D" w:rsidRDefault="007817FA" w:rsidP="007817FA">
                    <w:pPr>
                      <w:ind w:rightChars="-34" w:right="-82"/>
                      <w:jc w:val="both"/>
                      <w:rPr>
                        <w:rFonts w:ascii="標楷體" w:eastAsia="標楷體" w:hAnsi="標楷體"/>
                      </w:rPr>
                    </w:pPr>
                    <w:r w:rsidRPr="0087278D">
                      <w:rPr>
                        <w:rFonts w:ascii="標楷體" w:eastAsia="標楷體" w:hAnsi="標楷體" w:hint="eastAsia"/>
                      </w:rPr>
                      <w:t>開始交易</w:t>
                    </w:r>
                  </w:p>
                </w:txbxContent>
              </v:textbox>
            </v:shape>
            <v:line id="直線接點 329" o:spid="_x0000_s1075" style="position:absolute;visibility:visible" from="2830665,2305879" to="3287865,2305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VsUAAADcAAAADwAAAGRycy9kb3ducmV2LnhtbESPQWsCMRSE70L/Q3iF3jSrQu2uRild&#10;hB60oJaeXzfPzdLNy7JJ1/jvG6HgcZiZb5jVJtpWDNT7xrGC6SQDQVw53XCt4PO0Hb+A8AFZY+uY&#10;FFzJw2b9MFphod2FDzQcQy0ShH2BCkwIXSGlrwxZ9BPXESfv7HqLIcm+lrrHS4LbVs6y7FlabDgt&#10;GOzozVD1c/y1ChamPMiFLHenj3Jopnncx6/vXKmnx/i6BBEohnv4v/2uFc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LVsUAAADcAAAADwAAAAAAAAAA&#10;AAAAAAChAgAAZHJzL2Rvd25yZXYueG1sUEsFBgAAAAAEAAQA+QAAAJMDAAAAAA==&#10;">
              <v:stroke endarrow="block"/>
            </v:line>
            <v:shape id="文字方塊 2" o:spid="_x0000_s1076" type="#_x0000_t202" style="position:absolute;left:3291840;top:1963972;width:1526540;height:7708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CecUA&#10;AADcAAAADwAAAGRycy9kb3ducmV2LnhtbESPwW7CMAyG70i8Q2QkbpCOSmPrCAgBk3ZkHduuXmPa&#10;ao1TNRkUnh4fJnG0fv+fPy9WvWvUibpQezbwME1AERfe1lwaOHy8Tp5AhYhssfFMBi4UYLUcDhaY&#10;WX/mdzrlsVQC4ZChgSrGNtM6FBU5DFPfEkt29J3DKGNXatvhWeCu0bMkedQOa5YLFba0qaj4zf+c&#10;aMy+D+l2n9N8jj/pdnf9fD5+NcaMR/36BVSkPt6X/9tv1kCair48IwT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MJ5xQAAANwAAAAPAAAAAAAAAAAAAAAAAJgCAABkcnMv&#10;ZG93bnJldi54bWxQSwUGAAAAAAQABAD1AAAAigMAAAAA&#10;" filled="f">
              <v:textbox>
                <w:txbxContent>
                  <w:p w:rsidR="007817FA" w:rsidRPr="0087278D" w:rsidRDefault="007817FA" w:rsidP="007817FA">
                    <w:pPr>
                      <w:ind w:rightChars="-34" w:right="-82"/>
                      <w:jc w:val="both"/>
                      <w:rPr>
                        <w:rFonts w:eastAsia="標楷體" w:hAnsi="標楷體"/>
                        <w:snapToGrid w:val="0"/>
                        <w:color w:val="000000"/>
                      </w:rPr>
                    </w:pPr>
                    <w:r w:rsidRPr="0087278D">
                      <w:rPr>
                        <w:rFonts w:eastAsia="標楷體" w:hAnsi="標楷體" w:hint="eastAsia"/>
                        <w:snapToGrid w:val="0"/>
                        <w:color w:val="000000"/>
                      </w:rPr>
                      <w:t>銷售機構揭露費率項目內容：語音服務（語音申購）</w:t>
                    </w:r>
                  </w:p>
                </w:txbxContent>
              </v:textbox>
            </v:shape>
            <v:line id="直線接點 331" o:spid="_x0000_s1077" style="position:absolute;visibility:visible" from="4818491,2313830" to="5236321,23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RjcUAAADcAAAADwAAAGRycy9kb3ducmV2LnhtbESPQWsCMRSE70L/Q3gFb5rdC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RjcUAAADcAAAADwAAAAAAAAAA&#10;AAAAAAChAgAAZHJzL2Rvd25yZXYueG1sUEsFBgAAAAAEAAQA+QAAAJMDAAAAAA==&#10;">
              <v:stroke endarrow="block"/>
            </v:line>
            <v:shape id="文字方塊 2" o:spid="_x0000_s1078" type="#_x0000_t202" style="position:absolute;left:5263764;top:2067339;width:969645;height:5086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5lcUA&#10;AADcAAAADwAAAGRycy9kb3ducmV2LnhtbESPzW7CMBCE70h9B2sr9QZOEwnaNAZVQKUeS6DlusSb&#10;HzVeR7ELoU+PkZA4jmbnm51sMZhWHKl3jWUFz5MIBHFhdcOVgt32Y/wCwnlkja1lUnAmB4v5wyjD&#10;VNsTb+iY+0oECLsUFdTed6mUrqjJoJvYjjh4pe0N+iD7SuoeTwFuWhlH0VQabDg01NjRsqbiN/8z&#10;4Y14v0tWXznNZnhIVuv/79fyp1Xq6XF4fwPhafD341v6UytIkhiuYwIB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vmVxQAAANwAAAAPAAAAAAAAAAAAAAAAAJgCAABkcnMv&#10;ZG93bnJldi54bWxQSwUGAAAAAAQABAD1AAAAigMAAAAA&#10;" filled="f">
              <v:textbox>
                <w:txbxContent>
                  <w:p w:rsidR="007817FA" w:rsidRPr="0087278D" w:rsidRDefault="007817FA" w:rsidP="007817FA">
                    <w:pPr>
                      <w:ind w:rightChars="-34" w:right="-82"/>
                      <w:jc w:val="both"/>
                      <w:rPr>
                        <w:rFonts w:ascii="標楷體" w:eastAsia="標楷體" w:hAnsi="標楷體"/>
                      </w:rPr>
                    </w:pPr>
                    <w:r>
                      <w:rPr>
                        <w:rFonts w:ascii="標楷體" w:eastAsia="標楷體" w:hAnsi="標楷體" w:hint="eastAsia"/>
                      </w:rPr>
                      <w:t>知悉並</w:t>
                    </w:r>
                    <w:r w:rsidRPr="0087278D">
                      <w:rPr>
                        <w:rFonts w:ascii="標楷體" w:eastAsia="標楷體" w:hAnsi="標楷體" w:hint="eastAsia"/>
                      </w:rPr>
                      <w:t>開始交易</w:t>
                    </w:r>
                  </w:p>
                </w:txbxContent>
              </v:textbox>
            </v:shape>
            <v:line id="直線接點 337" o:spid="_x0000_s1079" style="position:absolute;visibility:visible" from="2146852,2759103" to="2146852,3299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J84cUAAADcAAAADwAAAGRycy9kb3ducmV2LnhtbESPT4vCMBTE74LfIbwFL6Kpf1DpGkVE&#10;wePaXWSPj+bZ1m1eahO1+unNguBxmJnfMPNlY0pxpdoVlhUM+hEI4tTqgjMFP9/b3gyE88gaS8uk&#10;4E4Olot2a46xtjfe0zXxmQgQdjEqyL2vYildmpNB17cVcfCOtjbog6wzqWu8Bbgp5TCKJtJgwWEh&#10;x4rWOaV/ycUoyNan7vk3OT3GfrKZ2e3463A4rpTqfDSrTxCeGv8Ov9o7rWA0msL/mXAE5OI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xJ84cUAAADcAAAADwAAAAAAAAAA&#10;AAAAAAChAgAAZHJzL2Rvd25yZXYueG1sUEsFBgAAAAAEAAQA+QAAAJMDAAAAAA==&#10;" strokecolor="windowText"/>
            <v:shape id="文字方塊 2" o:spid="_x0000_s1080" type="#_x0000_t202" style="position:absolute;left:3275938;top:2965837;width:1542415;height:14865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r5MUA&#10;AADcAAAADwAAAGRycy9kb3ducmV2LnhtbESPzW7CMBCE70h9B2uRuBUHIkFJMajiR+LYpgGuS7wk&#10;UeN1FBsIffq6EhLH0ex8szNfdqYWV2pdZVnBaBiBIM6trrhQkH1vX99AOI+ssbZMCu7kYLl46c0x&#10;0fbGX3RNfSEChF2CCkrvm0RKl5dk0A1tQxy8s20N+iDbQuoWbwFuajmOook0WHFoKLGhVUn5T3ox&#10;4Y3xMYvXnylNp3iK15vf/ex8qJUa9LuPdxCeOv88fqR3WkEcz+B/TCC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0mvkxQAAANwAAAAPAAAAAAAAAAAAAAAAAJgCAABkcnMv&#10;ZG93bnJldi54bWxQSwUGAAAAAAQABAD1AAAAigMAAAAA&#10;" filled="f">
              <v:textbox>
                <w:txbxContent>
                  <w:p w:rsidR="007817FA" w:rsidRPr="00E765F8" w:rsidRDefault="007817FA" w:rsidP="007817FA">
                    <w:pPr>
                      <w:ind w:rightChars="-34" w:right="-82"/>
                      <w:jc w:val="both"/>
                      <w:rPr>
                        <w:rFonts w:eastAsia="標楷體" w:hAnsi="標楷體"/>
                        <w:snapToGrid w:val="0"/>
                        <w:color w:val="000000"/>
                      </w:rPr>
                    </w:pPr>
                    <w:r w:rsidRPr="00E765F8">
                      <w:rPr>
                        <w:rFonts w:eastAsia="標楷體" w:hAnsi="標楷體" w:hint="eastAsia"/>
                        <w:snapToGrid w:val="0"/>
                        <w:color w:val="000000"/>
                      </w:rPr>
                      <w:t>銷售機構揭露費率項目內容，其方式有下：</w:t>
                    </w:r>
                  </w:p>
                  <w:p w:rsidR="007817FA" w:rsidRPr="00E765F8" w:rsidRDefault="007817FA" w:rsidP="007817FA">
                    <w:pPr>
                      <w:ind w:rightChars="-34" w:right="-82"/>
                      <w:jc w:val="both"/>
                      <w:rPr>
                        <w:rFonts w:eastAsia="標楷體" w:hAnsi="標楷體"/>
                        <w:snapToGrid w:val="0"/>
                        <w:color w:val="000000"/>
                      </w:rPr>
                    </w:pPr>
                    <w:r w:rsidRPr="00E765F8">
                      <w:rPr>
                        <w:rFonts w:eastAsia="標楷體" w:hAnsi="標楷體" w:hint="eastAsia"/>
                        <w:snapToGrid w:val="0"/>
                        <w:color w:val="000000"/>
                      </w:rPr>
                      <w:t>1.</w:t>
                    </w:r>
                    <w:r w:rsidRPr="00E765F8">
                      <w:rPr>
                        <w:rFonts w:eastAsia="標楷體" w:hAnsi="標楷體" w:hint="eastAsia"/>
                        <w:snapToGrid w:val="0"/>
                        <w:color w:val="000000"/>
                      </w:rPr>
                      <w:t>網站</w:t>
                    </w:r>
                  </w:p>
                  <w:p w:rsidR="007817FA" w:rsidRPr="00E765F8" w:rsidRDefault="007817FA" w:rsidP="007817FA">
                    <w:pPr>
                      <w:ind w:rightChars="-34" w:right="-82"/>
                      <w:jc w:val="both"/>
                      <w:rPr>
                        <w:rFonts w:eastAsia="標楷體" w:hAnsi="標楷體"/>
                        <w:snapToGrid w:val="0"/>
                        <w:color w:val="000000"/>
                      </w:rPr>
                    </w:pPr>
                    <w:r w:rsidRPr="00E765F8">
                      <w:rPr>
                        <w:rFonts w:eastAsia="標楷體" w:hAnsi="標楷體" w:hint="eastAsia"/>
                        <w:snapToGrid w:val="0"/>
                        <w:color w:val="000000"/>
                      </w:rPr>
                      <w:t>2.</w:t>
                    </w:r>
                    <w:r w:rsidRPr="00E765F8">
                      <w:rPr>
                        <w:rFonts w:eastAsia="標楷體" w:hAnsi="標楷體" w:hint="eastAsia"/>
                        <w:snapToGrid w:val="0"/>
                        <w:color w:val="000000"/>
                      </w:rPr>
                      <w:t>傳真或</w:t>
                    </w:r>
                    <w:r w:rsidRPr="00E765F8">
                      <w:rPr>
                        <w:rFonts w:eastAsia="標楷體" w:hAnsi="標楷體" w:hint="eastAsia"/>
                        <w:snapToGrid w:val="0"/>
                        <w:color w:val="000000"/>
                      </w:rPr>
                      <w:t>e-mail</w:t>
                    </w:r>
                  </w:p>
                  <w:p w:rsidR="007817FA" w:rsidRPr="0087278D" w:rsidRDefault="007817FA" w:rsidP="007817FA">
                    <w:pPr>
                      <w:ind w:rightChars="-34" w:right="-82"/>
                      <w:jc w:val="both"/>
                      <w:rPr>
                        <w:rFonts w:eastAsia="標楷體" w:hAnsi="標楷體"/>
                        <w:snapToGrid w:val="0"/>
                        <w:color w:val="000000"/>
                      </w:rPr>
                    </w:pPr>
                    <w:r w:rsidRPr="00E765F8">
                      <w:rPr>
                        <w:rFonts w:eastAsia="標楷體" w:hAnsi="標楷體" w:hint="eastAsia"/>
                        <w:snapToGrid w:val="0"/>
                        <w:color w:val="000000"/>
                      </w:rPr>
                      <w:t>3.</w:t>
                    </w:r>
                    <w:r w:rsidRPr="00E765F8">
                      <w:rPr>
                        <w:rFonts w:eastAsia="標楷體" w:hAnsi="標楷體" w:hint="eastAsia"/>
                        <w:snapToGrid w:val="0"/>
                        <w:color w:val="000000"/>
                      </w:rPr>
                      <w:t>其他</w:t>
                    </w:r>
                  </w:p>
                </w:txbxContent>
              </v:textbox>
            </v:shape>
            <v:line id="直線接點 340" o:spid="_x0000_s1081" style="position:absolute;visibility:visible" from="4818491,3586039" to="5236321,3586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8Ha8IAAADcAAAADwAAAGRycy9kb3ducmV2LnhtbERPz2vCMBS+C/4P4Q1201Q35uyMIhZh&#10;BzdQh+dn89aUNS+liTX+9+Yg7Pjx/V6som1ET52vHSuYjDMQxKXTNVcKfo7b0TsIH5A1No5JwY08&#10;rJbDwQJz7a68p/4QKpFC2OeowITQ5lL60pBFP3YtceJ+XWcxJNhVUnd4TeG2kdMse5MWa04NBlva&#10;GCr/DherYGaKvZzJYnf8Lvp6Mo9f8XSeK/X8FNcfIALF8C9+uD+1gpfXND+dSUdAL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W8Ha8IAAADcAAAADwAAAAAAAAAAAAAA&#10;AAChAgAAZHJzL2Rvd25yZXYueG1sUEsFBgAAAAAEAAQA+QAAAJADAAAAAA==&#10;">
              <v:stroke endarrow="block"/>
            </v:line>
            <v:shape id="文字方塊 2" o:spid="_x0000_s1082" type="#_x0000_t202" style="position:absolute;left:5255812;top:2949934;width:1041400;height:15024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Un8YA&#10;AADcAAAADwAAAGRycy9kb3ducmV2LnhtbESPS2/CMBCE75X6H6ytxK04kIpHikGIh8QRwqPXbbwk&#10;UeN1FBtI+fV1JSSOo9n5Zmcya00lrtS40rKCXjcCQZxZXXKu4LBfv49AOI+ssbJMCn7JwWz6+jLB&#10;RNsb7+ia+lwECLsEFRTe14mULivIoOvamjh4Z9sY9EE2udQN3gLcVLIfRQNpsOTQUGBNi4Kyn/Ri&#10;whv9r0O83KY0HOJ3vFzdj+PzqVKq89bOP0F4av3z+JHeaAXxRw/+xwQC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IUn8YAAADcAAAADwAAAAAAAAAAAAAAAACYAgAAZHJz&#10;L2Rvd25yZXYueG1sUEsFBgAAAAAEAAQA9QAAAIsDAAAAAA==&#10;" filled="f">
              <v:textbox>
                <w:txbxContent>
                  <w:p w:rsidR="007817FA" w:rsidRPr="0087278D" w:rsidRDefault="007817FA" w:rsidP="007817FA">
                    <w:pPr>
                      <w:ind w:rightChars="-34" w:right="-82"/>
                      <w:jc w:val="both"/>
                      <w:rPr>
                        <w:rFonts w:ascii="標楷體" w:eastAsia="標楷體" w:hAnsi="標楷體"/>
                      </w:rPr>
                    </w:pPr>
                    <w:r w:rsidRPr="00414051">
                      <w:rPr>
                        <w:rFonts w:eastAsia="標楷體" w:hAnsi="標楷體" w:hint="eastAsia"/>
                        <w:snapToGrid w:val="0"/>
                        <w:color w:val="000000"/>
                      </w:rPr>
                      <w:t>投資人結束電話、</w:t>
                    </w:r>
                    <w:r w:rsidRPr="00414051">
                      <w:rPr>
                        <w:rFonts w:eastAsia="標楷體" w:hAnsi="標楷體" w:hint="eastAsia"/>
                        <w:snapToGrid w:val="0"/>
                        <w:color w:val="000000"/>
                      </w:rPr>
                      <w:t>ATM</w:t>
                    </w:r>
                    <w:r w:rsidRPr="00414051">
                      <w:rPr>
                        <w:rFonts w:eastAsia="標楷體" w:hAnsi="標楷體" w:hint="eastAsia"/>
                        <w:snapToGrid w:val="0"/>
                        <w:color w:val="000000"/>
                      </w:rPr>
                      <w:t>或行動銀行操作以了解內容並待下次交易</w:t>
                    </w:r>
                  </w:p>
                </w:txbxContent>
              </v:textbox>
            </v:shape>
          </v:group>
        </w:pict>
      </w: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Pr="009122EF" w:rsidRDefault="007817FA">
      <w:pPr>
        <w:rPr>
          <w:rFonts w:ascii="標楷體" w:eastAsia="標楷體" w:hAnsi="標楷體"/>
          <w:sz w:val="26"/>
        </w:rPr>
      </w:pPr>
    </w:p>
    <w:p w:rsidR="003E2930" w:rsidRPr="009122EF" w:rsidRDefault="003E2930">
      <w:pPr>
        <w:rPr>
          <w:rFonts w:ascii="標楷體" w:eastAsia="標楷體" w:hAnsi="標楷體"/>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7817FA" w:rsidRDefault="007817FA">
      <w:pPr>
        <w:rPr>
          <w:rFonts w:ascii="標楷體" w:eastAsia="標楷體" w:hAnsi="標楷體" w:hint="eastAsia"/>
          <w:sz w:val="26"/>
        </w:rPr>
      </w:pPr>
    </w:p>
    <w:p w:rsidR="003E2930" w:rsidRPr="009122EF" w:rsidRDefault="003E2930" w:rsidP="00170C7F">
      <w:pPr>
        <w:ind w:left="567" w:hangingChars="218" w:hanging="567"/>
        <w:rPr>
          <w:rFonts w:ascii="標楷體" w:eastAsia="標楷體" w:hAnsi="標楷體"/>
          <w:sz w:val="26"/>
        </w:rPr>
      </w:pPr>
      <w:r w:rsidRPr="009122EF">
        <w:rPr>
          <w:rFonts w:ascii="標楷體" w:eastAsia="標楷體" w:hAnsi="標楷體"/>
          <w:sz w:val="26"/>
        </w:rPr>
        <w:t>七、代銷機構（銷售機構所屬投資人係與證券投資信託事業或總代理人簽訂開戶契約，且對</w:t>
      </w:r>
      <w:proofErr w:type="gramStart"/>
      <w:r w:rsidRPr="009122EF">
        <w:rPr>
          <w:rFonts w:ascii="標楷體" w:eastAsia="標楷體" w:hAnsi="標楷體"/>
          <w:sz w:val="26"/>
        </w:rPr>
        <w:t>帳單</w:t>
      </w:r>
      <w:proofErr w:type="gramEnd"/>
      <w:r w:rsidRPr="009122EF">
        <w:rPr>
          <w:rFonts w:ascii="標楷體" w:eastAsia="標楷體" w:hAnsi="標楷體"/>
          <w:sz w:val="26"/>
        </w:rPr>
        <w:t>亦由證券投資信託事業或總代理人寄送）所屬投資人嗣後改至證券投資信託事業或總代理人之網路平台申購，證券投資信託事業或總代理人仍將其視為代銷機構所屬投資人，代銷機構應如何辦理申購前之通路報酬揭露？</w:t>
      </w:r>
    </w:p>
    <w:p w:rsidR="003E2930" w:rsidRPr="00170C7F" w:rsidRDefault="003E2930">
      <w:pPr>
        <w:rPr>
          <w:rFonts w:ascii="標楷體" w:eastAsia="標楷體" w:hAnsi="標楷體"/>
          <w:sz w:val="26"/>
        </w:rPr>
      </w:pPr>
    </w:p>
    <w:p w:rsidR="00703053" w:rsidRDefault="003E2930" w:rsidP="00703053">
      <w:pPr>
        <w:rPr>
          <w:rFonts w:ascii="標楷體" w:eastAsia="標楷體" w:hAnsi="標楷體" w:hint="eastAsia"/>
          <w:sz w:val="26"/>
        </w:rPr>
      </w:pPr>
      <w:r w:rsidRPr="009122EF">
        <w:rPr>
          <w:rFonts w:ascii="標楷體" w:eastAsia="標楷體" w:hAnsi="標楷體"/>
          <w:sz w:val="26"/>
        </w:rPr>
        <w:t>說明：</w:t>
      </w:r>
    </w:p>
    <w:p w:rsidR="003E2930" w:rsidRPr="009122EF" w:rsidRDefault="003E2930" w:rsidP="00A069D7">
      <w:pPr>
        <w:rPr>
          <w:rFonts w:ascii="標楷體" w:eastAsia="標楷體" w:hAnsi="標楷體"/>
          <w:sz w:val="26"/>
        </w:rPr>
      </w:pPr>
      <w:r w:rsidRPr="009122EF">
        <w:rPr>
          <w:rFonts w:ascii="標楷體" w:eastAsia="標楷體" w:hAnsi="標楷體"/>
          <w:sz w:val="26"/>
        </w:rPr>
        <w:t>證券投資信託事業或總代理人以委任代銷型態方式銷售，投資人至證券資信託事業或總代理人處以網路方式下單交易，而仍列為銷售機構所屬投資人且有通路報酬之分成者，辦理方式如下：</w:t>
      </w:r>
    </w:p>
    <w:p w:rsidR="003E2930" w:rsidRPr="009122EF" w:rsidRDefault="003E2930" w:rsidP="00A069D7">
      <w:pPr>
        <w:rPr>
          <w:rFonts w:ascii="標楷體" w:eastAsia="標楷體" w:hAnsi="標楷體"/>
          <w:sz w:val="26"/>
        </w:rPr>
      </w:pPr>
      <w:r w:rsidRPr="009122EF">
        <w:rPr>
          <w:rFonts w:ascii="標楷體" w:eastAsia="標楷體" w:hAnsi="標楷體"/>
          <w:sz w:val="26"/>
        </w:rPr>
        <w:lastRenderedPageBreak/>
        <w:t>（一）投資人至證券投資信託事業或總代理人處透過網路平台下單時，證券投資信託事業或總代理人將提供</w:t>
      </w:r>
      <w:proofErr w:type="gramStart"/>
      <w:r w:rsidRPr="009122EF">
        <w:rPr>
          <w:rFonts w:ascii="標楷體" w:eastAsia="標楷體" w:hAnsi="標楷體"/>
          <w:sz w:val="26"/>
        </w:rPr>
        <w:t>一</w:t>
      </w:r>
      <w:proofErr w:type="gramEnd"/>
      <w:r w:rsidRPr="009122EF">
        <w:rPr>
          <w:rFonts w:ascii="標楷體" w:eastAsia="標楷體" w:hAnsi="標楷體"/>
          <w:sz w:val="26"/>
        </w:rPr>
        <w:t>連結訊息，若投資人係銷售機構所屬投資人，可自行透過該連結網址查詢銷售機構公告相關資訊的網址及其他服務方式，並自行聯繫銷售機構或瀏覽相關訊息。</w:t>
      </w:r>
    </w:p>
    <w:p w:rsidR="00DA5A69" w:rsidRDefault="003E2930" w:rsidP="00A069D7">
      <w:pPr>
        <w:ind w:leftChars="33" w:left="79"/>
        <w:rPr>
          <w:rFonts w:ascii="標楷體" w:eastAsia="標楷體" w:hAnsi="標楷體" w:hint="eastAsia"/>
          <w:sz w:val="26"/>
        </w:rPr>
      </w:pPr>
      <w:r w:rsidRPr="009122EF">
        <w:rPr>
          <w:rFonts w:ascii="標楷體" w:eastAsia="標楷體" w:hAnsi="標楷體"/>
          <w:sz w:val="26"/>
        </w:rPr>
        <w:t>（二）投資人點選進入連結網址，</w:t>
      </w:r>
      <w:proofErr w:type="gramStart"/>
      <w:r w:rsidRPr="009122EF">
        <w:rPr>
          <w:rFonts w:ascii="標楷體" w:eastAsia="標楷體" w:hAnsi="標楷體"/>
          <w:sz w:val="26"/>
        </w:rPr>
        <w:t>嗣</w:t>
      </w:r>
      <w:proofErr w:type="gramEnd"/>
      <w:r w:rsidRPr="009122EF">
        <w:rPr>
          <w:rFonts w:ascii="標楷體" w:eastAsia="標楷體" w:hAnsi="標楷體"/>
          <w:sz w:val="26"/>
        </w:rPr>
        <w:t>投資人已聯繫銷售機構或瀏覽相關訊息或事先業已知悉通路報酬項目及內容者，須於網路交易流程確認已知悉通路報酬項目及內容，方得進行下一步申購交易。</w:t>
      </w:r>
    </w:p>
    <w:p w:rsidR="003E2930" w:rsidRPr="009122EF" w:rsidRDefault="003E2930" w:rsidP="00A069D7">
      <w:pPr>
        <w:ind w:leftChars="33" w:left="79"/>
        <w:rPr>
          <w:rFonts w:ascii="標楷體" w:eastAsia="標楷體" w:hAnsi="標楷體"/>
          <w:sz w:val="26"/>
        </w:rPr>
      </w:pPr>
      <w:r w:rsidRPr="009122EF">
        <w:rPr>
          <w:rFonts w:ascii="標楷體" w:eastAsia="標楷體" w:hAnsi="標楷體"/>
          <w:sz w:val="26"/>
        </w:rPr>
        <w:t>（三）證券投資信託事業或總代理人必須留存確認投資人已知悉通路報酬項目及內容之稽核軌跡。</w:t>
      </w:r>
    </w:p>
    <w:p w:rsidR="003E2930" w:rsidRPr="00A069D7"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八、就本施行要點第六條揭露內容變動之通知，應如何適用？</w:t>
      </w:r>
    </w:p>
    <w:p w:rsidR="003E2930" w:rsidRPr="009122EF" w:rsidRDefault="003E2930">
      <w:pPr>
        <w:rPr>
          <w:rFonts w:ascii="標楷體" w:eastAsia="標楷體" w:hAnsi="標楷體"/>
          <w:sz w:val="26"/>
        </w:rPr>
      </w:pPr>
    </w:p>
    <w:p w:rsidR="003E2930" w:rsidRPr="009122EF" w:rsidRDefault="003E2930">
      <w:pPr>
        <w:rPr>
          <w:rFonts w:ascii="標楷體" w:eastAsia="標楷體" w:hAnsi="標楷體"/>
          <w:sz w:val="26"/>
        </w:rPr>
      </w:pPr>
      <w:r w:rsidRPr="009122EF">
        <w:rPr>
          <w:rFonts w:ascii="標楷體" w:eastAsia="標楷體" w:hAnsi="標楷體"/>
          <w:sz w:val="26"/>
        </w:rPr>
        <w:t>說明：</w:t>
      </w:r>
    </w:p>
    <w:p w:rsidR="003E2930" w:rsidRPr="009122EF" w:rsidRDefault="003E2930" w:rsidP="00A069D7">
      <w:pPr>
        <w:ind w:leftChars="8" w:left="19"/>
        <w:rPr>
          <w:rFonts w:ascii="標楷體" w:eastAsia="標楷體" w:hAnsi="標楷體"/>
          <w:sz w:val="26"/>
        </w:rPr>
      </w:pPr>
      <w:r w:rsidRPr="009122EF">
        <w:rPr>
          <w:rFonts w:ascii="標楷體" w:eastAsia="標楷體" w:hAnsi="標楷體"/>
          <w:sz w:val="26"/>
        </w:rPr>
        <w:t>（一）有關修正銷售契約約定涉及通路報酬變動、總代理人或銷售機構適用之費率級距變動或產品說明會、員工教育訓練年度贊助費用及其他報酬達揭露門檻，致銷售機構就個別基金收受之通路報酬變動者，其變動之發生可能於當月任何時點，為明確作業流程，</w:t>
      </w:r>
      <w:proofErr w:type="gramStart"/>
      <w:r w:rsidRPr="009122EF">
        <w:rPr>
          <w:rFonts w:ascii="標楷體" w:eastAsia="標楷體" w:hAnsi="標楷體"/>
          <w:sz w:val="26"/>
        </w:rPr>
        <w:t>爰</w:t>
      </w:r>
      <w:proofErr w:type="gramEnd"/>
      <w:r w:rsidRPr="009122EF">
        <w:rPr>
          <w:rFonts w:ascii="標楷體" w:eastAsia="標楷體" w:hAnsi="標楷體"/>
          <w:sz w:val="26"/>
        </w:rPr>
        <w:t>明定於變動後次月月底前通知。</w:t>
      </w:r>
    </w:p>
    <w:p w:rsidR="003E2930" w:rsidRPr="009122EF" w:rsidRDefault="003E2930" w:rsidP="00A069D7">
      <w:pPr>
        <w:ind w:left="-2"/>
        <w:rPr>
          <w:rFonts w:ascii="標楷體" w:eastAsia="標楷體" w:hAnsi="標楷體"/>
          <w:sz w:val="26"/>
        </w:rPr>
      </w:pPr>
      <w:r w:rsidRPr="009122EF">
        <w:rPr>
          <w:rFonts w:ascii="標楷體" w:eastAsia="標楷體" w:hAnsi="標楷體"/>
          <w:sz w:val="26"/>
        </w:rPr>
        <w:t>（二）變動通知若</w:t>
      </w:r>
      <w:proofErr w:type="gramStart"/>
      <w:r w:rsidRPr="009122EF">
        <w:rPr>
          <w:rFonts w:ascii="標楷體" w:eastAsia="標楷體" w:hAnsi="標楷體"/>
          <w:sz w:val="26"/>
        </w:rPr>
        <w:t>採</w:t>
      </w:r>
      <w:proofErr w:type="gramEnd"/>
      <w:r w:rsidRPr="009122EF">
        <w:rPr>
          <w:rFonts w:ascii="標楷體" w:eastAsia="標楷體" w:hAnsi="標楷體"/>
          <w:sz w:val="26"/>
        </w:rPr>
        <w:t>網頁公告方式，無須事前經投資人同意，惟亦可於事前告知之揭露表單附註「未來若相關通路報酬變動將於本公司（銀行）網頁上公告」，且通知對象不限於特定持有基金之投資人。</w:t>
      </w:r>
    </w:p>
    <w:p w:rsidR="003E2930" w:rsidRPr="00A069D7" w:rsidRDefault="003E2930">
      <w:pPr>
        <w:rPr>
          <w:rFonts w:ascii="標楷體" w:eastAsia="標楷體" w:hAnsi="標楷體"/>
          <w:sz w:val="26"/>
        </w:rPr>
      </w:pPr>
    </w:p>
    <w:p w:rsidR="003E2930" w:rsidRPr="009122EF" w:rsidRDefault="003E2930" w:rsidP="00A069D7">
      <w:pPr>
        <w:ind w:left="2"/>
        <w:rPr>
          <w:rFonts w:ascii="標楷體" w:eastAsia="標楷體" w:hAnsi="標楷體"/>
          <w:sz w:val="26"/>
        </w:rPr>
      </w:pPr>
      <w:r w:rsidRPr="009122EF">
        <w:rPr>
          <w:rFonts w:ascii="標楷體" w:eastAsia="標楷體" w:hAnsi="標楷體"/>
          <w:sz w:val="26"/>
        </w:rPr>
        <w:t>九、</w:t>
      </w:r>
      <w:proofErr w:type="gramStart"/>
      <w:r w:rsidRPr="009122EF">
        <w:rPr>
          <w:rFonts w:ascii="標楷體" w:eastAsia="標楷體" w:hAnsi="標楷體"/>
          <w:sz w:val="26"/>
        </w:rPr>
        <w:t>爰</w:t>
      </w:r>
      <w:proofErr w:type="gramEnd"/>
      <w:r w:rsidRPr="009122EF">
        <w:rPr>
          <w:rFonts w:ascii="標楷體" w:eastAsia="標楷體" w:hAnsi="標楷體"/>
          <w:sz w:val="26"/>
        </w:rPr>
        <w:t>境外基金管理辦法及證券投資信託事業募集證券投資信託基金處理準則，有關銷售機構及其人員辦理基金銷售業務，不得向境外基金機構、總代理人或證券投資信託事業收取銷售契約約定以外之報酬、費用或其他利益之規定乙事，就銷售機構與基金公司之銷售契約，其回覆作業方式應如何進行？</w:t>
      </w:r>
    </w:p>
    <w:p w:rsidR="003E2930" w:rsidRPr="00A069D7" w:rsidRDefault="003E2930">
      <w:pPr>
        <w:rPr>
          <w:rFonts w:ascii="標楷體" w:eastAsia="標楷體" w:hAnsi="標楷體"/>
          <w:sz w:val="26"/>
        </w:rPr>
      </w:pPr>
    </w:p>
    <w:p w:rsidR="00DA5A69" w:rsidRDefault="003E2930" w:rsidP="00DA5A69">
      <w:pPr>
        <w:rPr>
          <w:rFonts w:ascii="標楷體" w:eastAsia="標楷體" w:hAnsi="標楷體" w:hint="eastAsia"/>
          <w:sz w:val="26"/>
        </w:rPr>
      </w:pPr>
      <w:r w:rsidRPr="009122EF">
        <w:rPr>
          <w:rFonts w:ascii="標楷體" w:eastAsia="標楷體" w:hAnsi="標楷體"/>
          <w:sz w:val="26"/>
        </w:rPr>
        <w:t>說明：</w:t>
      </w:r>
    </w:p>
    <w:p w:rsidR="003E2930" w:rsidRPr="009122EF" w:rsidRDefault="003E2930" w:rsidP="00A069D7">
      <w:pPr>
        <w:rPr>
          <w:rFonts w:ascii="標楷體" w:eastAsia="標楷體" w:hAnsi="標楷體"/>
          <w:sz w:val="26"/>
        </w:rPr>
      </w:pPr>
      <w:r w:rsidRPr="009122EF">
        <w:rPr>
          <w:rFonts w:ascii="標楷體" w:eastAsia="標楷體" w:hAnsi="標楷體"/>
          <w:sz w:val="26"/>
        </w:rPr>
        <w:t>有關通路報酬方式之約定，考量基金公司與銷售機構間對於通路報酬之項目、費率／金額條件等已有固定往來模式，銷售契約及其增補契約應載明通路報酬之項目及費率／金額條件，若無法確定費率／金額條件者，可約定嗣後以一方發文要約，另一方回覆承諾與否之換文方式約定費率／金額條件。</w:t>
      </w:r>
      <w:proofErr w:type="gramStart"/>
      <w:r w:rsidRPr="009122EF">
        <w:rPr>
          <w:rFonts w:ascii="標楷體" w:eastAsia="標楷體" w:hAnsi="標楷體"/>
          <w:sz w:val="26"/>
        </w:rPr>
        <w:t>另</w:t>
      </w:r>
      <w:proofErr w:type="gramEnd"/>
      <w:r w:rsidRPr="009122EF">
        <w:rPr>
          <w:rFonts w:ascii="標楷體" w:eastAsia="標楷體" w:hAnsi="標楷體"/>
          <w:sz w:val="26"/>
        </w:rPr>
        <w:t>，就另一方回覆承諾之方式，應以金融機構間雙方約定或依內部授權，選擇以書面、電子郵件等方式以回覆承諾他方之要約。</w:t>
      </w:r>
    </w:p>
    <w:p w:rsidR="00A069D7" w:rsidRDefault="00A069D7">
      <w:pPr>
        <w:rPr>
          <w:rFonts w:ascii="標楷體" w:eastAsia="標楷體" w:hAnsi="標楷體" w:hint="eastAsia"/>
          <w:sz w:val="26"/>
          <w:bdr w:val="single" w:sz="4" w:space="0" w:color="auto"/>
        </w:rPr>
      </w:pPr>
    </w:p>
    <w:p w:rsidR="00D90D0C" w:rsidRDefault="00D90D0C">
      <w:pPr>
        <w:rPr>
          <w:rFonts w:ascii="標楷體" w:eastAsia="標楷體" w:hAnsi="標楷體" w:hint="eastAsia"/>
          <w:sz w:val="26"/>
          <w:bdr w:val="single" w:sz="4" w:space="0" w:color="auto"/>
        </w:rPr>
      </w:pPr>
    </w:p>
    <w:p w:rsidR="00D90D0C" w:rsidRDefault="00D90D0C">
      <w:pPr>
        <w:rPr>
          <w:rFonts w:ascii="標楷體" w:eastAsia="標楷體" w:hAnsi="標楷體" w:hint="eastAsia"/>
          <w:sz w:val="26"/>
          <w:bdr w:val="single" w:sz="4" w:space="0" w:color="auto"/>
        </w:rPr>
      </w:pPr>
    </w:p>
    <w:tbl>
      <w:tblPr>
        <w:tblpPr w:leftFromText="180" w:rightFromText="180" w:vertAnchor="text" w:horzAnchor="margin" w:tblpXSpec="center"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8696"/>
      </w:tblGrid>
      <w:tr w:rsidR="00D90D0C" w:rsidRPr="00D90D0C" w:rsidTr="00573A56">
        <w:trPr>
          <w:trHeight w:val="438"/>
        </w:trPr>
        <w:tc>
          <w:tcPr>
            <w:tcW w:w="9720" w:type="dxa"/>
          </w:tcPr>
          <w:p w:rsidR="00D90D0C" w:rsidRPr="00D90D0C" w:rsidRDefault="00D90D0C" w:rsidP="00D90D0C">
            <w:pPr>
              <w:widowControl w:val="0"/>
              <w:spacing w:afterLines="50" w:line="400" w:lineRule="exact"/>
              <w:jc w:val="both"/>
              <w:rPr>
                <w:rFonts w:ascii="標楷體" w:eastAsia="標楷體" w:hAnsi="標楷體"/>
                <w:b/>
                <w:bCs/>
                <w:kern w:val="2"/>
              </w:rPr>
            </w:pPr>
            <w:r w:rsidRPr="00D90D0C">
              <w:rPr>
                <w:rFonts w:ascii="標楷體" w:eastAsia="標楷體" w:hAnsi="標楷體" w:hint="eastAsia"/>
                <w:b/>
                <w:bCs/>
                <w:kern w:val="2"/>
              </w:rPr>
              <w:lastRenderedPageBreak/>
              <w:t>各銷售機構若有關於基金通路報酬揭露事宜之相關意見及建議，敬請先洽各相關公會詢問。</w:t>
            </w:r>
          </w:p>
        </w:tc>
      </w:tr>
    </w:tbl>
    <w:p w:rsidR="00337FF2" w:rsidRPr="00D90D0C" w:rsidRDefault="00337FF2">
      <w:pPr>
        <w:rPr>
          <w:rFonts w:ascii="標楷體" w:eastAsia="標楷體" w:hAnsi="標楷體"/>
          <w:sz w:val="26"/>
        </w:rPr>
      </w:pPr>
    </w:p>
    <w:p w:rsidR="00337FF2" w:rsidRPr="00337FF2" w:rsidRDefault="00337FF2" w:rsidP="00337FF2">
      <w:pPr>
        <w:rPr>
          <w:rFonts w:ascii="標楷體" w:eastAsia="標楷體" w:hAnsi="標楷體"/>
          <w:b/>
          <w:color w:val="000000"/>
          <w:kern w:val="2"/>
        </w:rPr>
      </w:pPr>
      <w:r>
        <w:rPr>
          <w:rFonts w:ascii="標楷體" w:eastAsia="標楷體" w:hAnsi="標楷體"/>
          <w:sz w:val="26"/>
        </w:rPr>
        <w:br w:type="page"/>
      </w:r>
      <w:r w:rsidRPr="00337FF2">
        <w:rPr>
          <w:rFonts w:ascii="標楷體" w:eastAsia="標楷體" w:hAnsi="標楷體" w:hint="eastAsia"/>
          <w:b/>
          <w:color w:val="000000"/>
          <w:kern w:val="2"/>
        </w:rPr>
        <w:lastRenderedPageBreak/>
        <w:t>通路報酬揭露格式範本（自109年1月1日起施行）</w:t>
      </w:r>
    </w:p>
    <w:p w:rsidR="00337FF2" w:rsidRPr="00337FF2" w:rsidRDefault="00337FF2" w:rsidP="00337FF2">
      <w:pPr>
        <w:widowControl w:val="0"/>
        <w:snapToGrid w:val="0"/>
        <w:spacing w:line="264" w:lineRule="auto"/>
        <w:rPr>
          <w:rFonts w:ascii="標楷體" w:eastAsia="標楷體" w:hAnsi="標楷體"/>
          <w:b/>
          <w:color w:val="000000"/>
          <w:kern w:val="2"/>
        </w:rPr>
      </w:pPr>
    </w:p>
    <w:p w:rsidR="00337FF2" w:rsidRPr="00337FF2" w:rsidRDefault="00337FF2" w:rsidP="00337FF2">
      <w:pPr>
        <w:widowControl w:val="0"/>
        <w:snapToGrid w:val="0"/>
        <w:spacing w:line="264" w:lineRule="auto"/>
        <w:rPr>
          <w:rFonts w:ascii="標楷體" w:eastAsia="標楷體" w:hAnsi="標楷體"/>
          <w:b/>
          <w:color w:val="000000"/>
          <w:kern w:val="2"/>
        </w:rPr>
      </w:pPr>
      <w:r w:rsidRPr="00337FF2">
        <w:rPr>
          <w:rFonts w:ascii="標楷體" w:eastAsia="標楷體" w:hAnsi="標楷體" w:hint="eastAsia"/>
          <w:b/>
          <w:color w:val="000000"/>
          <w:kern w:val="2"/>
        </w:rPr>
        <w:t>本銀行銷售</w:t>
      </w:r>
      <w:proofErr w:type="gramStart"/>
      <w:r w:rsidRPr="00337FF2">
        <w:rPr>
          <w:rFonts w:ascii="標楷體" w:eastAsia="標楷體" w:hAnsi="標楷體" w:hint="eastAsia"/>
          <w:b/>
          <w:color w:val="000000"/>
          <w:kern w:val="2"/>
          <w:shd w:val="pct15" w:color="auto" w:fill="FFFFFF"/>
        </w:rPr>
        <w:t>ＯＯ</w:t>
      </w:r>
      <w:proofErr w:type="gramEnd"/>
      <w:r w:rsidRPr="00337FF2">
        <w:rPr>
          <w:rFonts w:ascii="標楷體" w:eastAsia="標楷體" w:hAnsi="標楷體" w:hint="eastAsia"/>
          <w:b/>
          <w:color w:val="000000"/>
          <w:kern w:val="2"/>
        </w:rPr>
        <w:t>投信「</w:t>
      </w:r>
      <w:proofErr w:type="gramStart"/>
      <w:r w:rsidRPr="00337FF2">
        <w:rPr>
          <w:rFonts w:ascii="標楷體" w:eastAsia="標楷體" w:hAnsi="標楷體" w:hint="eastAsia"/>
          <w:b/>
          <w:color w:val="000000"/>
          <w:kern w:val="2"/>
          <w:shd w:val="pct15" w:color="auto" w:fill="FFFFFF"/>
        </w:rPr>
        <w:t>ＯＯ</w:t>
      </w:r>
      <w:proofErr w:type="gramEnd"/>
      <w:r w:rsidRPr="00337FF2">
        <w:rPr>
          <w:rFonts w:ascii="標楷體" w:eastAsia="標楷體" w:hAnsi="標楷體" w:hint="eastAsia"/>
          <w:b/>
          <w:color w:val="000000"/>
          <w:kern w:val="2"/>
        </w:rPr>
        <w:t>證券投資信託基金」（或附表所列基金）所收取之通路報酬如下：</w:t>
      </w:r>
      <w:r w:rsidRPr="00337FF2">
        <w:rPr>
          <w:rFonts w:ascii="標楷體" w:eastAsia="標楷體" w:hAnsi="標楷體"/>
          <w:b/>
          <w:color w:val="000000"/>
          <w:kern w:val="2"/>
        </w:rPr>
        <w:t xml:space="preserve"> </w:t>
      </w:r>
    </w:p>
    <w:p w:rsidR="00337FF2" w:rsidRPr="00337FF2" w:rsidRDefault="00337FF2" w:rsidP="00337FF2">
      <w:pPr>
        <w:widowControl w:val="0"/>
        <w:rPr>
          <w:rFonts w:ascii="標楷體" w:eastAsia="標楷體" w:hAnsi="標楷體"/>
          <w:b/>
          <w:color w:val="000000"/>
          <w:kern w:val="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654"/>
      </w:tblGrid>
      <w:tr w:rsidR="00337FF2" w:rsidRPr="00337FF2" w:rsidTr="007B4535">
        <w:tc>
          <w:tcPr>
            <w:tcW w:w="9639" w:type="dxa"/>
            <w:gridSpan w:val="2"/>
            <w:tcBorders>
              <w:top w:val="single" w:sz="18" w:space="0" w:color="auto"/>
              <w:left w:val="single" w:sz="18" w:space="0" w:color="auto"/>
              <w:right w:val="single" w:sz="18" w:space="0" w:color="auto"/>
            </w:tcBorders>
          </w:tcPr>
          <w:p w:rsidR="00337FF2" w:rsidRPr="00337FF2" w:rsidRDefault="00337FF2" w:rsidP="00337FF2">
            <w:pPr>
              <w:widowControl w:val="0"/>
              <w:adjustRightInd w:val="0"/>
              <w:snapToGrid w:val="0"/>
              <w:rPr>
                <w:rFonts w:ascii="標楷體" w:eastAsia="標楷體" w:hAnsi="標楷體"/>
                <w:b/>
                <w:color w:val="000000"/>
                <w:kern w:val="2"/>
                <w:szCs w:val="28"/>
              </w:rPr>
            </w:pPr>
            <w:proofErr w:type="gramStart"/>
            <w:r w:rsidRPr="00337FF2">
              <w:rPr>
                <w:rFonts w:ascii="標楷體" w:eastAsia="標楷體" w:hAnsi="標楷體" w:hint="eastAsia"/>
                <w:b/>
                <w:color w:val="000000"/>
                <w:kern w:val="2"/>
                <w:szCs w:val="28"/>
              </w:rPr>
              <w:t>ㄧ</w:t>
            </w:r>
            <w:proofErr w:type="gramEnd"/>
            <w:r w:rsidRPr="00337FF2">
              <w:rPr>
                <w:rFonts w:ascii="標楷體" w:eastAsia="標楷體" w:hAnsi="標楷體" w:hint="eastAsia"/>
                <w:b/>
                <w:color w:val="000000"/>
                <w:kern w:val="2"/>
                <w:szCs w:val="28"/>
              </w:rPr>
              <w:t>、投資人支付</w:t>
            </w:r>
          </w:p>
        </w:tc>
      </w:tr>
      <w:tr w:rsidR="00337FF2" w:rsidRPr="00337FF2" w:rsidTr="007B4535">
        <w:tc>
          <w:tcPr>
            <w:tcW w:w="1985" w:type="dxa"/>
            <w:tcBorders>
              <w:left w:val="single" w:sz="18" w:space="0" w:color="auto"/>
            </w:tcBorders>
          </w:tcPr>
          <w:p w:rsidR="00337FF2" w:rsidRPr="00337FF2" w:rsidRDefault="00337FF2" w:rsidP="00337FF2">
            <w:pPr>
              <w:widowControl w:val="0"/>
              <w:jc w:val="distribute"/>
              <w:rPr>
                <w:rFonts w:ascii="標楷體" w:eastAsia="標楷體" w:hAnsi="標楷體"/>
                <w:color w:val="000000"/>
                <w:kern w:val="2"/>
                <w:szCs w:val="22"/>
              </w:rPr>
            </w:pPr>
            <w:r w:rsidRPr="00337FF2">
              <w:rPr>
                <w:rFonts w:ascii="標楷體" w:eastAsia="標楷體" w:hAnsi="標楷體" w:hint="eastAsia"/>
                <w:color w:val="000000"/>
                <w:kern w:val="2"/>
                <w:szCs w:val="22"/>
              </w:rPr>
              <w:t>項目</w:t>
            </w:r>
          </w:p>
        </w:tc>
        <w:tc>
          <w:tcPr>
            <w:tcW w:w="7654" w:type="dxa"/>
            <w:tcBorders>
              <w:right w:val="single" w:sz="18" w:space="0" w:color="auto"/>
            </w:tcBorders>
          </w:tcPr>
          <w:p w:rsidR="00337FF2" w:rsidRPr="00337FF2" w:rsidRDefault="00337FF2" w:rsidP="00337FF2">
            <w:pPr>
              <w:widowControl w:val="0"/>
              <w:jc w:val="distribute"/>
              <w:rPr>
                <w:rFonts w:ascii="標楷體" w:eastAsia="標楷體" w:hAnsi="標楷體"/>
                <w:color w:val="000000"/>
                <w:kern w:val="2"/>
                <w:szCs w:val="22"/>
              </w:rPr>
            </w:pPr>
            <w:r w:rsidRPr="00337FF2">
              <w:rPr>
                <w:rFonts w:ascii="標楷體" w:eastAsia="標楷體" w:hAnsi="標楷體" w:hint="eastAsia"/>
                <w:color w:val="000000"/>
                <w:kern w:val="2"/>
                <w:szCs w:val="22"/>
              </w:rPr>
              <w:t>說明</w:t>
            </w:r>
          </w:p>
        </w:tc>
      </w:tr>
      <w:tr w:rsidR="00337FF2" w:rsidRPr="00337FF2" w:rsidTr="007B4535">
        <w:trPr>
          <w:trHeight w:val="2671"/>
        </w:trPr>
        <w:tc>
          <w:tcPr>
            <w:tcW w:w="1985" w:type="dxa"/>
            <w:tcBorders>
              <w:left w:val="single" w:sz="18" w:space="0" w:color="auto"/>
              <w:bottom w:val="single" w:sz="18" w:space="0" w:color="auto"/>
            </w:tcBorders>
            <w:vAlign w:val="center"/>
          </w:tcPr>
          <w:p w:rsidR="00337FF2" w:rsidRPr="00337FF2" w:rsidRDefault="00337FF2" w:rsidP="00337FF2">
            <w:pPr>
              <w:widowControl w:val="0"/>
              <w:jc w:val="both"/>
              <w:rPr>
                <w:rFonts w:ascii="標楷體" w:eastAsia="標楷體" w:hAnsi="標楷體"/>
                <w:color w:val="000000"/>
                <w:kern w:val="2"/>
              </w:rPr>
            </w:pPr>
            <w:r w:rsidRPr="00337FF2">
              <w:rPr>
                <w:rFonts w:ascii="標楷體" w:eastAsia="標楷體" w:hAnsi="標楷體" w:hint="eastAsia"/>
                <w:color w:val="000000"/>
                <w:kern w:val="2"/>
              </w:rPr>
              <w:t>申購手續費分成(%)</w:t>
            </w:r>
          </w:p>
          <w:p w:rsidR="00337FF2" w:rsidRPr="00337FF2" w:rsidRDefault="00337FF2" w:rsidP="00337FF2">
            <w:pPr>
              <w:widowControl w:val="0"/>
              <w:jc w:val="both"/>
              <w:rPr>
                <w:rFonts w:ascii="標楷體" w:eastAsia="標楷體" w:hAnsi="標楷體"/>
                <w:color w:val="000000"/>
                <w:kern w:val="2"/>
              </w:rPr>
            </w:pPr>
            <w:r w:rsidRPr="00337FF2">
              <w:rPr>
                <w:rFonts w:ascii="標楷體" w:eastAsia="標楷體" w:hAnsi="標楷體" w:hint="eastAsia"/>
                <w:color w:val="000000"/>
                <w:kern w:val="2"/>
              </w:rPr>
              <w:t>(依　台端申購金額或贖回金額)</w:t>
            </w:r>
          </w:p>
        </w:tc>
        <w:tc>
          <w:tcPr>
            <w:tcW w:w="7654" w:type="dxa"/>
            <w:tcBorders>
              <w:bottom w:val="single" w:sz="18" w:space="0" w:color="auto"/>
              <w:right w:val="single" w:sz="18" w:space="0" w:color="auto"/>
            </w:tcBorders>
          </w:tcPr>
          <w:p w:rsidR="00337FF2" w:rsidRPr="00337FF2" w:rsidRDefault="00337FF2" w:rsidP="00337FF2">
            <w:pPr>
              <w:widowControl w:val="0"/>
              <w:numPr>
                <w:ilvl w:val="0"/>
                <w:numId w:val="4"/>
              </w:numPr>
              <w:jc w:val="both"/>
              <w:rPr>
                <w:rFonts w:ascii="標楷體" w:eastAsia="標楷體" w:hAnsi="標楷體"/>
                <w:color w:val="000000"/>
                <w:kern w:val="2"/>
                <w:szCs w:val="20"/>
              </w:rPr>
            </w:pPr>
            <w:r w:rsidRPr="00337FF2">
              <w:rPr>
                <w:rFonts w:ascii="標楷體" w:eastAsia="標楷體" w:hAnsi="標楷體" w:hint="eastAsia"/>
                <w:color w:val="000000"/>
                <w:kern w:val="2"/>
                <w:szCs w:val="20"/>
              </w:rPr>
              <w:t>台端支付的基金申購手續費率為</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%，其中本銀行收取</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%（或不多於</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 ）。</w:t>
            </w:r>
          </w:p>
          <w:p w:rsidR="00337FF2" w:rsidRPr="00337FF2" w:rsidRDefault="00337FF2" w:rsidP="00337FF2">
            <w:pPr>
              <w:widowControl w:val="0"/>
              <w:ind w:left="240" w:hangingChars="100" w:hanging="240"/>
              <w:jc w:val="both"/>
              <w:rPr>
                <w:rFonts w:ascii="標楷體" w:eastAsia="標楷體" w:hAnsi="標楷體"/>
                <w:color w:val="000000"/>
                <w:kern w:val="2"/>
                <w:szCs w:val="20"/>
              </w:rPr>
            </w:pPr>
            <w:r w:rsidRPr="00337FF2">
              <w:rPr>
                <w:rFonts w:ascii="標楷體" w:eastAsia="標楷體" w:hAnsi="標楷體" w:hint="eastAsia"/>
                <w:color w:val="000000"/>
                <w:kern w:val="2"/>
                <w:szCs w:val="20"/>
              </w:rPr>
              <w:t>2.本基金手續費遞延至贖回時收取，台端申購時無需支付手續費，惟本銀行將先自基金公司收取不多於</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w:t>
            </w:r>
          </w:p>
          <w:p w:rsidR="00337FF2" w:rsidRPr="00337FF2" w:rsidRDefault="00337FF2" w:rsidP="00337FF2">
            <w:pPr>
              <w:widowControl w:val="0"/>
              <w:ind w:left="240" w:hangingChars="100" w:hanging="240"/>
              <w:jc w:val="both"/>
              <w:rPr>
                <w:rFonts w:ascii="標楷體" w:eastAsia="標楷體" w:hAnsi="標楷體"/>
                <w:color w:val="000000"/>
                <w:kern w:val="2"/>
              </w:rPr>
            </w:pPr>
            <w:r w:rsidRPr="00337FF2">
              <w:rPr>
                <w:rFonts w:ascii="標楷體" w:eastAsia="標楷體" w:hAnsi="標楷體" w:hint="eastAsia"/>
                <w:color w:val="000000"/>
                <w:kern w:val="2"/>
                <w:szCs w:val="20"/>
              </w:rPr>
              <w:t>3.台端支付的基金轉換/轉申購手續費為</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%，其中本銀行收取</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%（或不多於</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 ）。</w:t>
            </w:r>
          </w:p>
        </w:tc>
      </w:tr>
      <w:tr w:rsidR="00337FF2" w:rsidRPr="00337FF2" w:rsidTr="007B4535">
        <w:tc>
          <w:tcPr>
            <w:tcW w:w="9639" w:type="dxa"/>
            <w:gridSpan w:val="2"/>
            <w:tcBorders>
              <w:top w:val="single" w:sz="18" w:space="0" w:color="auto"/>
              <w:left w:val="single" w:sz="18" w:space="0" w:color="auto"/>
              <w:bottom w:val="single" w:sz="2" w:space="0" w:color="auto"/>
              <w:right w:val="single" w:sz="18" w:space="0" w:color="auto"/>
            </w:tcBorders>
          </w:tcPr>
          <w:p w:rsidR="00337FF2" w:rsidRPr="00337FF2" w:rsidRDefault="00337FF2" w:rsidP="00337FF2">
            <w:pPr>
              <w:widowControl w:val="0"/>
              <w:adjustRightInd w:val="0"/>
              <w:snapToGrid w:val="0"/>
              <w:rPr>
                <w:rFonts w:ascii="標楷體" w:eastAsia="標楷體" w:hAnsi="標楷體"/>
                <w:b/>
                <w:color w:val="000000"/>
                <w:kern w:val="2"/>
              </w:rPr>
            </w:pPr>
            <w:r w:rsidRPr="00337FF2">
              <w:rPr>
                <w:rFonts w:ascii="標楷體" w:eastAsia="標楷體" w:hAnsi="標楷體" w:hint="eastAsia"/>
                <w:b/>
                <w:color w:val="000000"/>
                <w:kern w:val="2"/>
              </w:rPr>
              <w:t>二、境外基金機構、總代理人或投信支付</w:t>
            </w:r>
          </w:p>
        </w:tc>
      </w:tr>
      <w:tr w:rsidR="00337FF2" w:rsidRPr="00337FF2" w:rsidTr="007B4535">
        <w:tc>
          <w:tcPr>
            <w:tcW w:w="1985" w:type="dxa"/>
            <w:tcBorders>
              <w:top w:val="single" w:sz="2" w:space="0" w:color="auto"/>
              <w:left w:val="single" w:sz="18" w:space="0" w:color="auto"/>
              <w:bottom w:val="single" w:sz="2" w:space="0" w:color="auto"/>
              <w:right w:val="single" w:sz="2" w:space="0" w:color="auto"/>
            </w:tcBorders>
          </w:tcPr>
          <w:p w:rsidR="00337FF2" w:rsidRPr="00337FF2" w:rsidRDefault="00337FF2" w:rsidP="00337FF2">
            <w:pPr>
              <w:widowControl w:val="0"/>
              <w:jc w:val="distribute"/>
              <w:rPr>
                <w:rFonts w:ascii="標楷體" w:eastAsia="標楷體" w:hAnsi="標楷體"/>
                <w:color w:val="000000"/>
                <w:kern w:val="2"/>
              </w:rPr>
            </w:pPr>
            <w:r w:rsidRPr="00337FF2">
              <w:rPr>
                <w:rFonts w:ascii="標楷體" w:eastAsia="標楷體" w:hAnsi="標楷體" w:hint="eastAsia"/>
                <w:color w:val="000000"/>
                <w:kern w:val="2"/>
              </w:rPr>
              <w:t>項目</w:t>
            </w:r>
          </w:p>
        </w:tc>
        <w:tc>
          <w:tcPr>
            <w:tcW w:w="7654" w:type="dxa"/>
            <w:tcBorders>
              <w:top w:val="single" w:sz="2" w:space="0" w:color="auto"/>
              <w:left w:val="single" w:sz="2" w:space="0" w:color="auto"/>
              <w:bottom w:val="single" w:sz="2" w:space="0" w:color="auto"/>
              <w:right w:val="single" w:sz="18" w:space="0" w:color="auto"/>
            </w:tcBorders>
          </w:tcPr>
          <w:p w:rsidR="00337FF2" w:rsidRPr="00337FF2" w:rsidRDefault="00337FF2" w:rsidP="00337FF2">
            <w:pPr>
              <w:widowControl w:val="0"/>
              <w:jc w:val="distribute"/>
              <w:rPr>
                <w:rFonts w:ascii="標楷體" w:eastAsia="標楷體" w:hAnsi="標楷體"/>
                <w:color w:val="000000"/>
                <w:kern w:val="2"/>
              </w:rPr>
            </w:pPr>
            <w:r w:rsidRPr="00337FF2">
              <w:rPr>
                <w:rFonts w:ascii="標楷體" w:eastAsia="標楷體" w:hAnsi="標楷體" w:hint="eastAsia"/>
                <w:color w:val="000000"/>
                <w:kern w:val="2"/>
              </w:rPr>
              <w:t>說明</w:t>
            </w:r>
          </w:p>
        </w:tc>
      </w:tr>
      <w:tr w:rsidR="00337FF2" w:rsidRPr="00337FF2" w:rsidTr="007B4535">
        <w:trPr>
          <w:trHeight w:val="1392"/>
        </w:trPr>
        <w:tc>
          <w:tcPr>
            <w:tcW w:w="1985" w:type="dxa"/>
            <w:tcBorders>
              <w:top w:val="single" w:sz="2" w:space="0" w:color="auto"/>
              <w:left w:val="single" w:sz="18" w:space="0" w:color="auto"/>
              <w:bottom w:val="single" w:sz="4" w:space="0" w:color="auto"/>
              <w:right w:val="single" w:sz="2" w:space="0" w:color="auto"/>
            </w:tcBorders>
            <w:vAlign w:val="center"/>
          </w:tcPr>
          <w:p w:rsidR="00337FF2" w:rsidRPr="00337FF2" w:rsidRDefault="00337FF2" w:rsidP="00337FF2">
            <w:pPr>
              <w:widowControl w:val="0"/>
              <w:ind w:left="120" w:hangingChars="50" w:hanging="120"/>
              <w:jc w:val="both"/>
              <w:rPr>
                <w:rFonts w:ascii="標楷體" w:eastAsia="標楷體" w:hAnsi="標楷體"/>
                <w:color w:val="000000"/>
                <w:kern w:val="2"/>
              </w:rPr>
            </w:pPr>
            <w:r w:rsidRPr="00337FF2">
              <w:rPr>
                <w:rFonts w:ascii="標楷體" w:eastAsia="標楷體" w:hAnsi="標楷體" w:hint="eastAsia"/>
                <w:color w:val="000000"/>
                <w:kern w:val="2"/>
              </w:rPr>
              <w:t>經理費分成(%)</w:t>
            </w:r>
          </w:p>
          <w:p w:rsidR="00337FF2" w:rsidRPr="00337FF2" w:rsidRDefault="00337FF2" w:rsidP="00337FF2">
            <w:pPr>
              <w:widowControl w:val="0"/>
              <w:jc w:val="both"/>
              <w:rPr>
                <w:rFonts w:ascii="標楷體" w:eastAsia="標楷體" w:hAnsi="標楷體"/>
                <w:color w:val="000000"/>
                <w:kern w:val="2"/>
              </w:rPr>
            </w:pPr>
            <w:r w:rsidRPr="00337FF2">
              <w:rPr>
                <w:rFonts w:ascii="標楷體" w:eastAsia="標楷體" w:hAnsi="標楷體" w:hint="eastAsia"/>
                <w:color w:val="000000"/>
                <w:kern w:val="2"/>
              </w:rPr>
              <w:t>(依　台端持有金額)</w:t>
            </w:r>
          </w:p>
        </w:tc>
        <w:tc>
          <w:tcPr>
            <w:tcW w:w="7654" w:type="dxa"/>
            <w:tcBorders>
              <w:top w:val="single" w:sz="2" w:space="0" w:color="auto"/>
              <w:left w:val="single" w:sz="2" w:space="0" w:color="auto"/>
              <w:bottom w:val="single" w:sz="4" w:space="0" w:color="auto"/>
              <w:right w:val="single" w:sz="18" w:space="0" w:color="auto"/>
            </w:tcBorders>
          </w:tcPr>
          <w:p w:rsidR="00337FF2" w:rsidRPr="00337FF2" w:rsidRDefault="00337FF2" w:rsidP="00337FF2">
            <w:pPr>
              <w:widowControl w:val="0"/>
              <w:jc w:val="both"/>
              <w:rPr>
                <w:rFonts w:ascii="標楷體" w:eastAsia="標楷體" w:hAnsi="標楷體"/>
                <w:color w:val="000000"/>
                <w:kern w:val="2"/>
              </w:rPr>
            </w:pPr>
            <w:r w:rsidRPr="00337FF2">
              <w:rPr>
                <w:rFonts w:ascii="標楷體" w:eastAsia="標楷體" w:hAnsi="標楷體" w:hint="eastAsia"/>
                <w:color w:val="000000"/>
                <w:kern w:val="2"/>
                <w:szCs w:val="20"/>
              </w:rPr>
              <w:t>本基金經理費收入為年率</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w:t>
            </w:r>
            <w:proofErr w:type="gramStart"/>
            <w:r w:rsidRPr="00337FF2">
              <w:rPr>
                <w:rFonts w:ascii="標楷體" w:eastAsia="標楷體" w:hAnsi="標楷體" w:hint="eastAsia"/>
                <w:color w:val="000000"/>
                <w:kern w:val="2"/>
                <w:szCs w:val="20"/>
              </w:rPr>
              <w:t>（</w:t>
            </w:r>
            <w:proofErr w:type="gramEnd"/>
            <w:r w:rsidRPr="00337FF2">
              <w:rPr>
                <w:rFonts w:ascii="標楷體" w:eastAsia="標楷體" w:hAnsi="標楷體" w:hint="eastAsia"/>
                <w:color w:val="000000"/>
                <w:kern w:val="2"/>
                <w:szCs w:val="20"/>
              </w:rPr>
              <w:t>含經銷費</w:t>
            </w:r>
            <w:proofErr w:type="gramStart"/>
            <w:r w:rsidRPr="00337FF2">
              <w:rPr>
                <w:rFonts w:ascii="標楷體" w:eastAsia="標楷體" w:hAnsi="標楷體" w:hint="eastAsia"/>
                <w:color w:val="000000"/>
                <w:kern w:val="2"/>
                <w:szCs w:val="20"/>
              </w:rPr>
              <w:t>（</w:t>
            </w:r>
            <w:proofErr w:type="gramEnd"/>
            <w:r w:rsidRPr="00337FF2">
              <w:rPr>
                <w:rFonts w:ascii="標楷體" w:eastAsia="標楷體" w:hAnsi="標楷體" w:hint="eastAsia"/>
                <w:color w:val="000000"/>
                <w:kern w:val="2"/>
                <w:szCs w:val="20"/>
              </w:rPr>
              <w:t>Distribution Fee、12b-1 Fee</w:t>
            </w:r>
            <w:proofErr w:type="gramStart"/>
            <w:r w:rsidRPr="00337FF2">
              <w:rPr>
                <w:rFonts w:ascii="標楷體" w:eastAsia="標楷體" w:hAnsi="標楷體" w:hint="eastAsia"/>
                <w:color w:val="000000"/>
                <w:kern w:val="2"/>
                <w:szCs w:val="20"/>
              </w:rPr>
              <w:t>）</w:t>
            </w:r>
            <w:proofErr w:type="gramEnd"/>
            <w:r w:rsidRPr="00337FF2">
              <w:rPr>
                <w:rFonts w:ascii="標楷體" w:eastAsia="標楷體" w:hAnsi="標楷體" w:hint="eastAsia"/>
                <w:color w:val="000000"/>
                <w:kern w:val="2"/>
                <w:szCs w:val="20"/>
              </w:rPr>
              <w:t>等</w:t>
            </w:r>
            <w:proofErr w:type="gramStart"/>
            <w:r w:rsidRPr="00337FF2">
              <w:rPr>
                <w:rFonts w:ascii="標楷體" w:eastAsia="標楷體" w:hAnsi="標楷體" w:hint="eastAsia"/>
                <w:color w:val="000000"/>
                <w:kern w:val="2"/>
                <w:szCs w:val="20"/>
              </w:rPr>
              <w:t>）</w:t>
            </w:r>
            <w:proofErr w:type="gramEnd"/>
            <w:r w:rsidRPr="00337FF2">
              <w:rPr>
                <w:rFonts w:ascii="標楷體" w:eastAsia="標楷體" w:hAnsi="標楷體" w:hint="eastAsia"/>
                <w:color w:val="000000"/>
                <w:kern w:val="2"/>
                <w:szCs w:val="20"/>
              </w:rPr>
              <w:t>，台端持有本基金</w:t>
            </w:r>
            <w:proofErr w:type="gramStart"/>
            <w:r w:rsidRPr="00337FF2">
              <w:rPr>
                <w:rFonts w:ascii="標楷體" w:eastAsia="標楷體" w:hAnsi="標楷體" w:hint="eastAsia"/>
                <w:color w:val="000000"/>
                <w:kern w:val="2"/>
                <w:szCs w:val="20"/>
              </w:rPr>
              <w:t>期間，</w:t>
            </w:r>
            <w:proofErr w:type="gramEnd"/>
            <w:r w:rsidRPr="00337FF2">
              <w:rPr>
                <w:rFonts w:ascii="標楷體" w:eastAsia="標楷體" w:hAnsi="標楷體" w:hint="eastAsia"/>
                <w:color w:val="000000"/>
                <w:kern w:val="2"/>
                <w:szCs w:val="20"/>
              </w:rPr>
              <w:t>本銀行收取年率</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%（或不多於年率</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 ）。</w:t>
            </w:r>
          </w:p>
        </w:tc>
      </w:tr>
      <w:tr w:rsidR="00337FF2" w:rsidRPr="00337FF2" w:rsidTr="007B4535">
        <w:trPr>
          <w:trHeight w:val="792"/>
        </w:trPr>
        <w:tc>
          <w:tcPr>
            <w:tcW w:w="1985" w:type="dxa"/>
            <w:tcBorders>
              <w:top w:val="single" w:sz="4" w:space="0" w:color="auto"/>
              <w:left w:val="single" w:sz="18" w:space="0" w:color="auto"/>
              <w:bottom w:val="single" w:sz="4" w:space="0" w:color="auto"/>
              <w:right w:val="single" w:sz="4" w:space="0" w:color="auto"/>
            </w:tcBorders>
            <w:vAlign w:val="center"/>
          </w:tcPr>
          <w:p w:rsidR="00337FF2" w:rsidRPr="00337FF2" w:rsidRDefault="00337FF2" w:rsidP="00337FF2">
            <w:pPr>
              <w:widowControl w:val="0"/>
              <w:jc w:val="both"/>
              <w:rPr>
                <w:rFonts w:ascii="標楷體" w:eastAsia="標楷體" w:hAnsi="標楷體"/>
                <w:color w:val="000000"/>
                <w:kern w:val="2"/>
              </w:rPr>
            </w:pPr>
            <w:r w:rsidRPr="00337FF2">
              <w:rPr>
                <w:rFonts w:ascii="標楷體" w:eastAsia="標楷體" w:hAnsi="標楷體" w:hint="eastAsia"/>
                <w:color w:val="000000"/>
                <w:kern w:val="2"/>
              </w:rPr>
              <w:t>贊助或提供對銷售機構之產品說明會及員工教育訓練</w:t>
            </w:r>
          </w:p>
        </w:tc>
        <w:tc>
          <w:tcPr>
            <w:tcW w:w="7654" w:type="dxa"/>
            <w:tcBorders>
              <w:top w:val="single" w:sz="4" w:space="0" w:color="auto"/>
              <w:left w:val="single" w:sz="4" w:space="0" w:color="auto"/>
              <w:bottom w:val="single" w:sz="4" w:space="0" w:color="auto"/>
              <w:right w:val="single" w:sz="18" w:space="0" w:color="auto"/>
            </w:tcBorders>
          </w:tcPr>
          <w:p w:rsidR="00337FF2" w:rsidRPr="00337FF2" w:rsidRDefault="00337FF2" w:rsidP="00337FF2">
            <w:pPr>
              <w:widowControl w:val="0"/>
              <w:jc w:val="both"/>
              <w:rPr>
                <w:rFonts w:ascii="標楷體" w:eastAsia="標楷體" w:hAnsi="標楷體"/>
                <w:color w:val="000000"/>
                <w:kern w:val="2"/>
              </w:rPr>
            </w:pPr>
            <w:r w:rsidRPr="00337FF2">
              <w:rPr>
                <w:rFonts w:ascii="標楷體" w:eastAsia="標楷體" w:hAnsi="標楷體" w:hint="eastAsia"/>
                <w:color w:val="000000"/>
                <w:kern w:val="2"/>
                <w:szCs w:val="20"/>
              </w:rPr>
              <w:t>本銀行</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年度銷售</w:t>
            </w:r>
            <w:proofErr w:type="gramStart"/>
            <w:r w:rsidRPr="00337FF2">
              <w:rPr>
                <w:rFonts w:ascii="標楷體" w:eastAsia="標楷體" w:hAnsi="標楷體" w:hint="eastAsia"/>
                <w:color w:val="000000"/>
                <w:kern w:val="2"/>
                <w:szCs w:val="20"/>
                <w:u w:val="single"/>
                <w:shd w:val="pct15" w:color="auto" w:fill="FFFFFF"/>
              </w:rPr>
              <w:t>ＯＯ</w:t>
            </w:r>
            <w:proofErr w:type="gramEnd"/>
            <w:r w:rsidRPr="00337FF2">
              <w:rPr>
                <w:rFonts w:ascii="標楷體" w:eastAsia="標楷體" w:hAnsi="標楷體" w:hint="eastAsia"/>
                <w:color w:val="000000"/>
                <w:kern w:val="2"/>
                <w:szCs w:val="20"/>
              </w:rPr>
              <w:t>投信基金，預計可收取</w:t>
            </w:r>
            <w:r w:rsidRPr="00337FF2">
              <w:rPr>
                <w:rFonts w:ascii="標楷體" w:eastAsia="標楷體" w:hAnsi="標楷體"/>
                <w:color w:val="000000"/>
                <w:kern w:val="2"/>
                <w:szCs w:val="20"/>
                <w:u w:val="single"/>
                <w:shd w:val="pct15" w:color="auto" w:fill="FFFFFF"/>
              </w:rPr>
              <w:t xml:space="preserve"> </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元之產品說明會及員工教育訓練之金額。</w:t>
            </w:r>
          </w:p>
        </w:tc>
      </w:tr>
      <w:tr w:rsidR="00337FF2" w:rsidRPr="00337FF2" w:rsidTr="007B4535">
        <w:trPr>
          <w:trHeight w:val="1230"/>
        </w:trPr>
        <w:tc>
          <w:tcPr>
            <w:tcW w:w="1985" w:type="dxa"/>
            <w:tcBorders>
              <w:top w:val="single" w:sz="4" w:space="0" w:color="auto"/>
              <w:left w:val="single" w:sz="18" w:space="0" w:color="auto"/>
              <w:bottom w:val="single" w:sz="18" w:space="0" w:color="auto"/>
              <w:right w:val="single" w:sz="4" w:space="0" w:color="auto"/>
            </w:tcBorders>
            <w:vAlign w:val="center"/>
          </w:tcPr>
          <w:p w:rsidR="00337FF2" w:rsidRPr="00337FF2" w:rsidRDefault="00337FF2" w:rsidP="00337FF2">
            <w:pPr>
              <w:widowControl w:val="0"/>
              <w:rPr>
                <w:rFonts w:ascii="標楷體" w:eastAsia="標楷體" w:hAnsi="標楷體"/>
                <w:color w:val="000000"/>
                <w:kern w:val="2"/>
                <w:szCs w:val="20"/>
              </w:rPr>
            </w:pPr>
            <w:r w:rsidRPr="00337FF2">
              <w:rPr>
                <w:rFonts w:ascii="標楷體" w:eastAsia="標楷體" w:hAnsi="標楷體" w:hint="eastAsia"/>
                <w:color w:val="000000"/>
                <w:kern w:val="2"/>
                <w:szCs w:val="20"/>
              </w:rPr>
              <w:t>其他報酬</w:t>
            </w:r>
          </w:p>
          <w:p w:rsidR="00337FF2" w:rsidRPr="00337FF2" w:rsidRDefault="00337FF2" w:rsidP="00337FF2">
            <w:pPr>
              <w:widowControl w:val="0"/>
              <w:rPr>
                <w:rFonts w:ascii="標楷體" w:eastAsia="標楷體" w:hAnsi="標楷體"/>
                <w:color w:val="000000"/>
                <w:kern w:val="2"/>
              </w:rPr>
            </w:pPr>
          </w:p>
        </w:tc>
        <w:tc>
          <w:tcPr>
            <w:tcW w:w="7654" w:type="dxa"/>
            <w:tcBorders>
              <w:top w:val="single" w:sz="4" w:space="0" w:color="auto"/>
              <w:left w:val="single" w:sz="4" w:space="0" w:color="auto"/>
              <w:bottom w:val="single" w:sz="18" w:space="0" w:color="auto"/>
              <w:right w:val="single" w:sz="18" w:space="0" w:color="auto"/>
            </w:tcBorders>
          </w:tcPr>
          <w:p w:rsidR="00337FF2" w:rsidRPr="00337FF2" w:rsidRDefault="00337FF2" w:rsidP="00337FF2">
            <w:pPr>
              <w:rPr>
                <w:rFonts w:ascii="標楷體" w:eastAsia="標楷體" w:hAnsi="標楷體"/>
                <w:color w:val="000000"/>
                <w:kern w:val="2"/>
                <w:szCs w:val="20"/>
              </w:rPr>
            </w:pPr>
            <w:r w:rsidRPr="00337FF2">
              <w:rPr>
                <w:rFonts w:ascii="標楷體" w:eastAsia="標楷體" w:hAnsi="標楷體" w:hint="eastAsia"/>
                <w:color w:val="000000"/>
                <w:kern w:val="2"/>
                <w:szCs w:val="20"/>
              </w:rPr>
              <w:t>1.本銀行全年自</w:t>
            </w:r>
            <w:proofErr w:type="gramStart"/>
            <w:r w:rsidRPr="00337FF2">
              <w:rPr>
                <w:rFonts w:ascii="標楷體" w:eastAsia="標楷體" w:hAnsi="標楷體" w:hint="eastAsia"/>
                <w:color w:val="000000"/>
                <w:kern w:val="2"/>
                <w:szCs w:val="20"/>
                <w:u w:val="single"/>
                <w:shd w:val="pct15" w:color="auto" w:fill="FFFFFF"/>
              </w:rPr>
              <w:t>ＯＯ</w:t>
            </w:r>
            <w:proofErr w:type="gramEnd"/>
            <w:r w:rsidRPr="00337FF2">
              <w:rPr>
                <w:rFonts w:ascii="標楷體" w:eastAsia="標楷體" w:hAnsi="標楷體" w:hint="eastAsia"/>
                <w:color w:val="000000"/>
                <w:kern w:val="2"/>
                <w:szCs w:val="20"/>
              </w:rPr>
              <w:t>投信獲得其他報酬</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元。</w:t>
            </w:r>
          </w:p>
          <w:p w:rsidR="00337FF2" w:rsidRPr="00337FF2" w:rsidRDefault="00337FF2" w:rsidP="00337FF2">
            <w:pPr>
              <w:rPr>
                <w:rFonts w:ascii="標楷體" w:eastAsia="標楷體" w:hAnsi="標楷體"/>
                <w:color w:val="000000"/>
                <w:kern w:val="2"/>
                <w:szCs w:val="20"/>
              </w:rPr>
            </w:pPr>
            <w:r w:rsidRPr="00337FF2">
              <w:rPr>
                <w:rFonts w:ascii="標楷體" w:eastAsia="標楷體" w:hAnsi="標楷體" w:hint="eastAsia"/>
                <w:color w:val="000000"/>
                <w:kern w:val="2"/>
                <w:szCs w:val="20"/>
              </w:rPr>
              <w:t>2.本銀行全年自</w:t>
            </w:r>
            <w:proofErr w:type="gramStart"/>
            <w:r w:rsidRPr="00337FF2">
              <w:rPr>
                <w:rFonts w:ascii="標楷體" w:eastAsia="標楷體" w:hAnsi="標楷體" w:hint="eastAsia"/>
                <w:color w:val="000000"/>
                <w:kern w:val="2"/>
                <w:szCs w:val="20"/>
                <w:u w:val="single"/>
                <w:shd w:val="pct15" w:color="auto" w:fill="FFFFFF"/>
              </w:rPr>
              <w:t>ＯＯ</w:t>
            </w:r>
            <w:proofErr w:type="gramEnd"/>
            <w:r w:rsidRPr="00337FF2">
              <w:rPr>
                <w:rFonts w:ascii="標楷體" w:eastAsia="標楷體" w:hAnsi="標楷體" w:hint="eastAsia"/>
                <w:color w:val="000000"/>
                <w:kern w:val="2"/>
                <w:szCs w:val="20"/>
              </w:rPr>
              <w:t>總代理人獲得其他報酬</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元。</w:t>
            </w:r>
          </w:p>
          <w:p w:rsidR="00337FF2" w:rsidRPr="00337FF2" w:rsidRDefault="00337FF2" w:rsidP="00337FF2">
            <w:pPr>
              <w:rPr>
                <w:rFonts w:ascii="標楷體" w:eastAsia="標楷體" w:hAnsi="標楷體"/>
                <w:color w:val="000000"/>
                <w:kern w:val="2"/>
                <w:szCs w:val="20"/>
              </w:rPr>
            </w:pPr>
            <w:r w:rsidRPr="00337FF2">
              <w:rPr>
                <w:rFonts w:ascii="標楷體" w:eastAsia="標楷體" w:hAnsi="標楷體" w:hint="eastAsia"/>
                <w:color w:val="000000"/>
                <w:kern w:val="2"/>
                <w:szCs w:val="20"/>
              </w:rPr>
              <w:t>3.本銀行全年自</w:t>
            </w:r>
            <w:proofErr w:type="gramStart"/>
            <w:r w:rsidRPr="00337FF2">
              <w:rPr>
                <w:rFonts w:ascii="標楷體" w:eastAsia="標楷體" w:hAnsi="標楷體" w:hint="eastAsia"/>
                <w:color w:val="000000"/>
                <w:kern w:val="2"/>
                <w:szCs w:val="20"/>
                <w:u w:val="single"/>
                <w:shd w:val="pct15" w:color="auto" w:fill="FFFFFF"/>
              </w:rPr>
              <w:t>ＯＯ</w:t>
            </w:r>
            <w:proofErr w:type="gramEnd"/>
            <w:r w:rsidRPr="00337FF2">
              <w:rPr>
                <w:rFonts w:ascii="標楷體" w:eastAsia="標楷體" w:hAnsi="標楷體" w:hint="eastAsia"/>
                <w:color w:val="000000"/>
                <w:kern w:val="2"/>
                <w:szCs w:val="20"/>
              </w:rPr>
              <w:t>境外基金機構獲得其他報酬</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元。</w:t>
            </w:r>
          </w:p>
        </w:tc>
      </w:tr>
    </w:tbl>
    <w:p w:rsidR="00337FF2" w:rsidRPr="00337FF2" w:rsidRDefault="00337FF2" w:rsidP="00337FF2">
      <w:pPr>
        <w:widowControl w:val="0"/>
        <w:spacing w:line="360" w:lineRule="exact"/>
        <w:ind w:rightChars="24" w:right="58"/>
        <w:jc w:val="both"/>
        <w:rPr>
          <w:rFonts w:ascii="標楷體" w:eastAsia="標楷體" w:hAnsi="標楷體"/>
          <w:color w:val="000000"/>
          <w:kern w:val="2"/>
          <w:szCs w:val="20"/>
        </w:rPr>
      </w:pPr>
    </w:p>
    <w:p w:rsidR="00337FF2" w:rsidRPr="00337FF2" w:rsidRDefault="00337FF2" w:rsidP="00337FF2">
      <w:pPr>
        <w:widowControl w:val="0"/>
        <w:spacing w:line="360" w:lineRule="exact"/>
        <w:ind w:rightChars="24" w:right="58"/>
        <w:jc w:val="both"/>
        <w:rPr>
          <w:rFonts w:ascii="標楷體" w:eastAsia="標楷體" w:hAnsi="標楷體"/>
          <w:color w:val="000000"/>
          <w:kern w:val="2"/>
          <w:szCs w:val="20"/>
        </w:rPr>
      </w:pPr>
      <w:r w:rsidRPr="00337FF2">
        <w:rPr>
          <w:rFonts w:ascii="標楷體" w:eastAsia="標楷體" w:hAnsi="標楷體" w:hint="eastAsia"/>
          <w:b/>
          <w:color w:val="000000"/>
          <w:kern w:val="2"/>
          <w:szCs w:val="20"/>
        </w:rPr>
        <w:t>計算說明</w:t>
      </w:r>
      <w:r w:rsidRPr="00337FF2">
        <w:rPr>
          <w:rFonts w:ascii="標楷體" w:eastAsia="標楷體" w:hAnsi="標楷體" w:hint="eastAsia"/>
          <w:color w:val="000000"/>
          <w:kern w:val="2"/>
          <w:szCs w:val="20"/>
        </w:rPr>
        <w:t>：</w:t>
      </w:r>
      <w:r w:rsidRPr="00337FF2">
        <w:rPr>
          <w:rFonts w:ascii="標楷體" w:eastAsia="標楷體" w:hAnsi="標楷體"/>
          <w:color w:val="000000"/>
          <w:kern w:val="2"/>
          <w:szCs w:val="20"/>
        </w:rPr>
        <w:t>「</w:t>
      </w:r>
      <w:proofErr w:type="gramStart"/>
      <w:r w:rsidRPr="00337FF2">
        <w:rPr>
          <w:rFonts w:ascii="標楷體" w:eastAsia="標楷體" w:hAnsi="標楷體" w:hint="eastAsia"/>
          <w:color w:val="000000"/>
          <w:kern w:val="2"/>
          <w:szCs w:val="20"/>
          <w:u w:val="single"/>
          <w:shd w:val="pct15" w:color="auto" w:fill="FFFFFF"/>
        </w:rPr>
        <w:t>ＯＯ</w:t>
      </w:r>
      <w:proofErr w:type="gramEnd"/>
      <w:r w:rsidRPr="00337FF2">
        <w:rPr>
          <w:rFonts w:ascii="標楷體" w:eastAsia="標楷體" w:hAnsi="標楷體" w:hint="eastAsia"/>
          <w:color w:val="000000"/>
          <w:kern w:val="2"/>
          <w:szCs w:val="20"/>
        </w:rPr>
        <w:t>證券投資信託</w:t>
      </w:r>
      <w:r w:rsidRPr="00337FF2">
        <w:rPr>
          <w:rFonts w:ascii="標楷體" w:eastAsia="標楷體" w:hAnsi="標楷體"/>
          <w:color w:val="000000"/>
          <w:kern w:val="2"/>
          <w:szCs w:val="20"/>
        </w:rPr>
        <w:t>基金」</w:t>
      </w:r>
      <w:r w:rsidRPr="00337FF2">
        <w:rPr>
          <w:rFonts w:ascii="標楷體" w:eastAsia="標楷體" w:hAnsi="標楷體" w:hint="eastAsia"/>
          <w:color w:val="000000"/>
          <w:kern w:val="2"/>
          <w:szCs w:val="20"/>
        </w:rPr>
        <w:t>（或附表所列基金）</w:t>
      </w:r>
      <w:r w:rsidRPr="00337FF2">
        <w:rPr>
          <w:rFonts w:ascii="標楷體" w:eastAsia="標楷體" w:hAnsi="標楷體"/>
          <w:color w:val="000000"/>
          <w:kern w:val="2"/>
          <w:szCs w:val="20"/>
        </w:rPr>
        <w:t>之申購手續費</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%及經理費</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%，本銀行銷售之申購手續費分成</w:t>
      </w:r>
      <w:r w:rsidRPr="00337FF2">
        <w:rPr>
          <w:rFonts w:ascii="標楷體" w:eastAsia="標楷體" w:hAnsi="標楷體" w:hint="eastAsia"/>
          <w:color w:val="000000"/>
          <w:kern w:val="2"/>
          <w:szCs w:val="20"/>
        </w:rPr>
        <w:t>不多於</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%、經理費分成</w:t>
      </w:r>
      <w:r w:rsidRPr="00337FF2">
        <w:rPr>
          <w:rFonts w:ascii="標楷體" w:eastAsia="標楷體" w:hAnsi="標楷體" w:hint="eastAsia"/>
          <w:color w:val="000000"/>
          <w:kern w:val="2"/>
          <w:szCs w:val="20"/>
        </w:rPr>
        <w:t>不多於</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w:t>
      </w:r>
      <w:r w:rsidRPr="00337FF2">
        <w:rPr>
          <w:rFonts w:ascii="標楷體" w:eastAsia="標楷體" w:hAnsi="標楷體" w:hint="eastAsia"/>
          <w:color w:val="000000"/>
          <w:kern w:val="2"/>
          <w:szCs w:val="20"/>
        </w:rPr>
        <w:t>，</w:t>
      </w:r>
      <w:r w:rsidRPr="00337FF2">
        <w:rPr>
          <w:rFonts w:ascii="標楷體" w:eastAsia="標楷體" w:hAnsi="標楷體"/>
          <w:color w:val="000000"/>
          <w:kern w:val="2"/>
          <w:szCs w:val="20"/>
        </w:rPr>
        <w:t>另本銀行</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年度銷售</w:t>
      </w:r>
      <w:proofErr w:type="gramStart"/>
      <w:r w:rsidRPr="00337FF2">
        <w:rPr>
          <w:rFonts w:ascii="標楷體" w:eastAsia="標楷體" w:hAnsi="標楷體" w:hint="eastAsia"/>
          <w:color w:val="000000"/>
          <w:kern w:val="2"/>
          <w:szCs w:val="20"/>
          <w:u w:val="single"/>
          <w:shd w:val="pct15" w:color="auto" w:fill="FFFFFF"/>
        </w:rPr>
        <w:t>ＯＯ</w:t>
      </w:r>
      <w:proofErr w:type="gramEnd"/>
      <w:r w:rsidRPr="00337FF2">
        <w:rPr>
          <w:rFonts w:ascii="標楷體" w:eastAsia="標楷體" w:hAnsi="標楷體"/>
          <w:color w:val="000000"/>
          <w:kern w:val="2"/>
          <w:szCs w:val="20"/>
        </w:rPr>
        <w:t>投信基金，該投信預計贊助</w:t>
      </w:r>
      <w:r w:rsidRPr="00337FF2">
        <w:rPr>
          <w:rFonts w:ascii="標楷體" w:eastAsia="標楷體" w:hAnsi="標楷體" w:hint="eastAsia"/>
          <w:color w:val="000000"/>
          <w:kern w:val="2"/>
          <w:szCs w:val="20"/>
        </w:rPr>
        <w:t>或提供</w:t>
      </w:r>
      <w:r w:rsidRPr="00337FF2">
        <w:rPr>
          <w:rFonts w:ascii="標楷體" w:eastAsia="標楷體" w:hAnsi="標楷體"/>
          <w:color w:val="000000"/>
          <w:kern w:val="2"/>
          <w:szCs w:val="20"/>
        </w:rPr>
        <w:t>產品說明會</w:t>
      </w:r>
      <w:r w:rsidRPr="00337FF2">
        <w:rPr>
          <w:rFonts w:ascii="標楷體" w:eastAsia="標楷體" w:hAnsi="標楷體" w:hint="eastAsia"/>
          <w:color w:val="000000"/>
          <w:kern w:val="2"/>
          <w:szCs w:val="20"/>
        </w:rPr>
        <w:t>、</w:t>
      </w:r>
      <w:r w:rsidRPr="00337FF2">
        <w:rPr>
          <w:rFonts w:ascii="標楷體" w:eastAsia="標楷體" w:hAnsi="標楷體"/>
          <w:color w:val="000000"/>
          <w:kern w:val="2"/>
          <w:szCs w:val="20"/>
        </w:rPr>
        <w:t>員工教育訓練之金額</w:t>
      </w:r>
      <w:r w:rsidRPr="00337FF2">
        <w:rPr>
          <w:rFonts w:ascii="標楷體" w:eastAsia="標楷體" w:hAnsi="標楷體" w:hint="eastAsia"/>
          <w:color w:val="000000"/>
          <w:kern w:val="2"/>
          <w:szCs w:val="20"/>
        </w:rPr>
        <w:t>合計</w:t>
      </w:r>
      <w:r w:rsidRPr="00337FF2">
        <w:rPr>
          <w:rFonts w:ascii="標楷體" w:eastAsia="標楷體" w:hAnsi="標楷體"/>
          <w:color w:val="000000"/>
          <w:kern w:val="2"/>
          <w:szCs w:val="20"/>
        </w:rPr>
        <w:t>為</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元</w:t>
      </w:r>
      <w:r w:rsidRPr="00337FF2">
        <w:rPr>
          <w:rFonts w:ascii="標楷體" w:eastAsia="標楷體" w:hAnsi="標楷體" w:hint="eastAsia"/>
          <w:color w:val="000000"/>
          <w:kern w:val="2"/>
          <w:szCs w:val="20"/>
        </w:rPr>
        <w:t>，預計其他報酬合計為</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元</w:t>
      </w:r>
      <w:r w:rsidRPr="00337FF2">
        <w:rPr>
          <w:rFonts w:ascii="標楷體" w:eastAsia="標楷體" w:hAnsi="標楷體"/>
          <w:color w:val="000000"/>
          <w:kern w:val="2"/>
          <w:szCs w:val="20"/>
        </w:rPr>
        <w:t>。</w:t>
      </w:r>
    </w:p>
    <w:p w:rsidR="00337FF2" w:rsidRPr="00337FF2" w:rsidRDefault="00337FF2" w:rsidP="00337FF2">
      <w:pPr>
        <w:widowControl w:val="0"/>
        <w:spacing w:line="360" w:lineRule="exact"/>
        <w:ind w:rightChars="24" w:right="58"/>
        <w:jc w:val="both"/>
        <w:rPr>
          <w:rFonts w:ascii="標楷體" w:eastAsia="標楷體" w:hAnsi="標楷體"/>
          <w:color w:val="000000"/>
          <w:kern w:val="2"/>
          <w:szCs w:val="20"/>
        </w:rPr>
      </w:pPr>
    </w:p>
    <w:p w:rsidR="00337FF2" w:rsidRPr="00337FF2" w:rsidRDefault="00337FF2" w:rsidP="00337FF2">
      <w:pPr>
        <w:widowControl w:val="0"/>
        <w:spacing w:line="360" w:lineRule="exact"/>
        <w:ind w:rightChars="24" w:right="58"/>
        <w:jc w:val="both"/>
        <w:rPr>
          <w:rFonts w:ascii="標楷體" w:eastAsia="標楷體" w:hAnsi="標楷體"/>
          <w:color w:val="000000"/>
          <w:kern w:val="2"/>
          <w:szCs w:val="20"/>
          <w:bdr w:val="single" w:sz="4" w:space="0" w:color="auto"/>
        </w:rPr>
      </w:pPr>
      <w:r w:rsidRPr="00337FF2">
        <w:rPr>
          <w:rFonts w:ascii="標楷體" w:eastAsia="標楷體" w:hAnsi="標楷體" w:hint="eastAsia"/>
          <w:color w:val="000000"/>
          <w:kern w:val="2"/>
          <w:szCs w:val="20"/>
          <w:bdr w:val="single" w:sz="4" w:space="0" w:color="auto"/>
        </w:rPr>
        <w:t>釋例</w:t>
      </w:r>
    </w:p>
    <w:p w:rsidR="00337FF2" w:rsidRPr="00337FF2" w:rsidRDefault="00337FF2" w:rsidP="00337FF2">
      <w:pPr>
        <w:widowControl w:val="0"/>
        <w:spacing w:line="360" w:lineRule="exact"/>
        <w:ind w:rightChars="24" w:right="58"/>
        <w:jc w:val="both"/>
        <w:rPr>
          <w:rFonts w:ascii="標楷體" w:eastAsia="標楷體" w:hAnsi="標楷體"/>
          <w:color w:val="000000"/>
          <w:kern w:val="2"/>
          <w:szCs w:val="20"/>
        </w:rPr>
      </w:pPr>
      <w:r w:rsidRPr="00337FF2">
        <w:rPr>
          <w:rFonts w:ascii="標楷體" w:eastAsia="標楷體" w:hAnsi="標楷體"/>
          <w:color w:val="000000"/>
          <w:kern w:val="2"/>
          <w:szCs w:val="20"/>
        </w:rPr>
        <w:t xml:space="preserve">　台端每投資1</w:t>
      </w:r>
      <w:r w:rsidRPr="00337FF2">
        <w:rPr>
          <w:rFonts w:ascii="標楷體" w:eastAsia="標楷體" w:hAnsi="標楷體" w:hint="eastAsia"/>
          <w:color w:val="000000"/>
          <w:kern w:val="2"/>
          <w:szCs w:val="20"/>
        </w:rPr>
        <w:t>00</w:t>
      </w:r>
      <w:r w:rsidRPr="00337FF2">
        <w:rPr>
          <w:rFonts w:ascii="標楷體" w:eastAsia="標楷體" w:hAnsi="標楷體"/>
          <w:color w:val="000000"/>
          <w:kern w:val="2"/>
          <w:szCs w:val="20"/>
        </w:rPr>
        <w:t>,000元於</w:t>
      </w:r>
      <w:r w:rsidRPr="00337FF2">
        <w:rPr>
          <w:rFonts w:ascii="標楷體" w:eastAsia="標楷體" w:hAnsi="標楷體" w:hint="eastAsia"/>
          <w:color w:val="000000"/>
          <w:kern w:val="2"/>
          <w:szCs w:val="20"/>
        </w:rPr>
        <w:t>本基金</w:t>
      </w:r>
      <w:r w:rsidRPr="00337FF2">
        <w:rPr>
          <w:rFonts w:ascii="標楷體" w:eastAsia="標楷體" w:hAnsi="標楷體"/>
          <w:color w:val="000000"/>
          <w:kern w:val="2"/>
          <w:szCs w:val="20"/>
        </w:rPr>
        <w:t>，本銀行每年收取之通路報酬如下：</w:t>
      </w:r>
    </w:p>
    <w:p w:rsidR="00337FF2" w:rsidRPr="00337FF2" w:rsidRDefault="00337FF2" w:rsidP="00337FF2">
      <w:pPr>
        <w:widowControl w:val="0"/>
        <w:spacing w:line="360" w:lineRule="exact"/>
        <w:ind w:left="168" w:rightChars="-67" w:right="-161" w:hangingChars="70" w:hanging="168"/>
        <w:rPr>
          <w:rFonts w:ascii="標楷體" w:eastAsia="標楷體" w:hAnsi="標楷體"/>
          <w:color w:val="000000"/>
          <w:kern w:val="2"/>
          <w:szCs w:val="20"/>
        </w:rPr>
      </w:pPr>
      <w:r w:rsidRPr="00337FF2">
        <w:rPr>
          <w:rFonts w:ascii="標楷體" w:eastAsia="標楷體" w:hAnsi="標楷體"/>
          <w:color w:val="000000"/>
          <w:kern w:val="2"/>
          <w:szCs w:val="20"/>
        </w:rPr>
        <w:t>1.由　台端所支付之</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元申購手續費中收取</w:t>
      </w:r>
      <w:r w:rsidRPr="00337FF2">
        <w:rPr>
          <w:rFonts w:ascii="標楷體" w:eastAsia="標楷體" w:hAnsi="標楷體" w:hint="eastAsia"/>
          <w:color w:val="000000"/>
          <w:kern w:val="2"/>
          <w:szCs w:val="20"/>
        </w:rPr>
        <w:t>不多於</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元 (1</w:t>
      </w:r>
      <w:r w:rsidRPr="00337FF2">
        <w:rPr>
          <w:rFonts w:ascii="標楷體" w:eastAsia="標楷體" w:hAnsi="標楷體" w:hint="eastAsia"/>
          <w:color w:val="000000"/>
          <w:kern w:val="2"/>
          <w:szCs w:val="20"/>
        </w:rPr>
        <w:t>00</w:t>
      </w:r>
      <w:r w:rsidRPr="00337FF2">
        <w:rPr>
          <w:rFonts w:ascii="標楷體" w:eastAsia="標楷體" w:hAnsi="標楷體"/>
          <w:color w:val="000000"/>
          <w:kern w:val="2"/>
          <w:szCs w:val="20"/>
        </w:rPr>
        <w:t>,000＊</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元)</w:t>
      </w:r>
    </w:p>
    <w:p w:rsidR="00337FF2" w:rsidRPr="00337FF2" w:rsidRDefault="00337FF2" w:rsidP="00337FF2">
      <w:pPr>
        <w:widowControl w:val="0"/>
        <w:spacing w:line="360" w:lineRule="exact"/>
        <w:rPr>
          <w:rFonts w:ascii="標楷體" w:eastAsia="標楷體" w:hAnsi="標楷體"/>
          <w:color w:val="000000"/>
          <w:kern w:val="2"/>
          <w:szCs w:val="20"/>
        </w:rPr>
      </w:pPr>
      <w:r w:rsidRPr="00337FF2">
        <w:rPr>
          <w:rFonts w:ascii="標楷體" w:eastAsia="標楷體" w:hAnsi="標楷體"/>
          <w:color w:val="000000"/>
          <w:kern w:val="2"/>
          <w:szCs w:val="20"/>
        </w:rPr>
        <w:lastRenderedPageBreak/>
        <w:t>2.</w:t>
      </w:r>
      <w:proofErr w:type="gramStart"/>
      <w:r w:rsidRPr="00337FF2">
        <w:rPr>
          <w:rFonts w:ascii="標楷體" w:eastAsia="標楷體" w:hAnsi="標楷體" w:hint="eastAsia"/>
          <w:color w:val="000000"/>
          <w:kern w:val="2"/>
          <w:szCs w:val="20"/>
          <w:shd w:val="pct15" w:color="auto" w:fill="FFFFFF"/>
        </w:rPr>
        <w:t>ＯＯ</w:t>
      </w:r>
      <w:proofErr w:type="gramEnd"/>
      <w:r w:rsidRPr="00337FF2">
        <w:rPr>
          <w:rFonts w:ascii="標楷體" w:eastAsia="標楷體" w:hAnsi="標楷體"/>
          <w:color w:val="000000"/>
          <w:kern w:val="2"/>
          <w:szCs w:val="20"/>
        </w:rPr>
        <w:t>投信支付：</w:t>
      </w:r>
    </w:p>
    <w:p w:rsidR="00337FF2" w:rsidRPr="00337FF2" w:rsidRDefault="00337FF2" w:rsidP="00337FF2">
      <w:pPr>
        <w:widowControl w:val="0"/>
        <w:numPr>
          <w:ilvl w:val="0"/>
          <w:numId w:val="1"/>
        </w:numPr>
        <w:adjustRightInd w:val="0"/>
        <w:spacing w:line="360" w:lineRule="exact"/>
        <w:rPr>
          <w:rFonts w:ascii="標楷體" w:eastAsia="標楷體" w:hAnsi="標楷體"/>
          <w:color w:val="000000"/>
          <w:kern w:val="2"/>
          <w:szCs w:val="20"/>
        </w:rPr>
      </w:pPr>
      <w:r w:rsidRPr="00337FF2">
        <w:rPr>
          <w:rFonts w:ascii="標楷體" w:eastAsia="標楷體" w:hAnsi="標楷體"/>
          <w:color w:val="000000"/>
          <w:kern w:val="2"/>
          <w:szCs w:val="20"/>
        </w:rPr>
        <w:t>台端持有本基金期間之經理費分成：</w:t>
      </w:r>
      <w:r w:rsidRPr="00337FF2">
        <w:rPr>
          <w:rFonts w:ascii="標楷體" w:eastAsia="標楷體" w:hAnsi="標楷體" w:hint="eastAsia"/>
          <w:color w:val="000000"/>
          <w:kern w:val="2"/>
          <w:szCs w:val="20"/>
        </w:rPr>
        <w:t>不多於</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元 (1</w:t>
      </w:r>
      <w:r w:rsidRPr="00337FF2">
        <w:rPr>
          <w:rFonts w:ascii="標楷體" w:eastAsia="標楷體" w:hAnsi="標楷體" w:hint="eastAsia"/>
          <w:color w:val="000000"/>
          <w:kern w:val="2"/>
          <w:szCs w:val="20"/>
        </w:rPr>
        <w:t>00</w:t>
      </w:r>
      <w:r w:rsidRPr="00337FF2">
        <w:rPr>
          <w:rFonts w:ascii="標楷體" w:eastAsia="標楷體" w:hAnsi="標楷體"/>
          <w:color w:val="000000"/>
          <w:kern w:val="2"/>
          <w:szCs w:val="20"/>
        </w:rPr>
        <w:t>,000</w:t>
      </w:r>
      <w:proofErr w:type="gramStart"/>
      <w:r w:rsidRPr="00337FF2">
        <w:rPr>
          <w:rFonts w:ascii="標楷體" w:eastAsia="標楷體" w:hAnsi="標楷體"/>
          <w:color w:val="000000"/>
          <w:kern w:val="2"/>
          <w:szCs w:val="20"/>
        </w:rPr>
        <w:t>＊</w:t>
      </w:r>
      <w:proofErr w:type="gramEnd"/>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元)</w:t>
      </w:r>
    </w:p>
    <w:p w:rsidR="00337FF2" w:rsidRPr="00337FF2" w:rsidRDefault="00337FF2" w:rsidP="00337FF2">
      <w:pPr>
        <w:widowControl w:val="0"/>
        <w:spacing w:line="360" w:lineRule="exact"/>
        <w:ind w:firstLineChars="50" w:firstLine="120"/>
        <w:rPr>
          <w:rFonts w:ascii="標楷體" w:eastAsia="標楷體" w:hAnsi="標楷體"/>
          <w:color w:val="000000"/>
          <w:kern w:val="2"/>
          <w:szCs w:val="20"/>
        </w:rPr>
      </w:pPr>
      <w:r w:rsidRPr="00337FF2">
        <w:rPr>
          <w:rFonts w:ascii="標楷體" w:eastAsia="標楷體" w:hAnsi="標楷體" w:hint="eastAsia"/>
          <w:color w:val="000000"/>
          <w:kern w:val="2"/>
          <w:szCs w:val="20"/>
        </w:rPr>
        <w:t>(2)</w:t>
      </w:r>
      <w:r w:rsidRPr="00337FF2">
        <w:rPr>
          <w:rFonts w:ascii="標楷體" w:eastAsia="標楷體" w:hAnsi="標楷體"/>
          <w:color w:val="000000"/>
          <w:kern w:val="2"/>
          <w:szCs w:val="20"/>
        </w:rPr>
        <w:t>產品說明會及員工教育訓練：</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color w:val="000000"/>
          <w:kern w:val="2"/>
          <w:szCs w:val="20"/>
        </w:rPr>
        <w:t>元</w:t>
      </w:r>
    </w:p>
    <w:p w:rsidR="00337FF2" w:rsidRPr="00337FF2" w:rsidRDefault="00337FF2" w:rsidP="00337FF2">
      <w:pPr>
        <w:widowControl w:val="0"/>
        <w:spacing w:line="360" w:lineRule="exact"/>
        <w:ind w:firstLineChars="50" w:firstLine="120"/>
        <w:rPr>
          <w:rFonts w:ascii="標楷體" w:eastAsia="標楷體" w:hAnsi="標楷體"/>
          <w:color w:val="000000"/>
          <w:kern w:val="2"/>
          <w:szCs w:val="20"/>
        </w:rPr>
      </w:pPr>
      <w:r w:rsidRPr="00337FF2">
        <w:rPr>
          <w:rFonts w:ascii="標楷體" w:eastAsia="標楷體" w:hAnsi="標楷體" w:hint="eastAsia"/>
          <w:color w:val="000000"/>
          <w:kern w:val="2"/>
          <w:szCs w:val="20"/>
        </w:rPr>
        <w:t>(3)本銀行自</w:t>
      </w:r>
      <w:proofErr w:type="gramStart"/>
      <w:r w:rsidRPr="00337FF2">
        <w:rPr>
          <w:rFonts w:ascii="標楷體" w:eastAsia="標楷體" w:hAnsi="標楷體" w:hint="eastAsia"/>
          <w:color w:val="000000"/>
          <w:kern w:val="2"/>
          <w:szCs w:val="20"/>
        </w:rPr>
        <w:t>ＯＯ</w:t>
      </w:r>
      <w:proofErr w:type="gramEnd"/>
      <w:r w:rsidRPr="00337FF2">
        <w:rPr>
          <w:rFonts w:ascii="標楷體" w:eastAsia="標楷體" w:hAnsi="標楷體" w:hint="eastAsia"/>
          <w:color w:val="000000"/>
          <w:kern w:val="2"/>
          <w:szCs w:val="20"/>
        </w:rPr>
        <w:t>投信獲得其他報酬：</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元。</w:t>
      </w:r>
    </w:p>
    <w:p w:rsidR="00337FF2" w:rsidRPr="00337FF2" w:rsidRDefault="00337FF2" w:rsidP="00337FF2">
      <w:pPr>
        <w:widowControl w:val="0"/>
        <w:snapToGrid w:val="0"/>
        <w:spacing w:line="320" w:lineRule="exact"/>
        <w:ind w:leftChars="60" w:left="144"/>
        <w:rPr>
          <w:rFonts w:ascii="標楷體" w:eastAsia="標楷體" w:hAnsi="標楷體"/>
          <w:color w:val="000000"/>
          <w:kern w:val="2"/>
          <w:sz w:val="20"/>
          <w:szCs w:val="22"/>
          <w:shd w:val="pct15" w:color="auto" w:fill="FFFFFF"/>
        </w:rPr>
      </w:pPr>
    </w:p>
    <w:p w:rsidR="00337FF2" w:rsidRPr="00337FF2" w:rsidRDefault="00337FF2" w:rsidP="00337FF2">
      <w:pPr>
        <w:widowControl w:val="0"/>
        <w:pBdr>
          <w:top w:val="single" w:sz="4" w:space="5" w:color="auto"/>
          <w:left w:val="single" w:sz="4" w:space="4" w:color="auto"/>
          <w:bottom w:val="single" w:sz="4" w:space="7" w:color="auto"/>
          <w:right w:val="single" w:sz="4" w:space="0" w:color="auto"/>
        </w:pBdr>
        <w:adjustRightInd w:val="0"/>
        <w:snapToGrid w:val="0"/>
        <w:spacing w:line="280" w:lineRule="exact"/>
        <w:ind w:leftChars="50" w:left="120"/>
        <w:jc w:val="both"/>
        <w:rPr>
          <w:rFonts w:ascii="標楷體" w:eastAsia="標楷體" w:hAnsi="標楷體"/>
          <w:b/>
          <w:color w:val="000000"/>
          <w:kern w:val="2"/>
          <w:sz w:val="20"/>
          <w:szCs w:val="22"/>
        </w:rPr>
      </w:pPr>
      <w:r w:rsidRPr="00337FF2">
        <w:rPr>
          <w:rFonts w:ascii="標楷體" w:eastAsia="標楷體" w:hAnsi="標楷體" w:hint="eastAsia"/>
          <w:b/>
          <w:color w:val="000000"/>
          <w:kern w:val="2"/>
          <w:sz w:val="20"/>
          <w:szCs w:val="22"/>
        </w:rPr>
        <w:t>本銀行辦理基金銷售業務，係自各境外基金機構、總代理人及證券投資信託事業收取通路報酬（各項報酬、費用及其他利益），以支應投資人服務及行銷成本。惟因各基金性質不同且各基金公司之行銷策略不同，致本銀行銷售不同基金時，自各基金公司收取通路報酬之項目及金額因而有所不同。本銀行及業務人員所銷售之基金，容或與 台端個人投資組合之利益不相一致，請　台端依個人投資目標及基金風險屬性，慎選投資標的。</w:t>
      </w:r>
    </w:p>
    <w:p w:rsidR="00337FF2" w:rsidRPr="00337FF2" w:rsidRDefault="00337FF2" w:rsidP="00337FF2">
      <w:pPr>
        <w:widowControl w:val="0"/>
        <w:spacing w:line="360" w:lineRule="exact"/>
        <w:rPr>
          <w:rFonts w:ascii="標楷體" w:eastAsia="標楷體" w:hAnsi="標楷體"/>
          <w:color w:val="000000"/>
          <w:kern w:val="2"/>
          <w:szCs w:val="26"/>
        </w:rPr>
      </w:pPr>
    </w:p>
    <w:p w:rsidR="00337FF2" w:rsidRPr="00337FF2" w:rsidRDefault="00337FF2" w:rsidP="00337FF2">
      <w:pPr>
        <w:widowControl w:val="0"/>
        <w:spacing w:line="360" w:lineRule="exact"/>
        <w:rPr>
          <w:rFonts w:ascii="標楷體" w:eastAsia="標楷體" w:hAnsi="標楷體"/>
          <w:color w:val="000000"/>
          <w:kern w:val="2"/>
          <w:szCs w:val="26"/>
        </w:rPr>
      </w:pPr>
      <w:r w:rsidRPr="00337FF2">
        <w:rPr>
          <w:rFonts w:ascii="標楷體" w:eastAsia="標楷體" w:hAnsi="標楷體" w:hint="eastAsia"/>
          <w:color w:val="000000"/>
          <w:kern w:val="2"/>
          <w:szCs w:val="26"/>
        </w:rPr>
        <w:t>未來若相關通路報酬變動將於本行網頁上公告，將</w:t>
      </w:r>
      <w:proofErr w:type="gramStart"/>
      <w:r w:rsidRPr="00337FF2">
        <w:rPr>
          <w:rFonts w:ascii="標楷體" w:eastAsia="標楷體" w:hAnsi="標楷體" w:hint="eastAsia"/>
          <w:color w:val="000000"/>
          <w:kern w:val="2"/>
          <w:szCs w:val="26"/>
        </w:rPr>
        <w:t>不</w:t>
      </w:r>
      <w:proofErr w:type="gramEnd"/>
      <w:r w:rsidRPr="00337FF2">
        <w:rPr>
          <w:rFonts w:ascii="標楷體" w:eastAsia="標楷體" w:hAnsi="標楷體" w:hint="eastAsia"/>
          <w:color w:val="000000"/>
          <w:kern w:val="2"/>
          <w:szCs w:val="26"/>
        </w:rPr>
        <w:t>另行通知  台端。</w:t>
      </w:r>
    </w:p>
    <w:p w:rsidR="00337FF2" w:rsidRPr="00337FF2" w:rsidRDefault="00337FF2" w:rsidP="00337FF2">
      <w:pPr>
        <w:widowControl w:val="0"/>
        <w:spacing w:line="360" w:lineRule="exact"/>
        <w:rPr>
          <w:rFonts w:ascii="標楷體" w:eastAsia="標楷體" w:hAnsi="標楷體"/>
          <w:color w:val="000000"/>
          <w:kern w:val="2"/>
          <w:szCs w:val="22"/>
        </w:rPr>
      </w:pPr>
      <w:r w:rsidRPr="00337FF2">
        <w:rPr>
          <w:rFonts w:ascii="標楷體" w:eastAsia="標楷體" w:hAnsi="標楷體" w:hint="eastAsia"/>
          <w:color w:val="000000"/>
          <w:kern w:val="2"/>
          <w:szCs w:val="22"/>
        </w:rPr>
        <w:t>本人已閱讀並瞭解本文件之內容</w:t>
      </w:r>
    </w:p>
    <w:p w:rsidR="00337FF2" w:rsidRPr="00337FF2" w:rsidRDefault="00337FF2" w:rsidP="00337FF2">
      <w:pPr>
        <w:widowControl w:val="0"/>
        <w:spacing w:line="360" w:lineRule="exact"/>
        <w:rPr>
          <w:rFonts w:ascii="標楷體" w:eastAsia="標楷體" w:hAnsi="標楷體"/>
          <w:color w:val="000000"/>
          <w:kern w:val="2"/>
          <w:szCs w:val="22"/>
        </w:rPr>
      </w:pPr>
    </w:p>
    <w:p w:rsidR="00337FF2" w:rsidRPr="00337FF2" w:rsidRDefault="00337FF2" w:rsidP="00337FF2">
      <w:pPr>
        <w:widowControl w:val="0"/>
        <w:spacing w:line="360" w:lineRule="exact"/>
        <w:rPr>
          <w:rFonts w:ascii="標楷體" w:eastAsia="標楷體" w:hAnsi="標楷體"/>
          <w:color w:val="000000"/>
          <w:kern w:val="2"/>
          <w:szCs w:val="22"/>
        </w:rPr>
      </w:pPr>
      <w:r w:rsidRPr="00337FF2">
        <w:rPr>
          <w:rFonts w:ascii="標楷體" w:eastAsia="標楷體" w:hAnsi="標楷體" w:hint="eastAsia"/>
          <w:color w:val="000000"/>
          <w:kern w:val="2"/>
          <w:szCs w:val="22"/>
        </w:rPr>
        <w:t xml:space="preserve">簽名/蓋章                                      日期（年/月/日）         </w:t>
      </w:r>
    </w:p>
    <w:p w:rsidR="00337FF2" w:rsidRPr="00337FF2" w:rsidRDefault="00337FF2" w:rsidP="00337FF2">
      <w:pPr>
        <w:widowControl w:val="0"/>
        <w:spacing w:line="360" w:lineRule="exact"/>
        <w:ind w:rightChars="-12" w:right="-29"/>
        <w:rPr>
          <w:rFonts w:ascii="標楷體" w:eastAsia="標楷體" w:hAnsi="標楷體"/>
          <w:b/>
          <w:color w:val="000000"/>
          <w:kern w:val="2"/>
          <w:szCs w:val="22"/>
        </w:rPr>
      </w:pPr>
    </w:p>
    <w:p w:rsidR="00337FF2" w:rsidRPr="00337FF2" w:rsidRDefault="00337FF2" w:rsidP="00337FF2">
      <w:pPr>
        <w:widowControl w:val="0"/>
        <w:spacing w:line="360" w:lineRule="exact"/>
        <w:ind w:rightChars="-12" w:right="-29"/>
        <w:rPr>
          <w:rFonts w:ascii="標楷體" w:eastAsia="標楷體" w:hAnsi="標楷體"/>
          <w:color w:val="000000"/>
          <w:kern w:val="2"/>
          <w:szCs w:val="22"/>
        </w:rPr>
      </w:pPr>
      <w:proofErr w:type="gramStart"/>
      <w:r w:rsidRPr="00337FF2">
        <w:rPr>
          <w:rFonts w:ascii="標楷體" w:eastAsia="標楷體" w:hAnsi="標楷體" w:hint="eastAsia"/>
          <w:color w:val="000000"/>
          <w:kern w:val="2"/>
          <w:szCs w:val="22"/>
        </w:rPr>
        <w:t>註</w:t>
      </w:r>
      <w:proofErr w:type="gramEnd"/>
      <w:r w:rsidRPr="00337FF2">
        <w:rPr>
          <w:rFonts w:ascii="標楷體" w:eastAsia="標楷體" w:hAnsi="標楷體" w:hint="eastAsia"/>
          <w:color w:val="000000"/>
          <w:kern w:val="2"/>
          <w:szCs w:val="22"/>
        </w:rPr>
        <w:t>：與</w:t>
      </w:r>
      <w:proofErr w:type="gramStart"/>
      <w:r w:rsidRPr="00337FF2">
        <w:rPr>
          <w:rFonts w:ascii="標楷體" w:eastAsia="標楷體" w:hAnsi="標楷體" w:hint="eastAsia"/>
          <w:color w:val="000000"/>
          <w:kern w:val="2"/>
          <w:szCs w:val="22"/>
          <w:shd w:val="pct15" w:color="auto" w:fill="FFFFFF"/>
        </w:rPr>
        <w:t>ＯＯ</w:t>
      </w:r>
      <w:proofErr w:type="gramEnd"/>
      <w:r w:rsidRPr="00337FF2">
        <w:rPr>
          <w:rFonts w:ascii="Calibri" w:eastAsia="標楷體" w:hAnsi="標楷體" w:hint="eastAsia"/>
          <w:bCs/>
          <w:color w:val="000000"/>
          <w:kern w:val="2"/>
          <w:szCs w:val="22"/>
        </w:rPr>
        <w:t>證券投資信託</w:t>
      </w:r>
      <w:r w:rsidRPr="00337FF2">
        <w:rPr>
          <w:rFonts w:ascii="標楷體" w:eastAsia="標楷體" w:hAnsi="標楷體" w:hint="eastAsia"/>
          <w:color w:val="000000"/>
          <w:kern w:val="2"/>
          <w:szCs w:val="22"/>
        </w:rPr>
        <w:t>基金通路報酬相同之基金為（經理費率與</w:t>
      </w:r>
      <w:proofErr w:type="gramStart"/>
      <w:r w:rsidRPr="00337FF2">
        <w:rPr>
          <w:rFonts w:ascii="標楷體" w:eastAsia="標楷體" w:hAnsi="標楷體" w:hint="eastAsia"/>
          <w:color w:val="000000"/>
          <w:kern w:val="2"/>
          <w:szCs w:val="22"/>
          <w:shd w:val="pct15" w:color="auto" w:fill="FFFFFF"/>
        </w:rPr>
        <w:t>ＯＯ</w:t>
      </w:r>
      <w:proofErr w:type="gramEnd"/>
      <w:r w:rsidRPr="00337FF2">
        <w:rPr>
          <w:rFonts w:ascii="Calibri" w:eastAsia="標楷體" w:hAnsi="標楷體" w:hint="eastAsia"/>
          <w:bCs/>
          <w:color w:val="000000"/>
          <w:kern w:val="2"/>
          <w:szCs w:val="22"/>
        </w:rPr>
        <w:t>證券投資信託</w:t>
      </w:r>
      <w:r w:rsidRPr="00337FF2">
        <w:rPr>
          <w:rFonts w:ascii="標楷體" w:eastAsia="標楷體" w:hAnsi="標楷體" w:hint="eastAsia"/>
          <w:color w:val="000000"/>
          <w:kern w:val="2"/>
          <w:szCs w:val="22"/>
        </w:rPr>
        <w:t>基金不同者，應註明經理費率）：</w:t>
      </w:r>
    </w:p>
    <w:p w:rsidR="00337FF2" w:rsidRPr="00337FF2" w:rsidRDefault="00337FF2" w:rsidP="00337FF2">
      <w:pPr>
        <w:widowControl w:val="0"/>
        <w:spacing w:line="360" w:lineRule="exact"/>
        <w:ind w:rightChars="-12" w:right="-29"/>
        <w:rPr>
          <w:rFonts w:ascii="標楷體" w:eastAsia="標楷體" w:hAnsi="標楷體"/>
          <w:color w:val="000000"/>
          <w:kern w:val="2"/>
          <w:szCs w:val="22"/>
        </w:rPr>
      </w:pPr>
    </w:p>
    <w:tbl>
      <w:tblPr>
        <w:tblW w:w="4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77"/>
        <w:gridCol w:w="1750"/>
      </w:tblGrid>
      <w:tr w:rsidR="00337FF2" w:rsidRPr="00337FF2" w:rsidTr="00337FF2">
        <w:tc>
          <w:tcPr>
            <w:tcW w:w="2777" w:type="dxa"/>
          </w:tcPr>
          <w:p w:rsidR="00337FF2" w:rsidRPr="00337FF2" w:rsidRDefault="00337FF2" w:rsidP="00337FF2">
            <w:pPr>
              <w:widowControl w:val="0"/>
              <w:adjustRightInd w:val="0"/>
              <w:spacing w:line="360" w:lineRule="exact"/>
              <w:jc w:val="center"/>
              <w:rPr>
                <w:rFonts w:ascii="標楷體" w:eastAsia="標楷體" w:hAnsi="標楷體"/>
                <w:color w:val="000000"/>
                <w:kern w:val="2"/>
                <w:szCs w:val="22"/>
              </w:rPr>
            </w:pPr>
            <w:r w:rsidRPr="00337FF2">
              <w:rPr>
                <w:rFonts w:ascii="標楷體" w:eastAsia="標楷體" w:hAnsi="標楷體" w:hint="eastAsia"/>
                <w:color w:val="000000"/>
                <w:kern w:val="2"/>
                <w:szCs w:val="22"/>
              </w:rPr>
              <w:t>基金名稱</w:t>
            </w:r>
          </w:p>
        </w:tc>
        <w:tc>
          <w:tcPr>
            <w:tcW w:w="1750" w:type="dxa"/>
            <w:shd w:val="clear" w:color="auto" w:fill="FFFFFF"/>
          </w:tcPr>
          <w:p w:rsidR="00337FF2" w:rsidRPr="00337FF2" w:rsidRDefault="00337FF2" w:rsidP="00337FF2">
            <w:pPr>
              <w:widowControl w:val="0"/>
              <w:adjustRightInd w:val="0"/>
              <w:spacing w:line="360" w:lineRule="exact"/>
              <w:jc w:val="center"/>
              <w:rPr>
                <w:rFonts w:ascii="標楷體" w:eastAsia="標楷體" w:hAnsi="標楷體"/>
                <w:color w:val="000000"/>
                <w:kern w:val="2"/>
                <w:szCs w:val="22"/>
              </w:rPr>
            </w:pPr>
            <w:r w:rsidRPr="00337FF2">
              <w:rPr>
                <w:rFonts w:ascii="標楷體" w:eastAsia="標楷體" w:hAnsi="標楷體" w:hint="eastAsia"/>
                <w:color w:val="000000"/>
                <w:kern w:val="2"/>
                <w:szCs w:val="22"/>
              </w:rPr>
              <w:t>經理費率(每年)</w:t>
            </w:r>
          </w:p>
        </w:tc>
      </w:tr>
      <w:tr w:rsidR="00337FF2" w:rsidRPr="00337FF2" w:rsidTr="007B4535">
        <w:tc>
          <w:tcPr>
            <w:tcW w:w="2777" w:type="dxa"/>
          </w:tcPr>
          <w:p w:rsidR="00337FF2" w:rsidRPr="00337FF2" w:rsidRDefault="00337FF2" w:rsidP="00337FF2">
            <w:pPr>
              <w:widowControl w:val="0"/>
              <w:adjustRightInd w:val="0"/>
              <w:spacing w:line="360" w:lineRule="exact"/>
              <w:rPr>
                <w:rFonts w:ascii="標楷體" w:eastAsia="標楷體" w:hAnsi="標楷體"/>
                <w:color w:val="000000"/>
                <w:kern w:val="2"/>
                <w:szCs w:val="22"/>
              </w:rPr>
            </w:pPr>
            <w:proofErr w:type="gramStart"/>
            <w:r w:rsidRPr="00337FF2">
              <w:rPr>
                <w:rFonts w:ascii="Calibri" w:eastAsia="標楷體" w:hAnsi="標楷體" w:hint="eastAsia"/>
                <w:bCs/>
                <w:color w:val="000000"/>
                <w:kern w:val="2"/>
                <w:szCs w:val="22"/>
                <w:u w:val="single"/>
                <w:shd w:val="pct15" w:color="auto" w:fill="FFFFFF"/>
              </w:rPr>
              <w:t>ＯＯ</w:t>
            </w:r>
            <w:proofErr w:type="gramEnd"/>
            <w:r w:rsidRPr="00337FF2">
              <w:rPr>
                <w:rFonts w:ascii="Calibri" w:eastAsia="標楷體" w:hAnsi="標楷體" w:hint="eastAsia"/>
                <w:bCs/>
                <w:color w:val="000000"/>
                <w:kern w:val="2"/>
                <w:szCs w:val="22"/>
              </w:rPr>
              <w:t>證券投資信託</w:t>
            </w:r>
            <w:r w:rsidRPr="00337FF2">
              <w:rPr>
                <w:rFonts w:ascii="標楷體" w:eastAsia="標楷體" w:hAnsi="標楷體" w:hint="eastAsia"/>
                <w:color w:val="000000"/>
                <w:kern w:val="2"/>
                <w:szCs w:val="22"/>
              </w:rPr>
              <w:t>基金</w:t>
            </w:r>
          </w:p>
        </w:tc>
        <w:tc>
          <w:tcPr>
            <w:tcW w:w="1750" w:type="dxa"/>
          </w:tcPr>
          <w:p w:rsidR="00337FF2" w:rsidRPr="00337FF2" w:rsidRDefault="00337FF2" w:rsidP="00337FF2">
            <w:pPr>
              <w:widowControl w:val="0"/>
              <w:adjustRightInd w:val="0"/>
              <w:spacing w:line="360" w:lineRule="exact"/>
              <w:rPr>
                <w:rFonts w:ascii="標楷體" w:eastAsia="標楷體" w:hAnsi="標楷體"/>
                <w:bCs/>
                <w:color w:val="000000"/>
                <w:kern w:val="2"/>
                <w:szCs w:val="22"/>
              </w:rPr>
            </w:pPr>
            <w:r w:rsidRPr="00337FF2">
              <w:rPr>
                <w:rFonts w:ascii="標楷體" w:eastAsia="標楷體" w:hAnsi="標楷體" w:hint="eastAsia"/>
                <w:bCs/>
                <w:color w:val="000000"/>
                <w:kern w:val="2"/>
                <w:szCs w:val="22"/>
                <w:u w:val="single"/>
                <w:shd w:val="pct15" w:color="auto" w:fill="FFFFFF"/>
              </w:rPr>
              <w:t xml:space="preserve">  </w:t>
            </w:r>
            <w:r w:rsidRPr="00337FF2">
              <w:rPr>
                <w:rFonts w:ascii="標楷體" w:eastAsia="標楷體" w:hAnsi="標楷體"/>
                <w:bCs/>
                <w:color w:val="000000"/>
                <w:kern w:val="2"/>
                <w:szCs w:val="22"/>
              </w:rPr>
              <w:t>%</w:t>
            </w:r>
          </w:p>
        </w:tc>
      </w:tr>
      <w:tr w:rsidR="00337FF2" w:rsidRPr="00337FF2" w:rsidTr="007B4535">
        <w:tc>
          <w:tcPr>
            <w:tcW w:w="2777" w:type="dxa"/>
          </w:tcPr>
          <w:p w:rsidR="00337FF2" w:rsidRPr="00337FF2" w:rsidRDefault="00337FF2" w:rsidP="00337FF2">
            <w:pPr>
              <w:widowControl w:val="0"/>
              <w:adjustRightInd w:val="0"/>
              <w:spacing w:line="360" w:lineRule="exact"/>
              <w:rPr>
                <w:rFonts w:ascii="Calibri" w:eastAsia="標楷體" w:hAnsi="標楷體"/>
                <w:bCs/>
                <w:color w:val="000000"/>
                <w:kern w:val="2"/>
                <w:szCs w:val="22"/>
              </w:rPr>
            </w:pPr>
            <w:proofErr w:type="gramStart"/>
            <w:r w:rsidRPr="00337FF2">
              <w:rPr>
                <w:rFonts w:ascii="Calibri" w:eastAsia="標楷體" w:hAnsi="標楷體" w:hint="eastAsia"/>
                <w:bCs/>
                <w:color w:val="000000"/>
                <w:kern w:val="2"/>
                <w:szCs w:val="22"/>
                <w:u w:val="single"/>
                <w:shd w:val="pct15" w:color="auto" w:fill="FFFFFF"/>
              </w:rPr>
              <w:t>ＯＯ</w:t>
            </w:r>
            <w:proofErr w:type="gramEnd"/>
            <w:r w:rsidRPr="00337FF2">
              <w:rPr>
                <w:rFonts w:ascii="Calibri" w:eastAsia="標楷體" w:hAnsi="標楷體" w:hint="eastAsia"/>
                <w:bCs/>
                <w:color w:val="000000"/>
                <w:kern w:val="2"/>
                <w:szCs w:val="22"/>
              </w:rPr>
              <w:t>證券投資信託</w:t>
            </w:r>
            <w:r w:rsidRPr="00337FF2">
              <w:rPr>
                <w:rFonts w:ascii="標楷體" w:eastAsia="標楷體" w:hAnsi="標楷體" w:hint="eastAsia"/>
                <w:color w:val="000000"/>
                <w:kern w:val="2"/>
                <w:szCs w:val="22"/>
              </w:rPr>
              <w:t>基金</w:t>
            </w:r>
          </w:p>
        </w:tc>
        <w:tc>
          <w:tcPr>
            <w:tcW w:w="1750" w:type="dxa"/>
          </w:tcPr>
          <w:p w:rsidR="00337FF2" w:rsidRPr="00337FF2" w:rsidRDefault="00337FF2" w:rsidP="00337FF2">
            <w:pPr>
              <w:widowControl w:val="0"/>
              <w:adjustRightInd w:val="0"/>
              <w:spacing w:line="360" w:lineRule="exact"/>
              <w:rPr>
                <w:rFonts w:ascii="標楷體" w:eastAsia="標楷體" w:hAnsi="標楷體"/>
                <w:bCs/>
                <w:color w:val="000000"/>
                <w:kern w:val="2"/>
                <w:szCs w:val="22"/>
              </w:rPr>
            </w:pPr>
          </w:p>
        </w:tc>
      </w:tr>
      <w:tr w:rsidR="00337FF2" w:rsidRPr="00337FF2" w:rsidTr="007B4535">
        <w:tc>
          <w:tcPr>
            <w:tcW w:w="2777" w:type="dxa"/>
          </w:tcPr>
          <w:p w:rsidR="00337FF2" w:rsidRPr="00337FF2" w:rsidRDefault="00337FF2" w:rsidP="00337FF2">
            <w:pPr>
              <w:widowControl w:val="0"/>
              <w:adjustRightInd w:val="0"/>
              <w:spacing w:line="360" w:lineRule="exact"/>
              <w:rPr>
                <w:rFonts w:ascii="Calibri" w:eastAsia="標楷體" w:hAnsi="標楷體"/>
                <w:bCs/>
                <w:color w:val="000000"/>
                <w:kern w:val="2"/>
                <w:szCs w:val="22"/>
              </w:rPr>
            </w:pPr>
            <w:proofErr w:type="gramStart"/>
            <w:r w:rsidRPr="00337FF2">
              <w:rPr>
                <w:rFonts w:ascii="Calibri" w:eastAsia="標楷體" w:hAnsi="標楷體" w:hint="eastAsia"/>
                <w:bCs/>
                <w:color w:val="000000"/>
                <w:kern w:val="2"/>
                <w:szCs w:val="22"/>
                <w:u w:val="single"/>
                <w:shd w:val="pct15" w:color="auto" w:fill="FFFFFF"/>
              </w:rPr>
              <w:t>ＯＯ</w:t>
            </w:r>
            <w:proofErr w:type="gramEnd"/>
            <w:r w:rsidRPr="00337FF2">
              <w:rPr>
                <w:rFonts w:ascii="Calibri" w:eastAsia="標楷體" w:hAnsi="標楷體" w:hint="eastAsia"/>
                <w:bCs/>
                <w:color w:val="000000"/>
                <w:kern w:val="2"/>
                <w:szCs w:val="22"/>
              </w:rPr>
              <w:t>證券投資信託</w:t>
            </w:r>
            <w:r w:rsidRPr="00337FF2">
              <w:rPr>
                <w:rFonts w:ascii="標楷體" w:eastAsia="標楷體" w:hAnsi="標楷體" w:hint="eastAsia"/>
                <w:color w:val="000000"/>
                <w:kern w:val="2"/>
                <w:szCs w:val="22"/>
              </w:rPr>
              <w:t>基金</w:t>
            </w:r>
          </w:p>
        </w:tc>
        <w:tc>
          <w:tcPr>
            <w:tcW w:w="1750" w:type="dxa"/>
          </w:tcPr>
          <w:p w:rsidR="00337FF2" w:rsidRPr="00337FF2" w:rsidRDefault="00337FF2" w:rsidP="00337FF2">
            <w:pPr>
              <w:widowControl w:val="0"/>
              <w:adjustRightInd w:val="0"/>
              <w:spacing w:line="360" w:lineRule="exact"/>
              <w:rPr>
                <w:rFonts w:ascii="標楷體" w:eastAsia="標楷體" w:hAnsi="標楷體"/>
                <w:color w:val="000000"/>
                <w:kern w:val="2"/>
                <w:szCs w:val="22"/>
              </w:rPr>
            </w:pPr>
          </w:p>
        </w:tc>
      </w:tr>
      <w:tr w:rsidR="00337FF2" w:rsidRPr="00337FF2" w:rsidTr="007B4535">
        <w:tc>
          <w:tcPr>
            <w:tcW w:w="2777" w:type="dxa"/>
          </w:tcPr>
          <w:p w:rsidR="00337FF2" w:rsidRPr="00337FF2" w:rsidRDefault="00337FF2" w:rsidP="00337FF2">
            <w:pPr>
              <w:widowControl w:val="0"/>
              <w:adjustRightInd w:val="0"/>
              <w:spacing w:line="360" w:lineRule="exact"/>
              <w:rPr>
                <w:rFonts w:ascii="Calibri" w:eastAsia="標楷體" w:hAnsi="標楷體"/>
                <w:bCs/>
                <w:color w:val="000000"/>
                <w:kern w:val="2"/>
                <w:szCs w:val="22"/>
              </w:rPr>
            </w:pPr>
            <w:proofErr w:type="gramStart"/>
            <w:r w:rsidRPr="00337FF2">
              <w:rPr>
                <w:rFonts w:ascii="Calibri" w:eastAsia="標楷體" w:hAnsi="標楷體" w:hint="eastAsia"/>
                <w:bCs/>
                <w:color w:val="000000"/>
                <w:kern w:val="2"/>
                <w:szCs w:val="22"/>
                <w:u w:val="single"/>
                <w:shd w:val="pct15" w:color="auto" w:fill="FFFFFF"/>
              </w:rPr>
              <w:t>ＯＯ</w:t>
            </w:r>
            <w:proofErr w:type="gramEnd"/>
            <w:r w:rsidRPr="00337FF2">
              <w:rPr>
                <w:rFonts w:ascii="Calibri" w:eastAsia="標楷體" w:hAnsi="標楷體" w:hint="eastAsia"/>
                <w:bCs/>
                <w:color w:val="000000"/>
                <w:kern w:val="2"/>
                <w:szCs w:val="22"/>
              </w:rPr>
              <w:t>證券投資信託</w:t>
            </w:r>
            <w:r w:rsidRPr="00337FF2">
              <w:rPr>
                <w:rFonts w:ascii="標楷體" w:eastAsia="標楷體" w:hAnsi="標楷體" w:hint="eastAsia"/>
                <w:color w:val="000000"/>
                <w:kern w:val="2"/>
                <w:szCs w:val="22"/>
              </w:rPr>
              <w:t>基金</w:t>
            </w:r>
          </w:p>
        </w:tc>
        <w:tc>
          <w:tcPr>
            <w:tcW w:w="1750" w:type="dxa"/>
          </w:tcPr>
          <w:p w:rsidR="00337FF2" w:rsidRPr="00337FF2" w:rsidRDefault="00337FF2" w:rsidP="00337FF2">
            <w:pPr>
              <w:widowControl w:val="0"/>
              <w:adjustRightInd w:val="0"/>
              <w:spacing w:line="360" w:lineRule="exact"/>
              <w:rPr>
                <w:rFonts w:ascii="標楷體" w:eastAsia="標楷體" w:hAnsi="標楷體"/>
                <w:color w:val="000000"/>
                <w:kern w:val="2"/>
                <w:szCs w:val="22"/>
              </w:rPr>
            </w:pPr>
          </w:p>
        </w:tc>
      </w:tr>
      <w:tr w:rsidR="00337FF2" w:rsidRPr="00337FF2" w:rsidTr="007B4535">
        <w:tc>
          <w:tcPr>
            <w:tcW w:w="2777" w:type="dxa"/>
          </w:tcPr>
          <w:p w:rsidR="00337FF2" w:rsidRPr="00337FF2" w:rsidRDefault="00337FF2" w:rsidP="00337FF2">
            <w:pPr>
              <w:widowControl w:val="0"/>
              <w:adjustRightInd w:val="0"/>
              <w:spacing w:line="360" w:lineRule="exact"/>
              <w:rPr>
                <w:rFonts w:ascii="Calibri" w:eastAsia="標楷體" w:hAnsi="標楷體"/>
                <w:bCs/>
                <w:color w:val="000000"/>
                <w:kern w:val="2"/>
                <w:szCs w:val="22"/>
              </w:rPr>
            </w:pPr>
            <w:proofErr w:type="gramStart"/>
            <w:r w:rsidRPr="00337FF2">
              <w:rPr>
                <w:rFonts w:ascii="Calibri" w:eastAsia="標楷體" w:hAnsi="標楷體" w:hint="eastAsia"/>
                <w:bCs/>
                <w:color w:val="000000"/>
                <w:kern w:val="2"/>
                <w:szCs w:val="22"/>
                <w:u w:val="single"/>
                <w:shd w:val="pct15" w:color="auto" w:fill="FFFFFF"/>
              </w:rPr>
              <w:t>ＯＯ</w:t>
            </w:r>
            <w:proofErr w:type="gramEnd"/>
            <w:r w:rsidRPr="00337FF2">
              <w:rPr>
                <w:rFonts w:ascii="Calibri" w:eastAsia="標楷體" w:hAnsi="標楷體" w:hint="eastAsia"/>
                <w:bCs/>
                <w:color w:val="000000"/>
                <w:kern w:val="2"/>
                <w:szCs w:val="22"/>
              </w:rPr>
              <w:t>證券投資信託</w:t>
            </w:r>
            <w:r w:rsidRPr="00337FF2">
              <w:rPr>
                <w:rFonts w:ascii="標楷體" w:eastAsia="標楷體" w:hAnsi="標楷體" w:hint="eastAsia"/>
                <w:color w:val="000000"/>
                <w:kern w:val="2"/>
                <w:szCs w:val="22"/>
              </w:rPr>
              <w:t>基金</w:t>
            </w:r>
          </w:p>
        </w:tc>
        <w:tc>
          <w:tcPr>
            <w:tcW w:w="1750" w:type="dxa"/>
          </w:tcPr>
          <w:p w:rsidR="00337FF2" w:rsidRPr="00337FF2" w:rsidRDefault="00337FF2" w:rsidP="00337FF2">
            <w:pPr>
              <w:widowControl w:val="0"/>
              <w:adjustRightInd w:val="0"/>
              <w:spacing w:line="360" w:lineRule="exact"/>
              <w:rPr>
                <w:rFonts w:ascii="標楷體" w:eastAsia="標楷體" w:hAnsi="標楷體"/>
                <w:color w:val="000000"/>
                <w:kern w:val="2"/>
                <w:szCs w:val="22"/>
              </w:rPr>
            </w:pPr>
          </w:p>
        </w:tc>
      </w:tr>
      <w:tr w:rsidR="00337FF2" w:rsidRPr="00337FF2" w:rsidTr="007B4535">
        <w:tc>
          <w:tcPr>
            <w:tcW w:w="2777" w:type="dxa"/>
          </w:tcPr>
          <w:p w:rsidR="00337FF2" w:rsidRPr="00337FF2" w:rsidRDefault="00337FF2" w:rsidP="00337FF2">
            <w:pPr>
              <w:widowControl w:val="0"/>
              <w:adjustRightInd w:val="0"/>
              <w:spacing w:line="360" w:lineRule="exact"/>
              <w:rPr>
                <w:rFonts w:ascii="Calibri" w:eastAsia="標楷體" w:hAnsi="標楷體"/>
                <w:bCs/>
                <w:color w:val="000000"/>
                <w:kern w:val="2"/>
                <w:szCs w:val="22"/>
              </w:rPr>
            </w:pPr>
            <w:proofErr w:type="gramStart"/>
            <w:r w:rsidRPr="00337FF2">
              <w:rPr>
                <w:rFonts w:ascii="Calibri" w:eastAsia="標楷體" w:hAnsi="標楷體" w:hint="eastAsia"/>
                <w:bCs/>
                <w:color w:val="000000"/>
                <w:kern w:val="2"/>
                <w:szCs w:val="22"/>
                <w:u w:val="single"/>
                <w:shd w:val="pct15" w:color="auto" w:fill="FFFFFF"/>
              </w:rPr>
              <w:t>ＯＯ</w:t>
            </w:r>
            <w:proofErr w:type="gramEnd"/>
            <w:r w:rsidRPr="00337FF2">
              <w:rPr>
                <w:rFonts w:ascii="Calibri" w:eastAsia="標楷體" w:hAnsi="標楷體" w:hint="eastAsia"/>
                <w:bCs/>
                <w:color w:val="000000"/>
                <w:kern w:val="2"/>
                <w:szCs w:val="22"/>
              </w:rPr>
              <w:t>證券投資信託</w:t>
            </w:r>
            <w:r w:rsidRPr="00337FF2">
              <w:rPr>
                <w:rFonts w:ascii="標楷體" w:eastAsia="標楷體" w:hAnsi="標楷體" w:hint="eastAsia"/>
                <w:color w:val="000000"/>
                <w:kern w:val="2"/>
                <w:szCs w:val="22"/>
              </w:rPr>
              <w:t>基金</w:t>
            </w:r>
          </w:p>
        </w:tc>
        <w:tc>
          <w:tcPr>
            <w:tcW w:w="1750" w:type="dxa"/>
          </w:tcPr>
          <w:p w:rsidR="00337FF2" w:rsidRPr="00337FF2" w:rsidRDefault="00337FF2" w:rsidP="00337FF2">
            <w:pPr>
              <w:widowControl w:val="0"/>
              <w:adjustRightInd w:val="0"/>
              <w:spacing w:line="360" w:lineRule="exact"/>
              <w:rPr>
                <w:rFonts w:ascii="標楷體" w:eastAsia="標楷體" w:hAnsi="標楷體"/>
                <w:color w:val="000000"/>
                <w:kern w:val="2"/>
                <w:szCs w:val="22"/>
              </w:rPr>
            </w:pPr>
          </w:p>
        </w:tc>
      </w:tr>
    </w:tbl>
    <w:p w:rsidR="00337FF2" w:rsidRPr="00337FF2" w:rsidRDefault="00337FF2" w:rsidP="00337FF2">
      <w:pPr>
        <w:widowControl w:val="0"/>
        <w:spacing w:line="360" w:lineRule="exact"/>
        <w:ind w:rightChars="-12" w:right="-29"/>
        <w:rPr>
          <w:rFonts w:ascii="標楷體" w:eastAsia="標楷體" w:hAnsi="標楷體"/>
          <w:color w:val="000000"/>
          <w:kern w:val="2"/>
          <w:szCs w:val="22"/>
        </w:rPr>
      </w:pPr>
    </w:p>
    <w:p w:rsidR="00337FF2" w:rsidRPr="00337FF2" w:rsidRDefault="00337FF2" w:rsidP="00337FF2">
      <w:pPr>
        <w:widowControl w:val="0"/>
        <w:spacing w:line="360" w:lineRule="exact"/>
        <w:ind w:rightChars="-12" w:right="-29"/>
        <w:rPr>
          <w:rFonts w:ascii="標楷體" w:eastAsia="標楷體" w:hAnsi="標楷體"/>
          <w:color w:val="000000"/>
          <w:kern w:val="2"/>
          <w:szCs w:val="22"/>
        </w:rPr>
      </w:pPr>
    </w:p>
    <w:p w:rsidR="00337FF2" w:rsidRPr="00337FF2" w:rsidRDefault="00337FF2" w:rsidP="00337FF2">
      <w:pPr>
        <w:widowControl w:val="0"/>
        <w:spacing w:line="360" w:lineRule="exact"/>
        <w:ind w:rightChars="-12" w:right="-29"/>
        <w:rPr>
          <w:rFonts w:ascii="標楷體" w:eastAsia="標楷體" w:hAnsi="標楷體"/>
          <w:color w:val="000000"/>
          <w:kern w:val="2"/>
          <w:szCs w:val="22"/>
        </w:rPr>
      </w:pPr>
    </w:p>
    <w:p w:rsidR="00337FF2" w:rsidRPr="00337FF2" w:rsidRDefault="00337FF2" w:rsidP="00337FF2">
      <w:pPr>
        <w:widowControl w:val="0"/>
        <w:spacing w:line="360" w:lineRule="exact"/>
        <w:ind w:rightChars="-12" w:right="-29"/>
        <w:rPr>
          <w:rFonts w:ascii="標楷體" w:eastAsia="標楷體" w:hAnsi="標楷體"/>
          <w:color w:val="000000"/>
          <w:kern w:val="2"/>
          <w:szCs w:val="22"/>
        </w:rPr>
      </w:pPr>
    </w:p>
    <w:p w:rsidR="00337FF2" w:rsidRPr="00337FF2" w:rsidRDefault="00337FF2" w:rsidP="00337FF2">
      <w:pPr>
        <w:widowControl w:val="0"/>
        <w:spacing w:line="360" w:lineRule="exact"/>
        <w:ind w:rightChars="-12" w:right="-29"/>
        <w:rPr>
          <w:rFonts w:ascii="標楷體" w:eastAsia="標楷體" w:hAnsi="標楷體"/>
          <w:color w:val="000000"/>
          <w:kern w:val="2"/>
          <w:szCs w:val="22"/>
        </w:rPr>
      </w:pPr>
    </w:p>
    <w:p w:rsidR="00337FF2" w:rsidRPr="00337FF2" w:rsidRDefault="00337FF2" w:rsidP="00337FF2">
      <w:pPr>
        <w:widowControl w:val="0"/>
        <w:spacing w:line="360" w:lineRule="exact"/>
        <w:ind w:rightChars="-12" w:right="-29"/>
        <w:rPr>
          <w:rFonts w:ascii="標楷體" w:eastAsia="標楷體" w:hAnsi="標楷體"/>
          <w:color w:val="000000"/>
          <w:kern w:val="2"/>
          <w:szCs w:val="22"/>
        </w:rPr>
      </w:pPr>
    </w:p>
    <w:p w:rsidR="00337FF2" w:rsidRPr="00337FF2" w:rsidRDefault="00337FF2" w:rsidP="00337FF2">
      <w:pPr>
        <w:widowControl w:val="0"/>
        <w:spacing w:line="360" w:lineRule="exact"/>
        <w:ind w:rightChars="-12" w:right="-29"/>
        <w:rPr>
          <w:rFonts w:ascii="標楷體" w:eastAsia="標楷體" w:hAnsi="標楷體"/>
          <w:color w:val="000000"/>
          <w:kern w:val="2"/>
          <w:szCs w:val="22"/>
        </w:rPr>
      </w:pPr>
    </w:p>
    <w:p w:rsidR="00337FF2" w:rsidRPr="00337FF2" w:rsidRDefault="00337FF2" w:rsidP="00337FF2">
      <w:pPr>
        <w:widowControl w:val="0"/>
        <w:spacing w:line="360" w:lineRule="exact"/>
        <w:ind w:rightChars="-12" w:right="-29"/>
        <w:rPr>
          <w:rFonts w:ascii="標楷體" w:eastAsia="標楷體" w:hAnsi="標楷體"/>
          <w:color w:val="000000"/>
          <w:kern w:val="2"/>
          <w:szCs w:val="22"/>
        </w:rPr>
      </w:pPr>
    </w:p>
    <w:p w:rsidR="00337FF2" w:rsidRPr="00337FF2" w:rsidRDefault="00337FF2" w:rsidP="00337FF2">
      <w:pPr>
        <w:rPr>
          <w:rFonts w:ascii="標楷體" w:eastAsia="標楷體" w:hAnsi="標楷體"/>
          <w:color w:val="000000"/>
          <w:kern w:val="2"/>
          <w:szCs w:val="22"/>
        </w:rPr>
      </w:pPr>
      <w:r w:rsidRPr="00337FF2">
        <w:rPr>
          <w:rFonts w:ascii="標楷體" w:eastAsia="標楷體" w:hAnsi="標楷體"/>
          <w:color w:val="000000"/>
          <w:kern w:val="2"/>
          <w:szCs w:val="22"/>
        </w:rPr>
        <w:br w:type="page"/>
      </w:r>
    </w:p>
    <w:p w:rsidR="00337FF2" w:rsidRPr="00337FF2" w:rsidRDefault="00337FF2" w:rsidP="00337FF2">
      <w:pPr>
        <w:spacing w:afterLines="100" w:line="400" w:lineRule="exact"/>
        <w:rPr>
          <w:rFonts w:ascii="標楷體" w:eastAsia="標楷體" w:hAnsi="標楷體"/>
          <w:b/>
          <w:color w:val="000000"/>
          <w:kern w:val="2"/>
          <w:szCs w:val="20"/>
        </w:rPr>
      </w:pPr>
      <w:r w:rsidRPr="00337FF2">
        <w:rPr>
          <w:rFonts w:ascii="標楷體" w:eastAsia="標楷體" w:hAnsi="標楷體" w:hint="eastAsia"/>
          <w:b/>
          <w:color w:val="000000"/>
          <w:kern w:val="2"/>
          <w:szCs w:val="20"/>
        </w:rPr>
        <w:t>通路報酬揭露格式範本填寫說明</w:t>
      </w:r>
      <w:r w:rsidRPr="00337FF2">
        <w:rPr>
          <w:rFonts w:ascii="微軟正黑體" w:eastAsia="微軟正黑體" w:hAnsi="微軟正黑體" w:hint="eastAsia"/>
          <w:b/>
          <w:color w:val="000000"/>
          <w:kern w:val="2"/>
          <w:szCs w:val="20"/>
        </w:rPr>
        <w:t>：</w:t>
      </w:r>
    </w:p>
    <w:p w:rsidR="00337FF2" w:rsidRPr="00337FF2" w:rsidRDefault="00337FF2" w:rsidP="00337FF2">
      <w:pPr>
        <w:widowControl w:val="0"/>
        <w:numPr>
          <w:ilvl w:val="0"/>
          <w:numId w:val="3"/>
        </w:numPr>
        <w:adjustRightInd w:val="0"/>
        <w:snapToGrid w:val="0"/>
        <w:spacing w:afterLines="50" w:line="400" w:lineRule="exact"/>
        <w:jc w:val="both"/>
        <w:rPr>
          <w:rFonts w:ascii="標楷體" w:eastAsia="標楷體" w:hAnsi="標楷體"/>
          <w:color w:val="000000"/>
          <w:kern w:val="2"/>
        </w:rPr>
      </w:pPr>
      <w:r w:rsidRPr="00337FF2">
        <w:rPr>
          <w:rFonts w:ascii="標楷體" w:eastAsia="標楷體" w:hAnsi="標楷體" w:hint="eastAsia"/>
          <w:color w:val="000000"/>
          <w:kern w:val="2"/>
        </w:rPr>
        <w:t>銷售機構就投資人申請轉換/轉申購視為新申購基金交易，於投資人申請轉換/轉申購時須進行基金銷售前之通路報酬揭露。然若投資人申請A基金轉換/轉申購至B基金，A基金與B基金通路報酬費率相同，且A基金與B基金已於同一揭露文件、網路頁面或語音播放一起詳列及說明，則轉換/轉申購時不用再行揭露；</w:t>
      </w:r>
      <w:proofErr w:type="gramStart"/>
      <w:r w:rsidRPr="00337FF2">
        <w:rPr>
          <w:rFonts w:ascii="標楷體" w:eastAsia="標楷體" w:hAnsi="標楷體" w:hint="eastAsia"/>
          <w:color w:val="000000"/>
          <w:kern w:val="2"/>
        </w:rPr>
        <w:t>若否</w:t>
      </w:r>
      <w:proofErr w:type="gramEnd"/>
      <w:r w:rsidRPr="00337FF2">
        <w:rPr>
          <w:rFonts w:ascii="標楷體" w:eastAsia="標楷體" w:hAnsi="標楷體" w:hint="eastAsia"/>
          <w:color w:val="000000"/>
          <w:kern w:val="2"/>
        </w:rPr>
        <w:t>，則投資人申請轉換/轉申購前，仍須再行銷售前之通路報酬揭露。</w:t>
      </w:r>
    </w:p>
    <w:p w:rsidR="00337FF2" w:rsidRPr="00337FF2" w:rsidRDefault="00337FF2" w:rsidP="00337FF2">
      <w:pPr>
        <w:widowControl w:val="0"/>
        <w:numPr>
          <w:ilvl w:val="0"/>
          <w:numId w:val="3"/>
        </w:numPr>
        <w:adjustRightInd w:val="0"/>
        <w:snapToGrid w:val="0"/>
        <w:spacing w:afterLines="50" w:line="400" w:lineRule="exact"/>
        <w:jc w:val="both"/>
        <w:rPr>
          <w:rFonts w:ascii="標楷體" w:eastAsia="標楷體" w:hAnsi="標楷體"/>
          <w:color w:val="000000"/>
          <w:kern w:val="2"/>
        </w:rPr>
      </w:pPr>
      <w:r w:rsidRPr="00337FF2">
        <w:rPr>
          <w:rFonts w:ascii="標楷體" w:eastAsia="標楷體" w:hAnsi="標楷體" w:hint="eastAsia"/>
          <w:color w:val="000000"/>
          <w:kern w:val="2"/>
        </w:rPr>
        <w:t>銷售機構可就自身業務情況作字句的調整，如本銀行改成本公司；○○投信○○基金，改成○○公司○○基金等，並同步調整相關欄位。</w:t>
      </w:r>
    </w:p>
    <w:p w:rsidR="00337FF2" w:rsidRPr="00337FF2" w:rsidRDefault="00337FF2" w:rsidP="00337FF2">
      <w:pPr>
        <w:widowControl w:val="0"/>
        <w:numPr>
          <w:ilvl w:val="0"/>
          <w:numId w:val="3"/>
        </w:numPr>
        <w:adjustRightInd w:val="0"/>
        <w:snapToGrid w:val="0"/>
        <w:spacing w:afterLines="50" w:line="400" w:lineRule="exact"/>
        <w:jc w:val="both"/>
        <w:rPr>
          <w:rFonts w:ascii="標楷體" w:eastAsia="標楷體" w:hAnsi="標楷體"/>
          <w:color w:val="000000"/>
          <w:kern w:val="2"/>
        </w:rPr>
      </w:pPr>
      <w:r w:rsidRPr="00337FF2">
        <w:rPr>
          <w:rFonts w:ascii="標楷體" w:eastAsia="標楷體" w:hAnsi="標楷體" w:hint="eastAsia"/>
          <w:color w:val="000000"/>
          <w:kern w:val="2"/>
        </w:rPr>
        <w:t>投資人須單獨確認通路報酬之揭露文件、網路頁面或播放之語音。</w:t>
      </w:r>
    </w:p>
    <w:p w:rsidR="00337FF2" w:rsidRPr="00337FF2" w:rsidRDefault="00337FF2" w:rsidP="00337FF2">
      <w:pPr>
        <w:widowControl w:val="0"/>
        <w:numPr>
          <w:ilvl w:val="0"/>
          <w:numId w:val="3"/>
        </w:numPr>
        <w:jc w:val="both"/>
        <w:rPr>
          <w:rFonts w:ascii="標楷體" w:eastAsia="標楷體" w:hAnsi="標楷體"/>
          <w:color w:val="000000"/>
          <w:kern w:val="2"/>
          <w:szCs w:val="20"/>
        </w:rPr>
      </w:pPr>
      <w:r w:rsidRPr="00337FF2">
        <w:rPr>
          <w:rFonts w:ascii="標楷體" w:eastAsia="標楷體" w:hAnsi="標楷體" w:hint="eastAsia"/>
          <w:color w:val="000000"/>
          <w:kern w:val="2"/>
          <w:szCs w:val="20"/>
        </w:rPr>
        <w:t>申購手續費分成(</w:t>
      </w:r>
      <w:r w:rsidRPr="00337FF2">
        <w:rPr>
          <w:rFonts w:ascii="標楷體" w:eastAsia="標楷體" w:hAnsi="標楷體"/>
          <w:color w:val="000000"/>
          <w:kern w:val="2"/>
          <w:szCs w:val="20"/>
        </w:rPr>
        <w:t>%</w:t>
      </w:r>
      <w:r w:rsidRPr="00337FF2">
        <w:rPr>
          <w:rFonts w:ascii="標楷體" w:eastAsia="標楷體" w:hAnsi="標楷體" w:hint="eastAsia"/>
          <w:color w:val="000000"/>
          <w:kern w:val="2"/>
          <w:szCs w:val="20"/>
        </w:rPr>
        <w:t>)</w:t>
      </w:r>
    </w:p>
    <w:p w:rsidR="00337FF2" w:rsidRPr="00337FF2" w:rsidRDefault="00337FF2" w:rsidP="00337FF2">
      <w:pPr>
        <w:ind w:leftChars="295" w:left="1274" w:hangingChars="236" w:hanging="566"/>
        <w:jc w:val="both"/>
        <w:rPr>
          <w:rFonts w:ascii="標楷體" w:eastAsia="標楷體" w:hAnsi="標楷體"/>
          <w:color w:val="000000"/>
          <w:kern w:val="2"/>
          <w:szCs w:val="20"/>
        </w:rPr>
      </w:pPr>
      <w:r w:rsidRPr="00337FF2">
        <w:rPr>
          <w:rFonts w:ascii="標楷體" w:eastAsia="標楷體" w:hAnsi="標楷體" w:hint="eastAsia"/>
          <w:color w:val="000000"/>
          <w:kern w:val="2"/>
          <w:szCs w:val="20"/>
        </w:rPr>
        <w:t>(</w:t>
      </w:r>
      <w:proofErr w:type="gramStart"/>
      <w:r w:rsidRPr="00337FF2">
        <w:rPr>
          <w:rFonts w:ascii="標楷體" w:eastAsia="標楷體" w:hAnsi="標楷體" w:hint="eastAsia"/>
          <w:color w:val="000000"/>
          <w:kern w:val="2"/>
          <w:szCs w:val="20"/>
        </w:rPr>
        <w:t>一</w:t>
      </w:r>
      <w:proofErr w:type="gramEnd"/>
      <w:r w:rsidRPr="00337FF2">
        <w:rPr>
          <w:rFonts w:ascii="標楷體" w:eastAsia="標楷體" w:hAnsi="標楷體" w:hint="eastAsia"/>
          <w:color w:val="000000"/>
          <w:kern w:val="2"/>
          <w:szCs w:val="20"/>
        </w:rPr>
        <w:t>) 申購手續費率可為實際費率；或填寫投信基金之公開說明書或境外基金之總代理契約/銷售契約所載之最高申購手續費率（或銷售機構自訂之表定費率）。</w:t>
      </w:r>
    </w:p>
    <w:p w:rsidR="00337FF2" w:rsidRPr="00337FF2" w:rsidRDefault="00337FF2" w:rsidP="00337FF2">
      <w:pPr>
        <w:ind w:leftChars="295" w:left="1274" w:hangingChars="236" w:hanging="566"/>
        <w:jc w:val="both"/>
        <w:rPr>
          <w:rFonts w:ascii="標楷體" w:eastAsia="標楷體" w:hAnsi="標楷體"/>
          <w:color w:val="000000"/>
          <w:kern w:val="2"/>
          <w:szCs w:val="20"/>
        </w:rPr>
      </w:pPr>
      <w:r w:rsidRPr="00337FF2">
        <w:rPr>
          <w:rFonts w:ascii="標楷體" w:eastAsia="標楷體" w:hAnsi="標楷體" w:hint="eastAsia"/>
          <w:color w:val="000000"/>
          <w:kern w:val="2"/>
          <w:szCs w:val="20"/>
        </w:rPr>
        <w:t>(二) 申購手續費分成可為實際費率；或無條件進位至整數位，但不得高於最高手續費率（或銷售機構自訂之表定費率）。舉例：銷售機構收取2.4%，可無條件進位至整數位，即可表示為不多於3%。</w:t>
      </w:r>
    </w:p>
    <w:p w:rsidR="00EB2EB8" w:rsidRDefault="00337FF2" w:rsidP="00337FF2">
      <w:pPr>
        <w:ind w:leftChars="296" w:left="1274" w:hangingChars="235" w:hanging="564"/>
        <w:jc w:val="both"/>
        <w:rPr>
          <w:rFonts w:ascii="標楷體" w:eastAsia="標楷體" w:hAnsi="標楷體" w:hint="eastAsia"/>
          <w:bCs/>
          <w:color w:val="000000"/>
          <w:kern w:val="2"/>
          <w:szCs w:val="20"/>
          <w:u w:val="single"/>
          <w:shd w:val="pct15" w:color="auto" w:fill="FFFFFF"/>
        </w:rPr>
      </w:pPr>
      <w:r w:rsidRPr="00337FF2">
        <w:rPr>
          <w:rFonts w:ascii="標楷體" w:eastAsia="標楷體" w:hAnsi="標楷體" w:hint="eastAsia"/>
          <w:color w:val="000000"/>
          <w:kern w:val="2"/>
          <w:szCs w:val="20"/>
        </w:rPr>
        <w:t>(三) 申購手續費分成揭露，銷售機構可擇</w:t>
      </w:r>
      <w:proofErr w:type="gramStart"/>
      <w:r w:rsidRPr="00337FF2">
        <w:rPr>
          <w:rFonts w:ascii="標楷體" w:eastAsia="標楷體" w:hAnsi="標楷體" w:hint="eastAsia"/>
          <w:color w:val="000000"/>
          <w:kern w:val="2"/>
          <w:szCs w:val="20"/>
        </w:rPr>
        <w:t>一</w:t>
      </w:r>
      <w:proofErr w:type="gramEnd"/>
      <w:r w:rsidRPr="00337FF2">
        <w:rPr>
          <w:rFonts w:ascii="標楷體" w:eastAsia="標楷體" w:hAnsi="標楷體" w:hint="eastAsia"/>
          <w:color w:val="000000"/>
          <w:kern w:val="2"/>
          <w:szCs w:val="20"/>
        </w:rPr>
        <w:t>揭露「收取</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%」或「不多於</w:t>
      </w:r>
      <w:r w:rsidRPr="00337FF2">
        <w:rPr>
          <w:rFonts w:ascii="標楷體" w:eastAsia="標楷體" w:hAnsi="標楷體" w:hint="eastAsia"/>
          <w:bCs/>
          <w:color w:val="000000"/>
          <w:kern w:val="2"/>
          <w:szCs w:val="20"/>
          <w:u w:val="single"/>
          <w:shd w:val="pct15" w:color="auto" w:fill="FFFFFF"/>
        </w:rPr>
        <w:t xml:space="preserve"> </w:t>
      </w:r>
    </w:p>
    <w:p w:rsidR="008204B0" w:rsidRDefault="00337FF2" w:rsidP="00EB2EB8">
      <w:pPr>
        <w:ind w:leftChars="531" w:left="1274" w:firstLine="2"/>
        <w:jc w:val="both"/>
        <w:rPr>
          <w:rFonts w:ascii="標楷體" w:eastAsia="標楷體" w:hAnsi="標楷體" w:hint="eastAsia"/>
          <w:bCs/>
          <w:color w:val="000000"/>
          <w:kern w:val="2"/>
          <w:szCs w:val="20"/>
          <w:u w:val="single"/>
          <w:shd w:val="pct15" w:color="auto" w:fill="FFFFFF"/>
        </w:rPr>
      </w:pP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%」之文字。若未有分成者，則可將「其中本銀行收取</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w:t>
      </w:r>
      <w:proofErr w:type="gramStart"/>
      <w:r w:rsidRPr="00337FF2">
        <w:rPr>
          <w:rFonts w:ascii="標楷體" w:eastAsia="標楷體" w:hAnsi="標楷體" w:hint="eastAsia"/>
          <w:color w:val="000000"/>
          <w:kern w:val="2"/>
          <w:szCs w:val="20"/>
        </w:rPr>
        <w:t>（</w:t>
      </w:r>
      <w:proofErr w:type="gramEnd"/>
      <w:r w:rsidRPr="00337FF2">
        <w:rPr>
          <w:rFonts w:ascii="標楷體" w:eastAsia="標楷體" w:hAnsi="標楷體" w:hint="eastAsia"/>
          <w:color w:val="000000"/>
          <w:kern w:val="2"/>
          <w:szCs w:val="20"/>
        </w:rPr>
        <w:t>或不多於</w:t>
      </w:r>
      <w:r w:rsidRPr="00337FF2">
        <w:rPr>
          <w:rFonts w:ascii="標楷體" w:eastAsia="標楷體" w:hAnsi="標楷體" w:hint="eastAsia"/>
          <w:bCs/>
          <w:color w:val="000000"/>
          <w:kern w:val="2"/>
          <w:szCs w:val="20"/>
          <w:u w:val="single"/>
          <w:shd w:val="pct15" w:color="auto" w:fill="FFFFFF"/>
        </w:rPr>
        <w:t xml:space="preserve"> </w:t>
      </w:r>
    </w:p>
    <w:p w:rsidR="00337FF2" w:rsidRPr="00337FF2" w:rsidRDefault="00337FF2" w:rsidP="00EB2EB8">
      <w:pPr>
        <w:ind w:leftChars="531" w:left="1274" w:firstLine="2"/>
        <w:jc w:val="both"/>
        <w:rPr>
          <w:rFonts w:ascii="標楷體" w:eastAsia="標楷體" w:hAnsi="標楷體"/>
          <w:color w:val="000000"/>
          <w:kern w:val="2"/>
          <w:szCs w:val="20"/>
        </w:rPr>
      </w:pP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 xml:space="preserve">% </w:t>
      </w:r>
      <w:proofErr w:type="gramStart"/>
      <w:r w:rsidRPr="00337FF2">
        <w:rPr>
          <w:rFonts w:ascii="標楷體" w:eastAsia="標楷體" w:hAnsi="標楷體" w:hint="eastAsia"/>
          <w:color w:val="000000"/>
          <w:kern w:val="2"/>
          <w:szCs w:val="20"/>
        </w:rPr>
        <w:t>）</w:t>
      </w:r>
      <w:proofErr w:type="gramEnd"/>
      <w:r w:rsidRPr="00337FF2">
        <w:rPr>
          <w:rFonts w:ascii="標楷體" w:eastAsia="標楷體" w:hAnsi="標楷體" w:hint="eastAsia"/>
          <w:color w:val="000000"/>
          <w:kern w:val="2"/>
          <w:szCs w:val="20"/>
        </w:rPr>
        <w:t>」之揭露文字及相關計算說明刪除。</w:t>
      </w:r>
    </w:p>
    <w:p w:rsidR="00337FF2" w:rsidRPr="00337FF2" w:rsidRDefault="00337FF2" w:rsidP="00337FF2">
      <w:pPr>
        <w:ind w:leftChars="235" w:left="1130" w:hangingChars="236" w:hanging="566"/>
        <w:jc w:val="both"/>
        <w:rPr>
          <w:rFonts w:ascii="標楷體" w:eastAsia="標楷體" w:hAnsi="標楷體"/>
          <w:color w:val="000000"/>
          <w:kern w:val="2"/>
          <w:szCs w:val="20"/>
        </w:rPr>
      </w:pPr>
      <w:r w:rsidRPr="00337FF2">
        <w:rPr>
          <w:rFonts w:ascii="標楷體" w:eastAsia="標楷體" w:hAnsi="標楷體" w:hint="eastAsia"/>
          <w:color w:val="000000"/>
          <w:kern w:val="2"/>
          <w:szCs w:val="20"/>
        </w:rPr>
        <w:t>（四）申購手續費分成揭露可依投資人申購基金屬前收型或後</w:t>
      </w:r>
      <w:proofErr w:type="gramStart"/>
      <w:r w:rsidRPr="00337FF2">
        <w:rPr>
          <w:rFonts w:ascii="標楷體" w:eastAsia="標楷體" w:hAnsi="標楷體" w:hint="eastAsia"/>
          <w:color w:val="000000"/>
          <w:kern w:val="2"/>
          <w:szCs w:val="20"/>
        </w:rPr>
        <w:t>收型擇</w:t>
      </w:r>
      <w:proofErr w:type="gramEnd"/>
      <w:r w:rsidRPr="00337FF2">
        <w:rPr>
          <w:rFonts w:ascii="標楷體" w:eastAsia="標楷體" w:hAnsi="標楷體" w:hint="eastAsia"/>
          <w:color w:val="000000"/>
          <w:kern w:val="2"/>
          <w:szCs w:val="20"/>
        </w:rPr>
        <w:t>1或2揭示。</w:t>
      </w:r>
    </w:p>
    <w:p w:rsidR="00337FF2" w:rsidRPr="00337FF2" w:rsidRDefault="00337FF2" w:rsidP="00337FF2">
      <w:pPr>
        <w:ind w:leftChars="295" w:left="1274" w:hangingChars="236" w:hanging="566"/>
        <w:jc w:val="both"/>
        <w:rPr>
          <w:rFonts w:ascii="標楷體" w:eastAsia="標楷體" w:hAnsi="標楷體"/>
          <w:color w:val="000000"/>
          <w:kern w:val="2"/>
          <w:szCs w:val="20"/>
        </w:rPr>
      </w:pPr>
      <w:r w:rsidRPr="00337FF2">
        <w:rPr>
          <w:rFonts w:ascii="標楷體" w:eastAsia="標楷體" w:hAnsi="標楷體" w:hint="eastAsia"/>
          <w:color w:val="000000"/>
          <w:kern w:val="2"/>
          <w:szCs w:val="20"/>
        </w:rPr>
        <w:t>(五) 銷售機構應於申購申請書、證券商受託買賣之委託書或</w:t>
      </w:r>
      <w:proofErr w:type="gramStart"/>
      <w:r w:rsidRPr="00337FF2">
        <w:rPr>
          <w:rFonts w:ascii="標楷體" w:eastAsia="標楷體" w:hAnsi="標楷體" w:hint="eastAsia"/>
          <w:color w:val="000000"/>
          <w:kern w:val="2"/>
          <w:szCs w:val="20"/>
        </w:rPr>
        <w:t>類似書件載</w:t>
      </w:r>
      <w:proofErr w:type="gramEnd"/>
      <w:r w:rsidRPr="00337FF2">
        <w:rPr>
          <w:rFonts w:ascii="標楷體" w:eastAsia="標楷體" w:hAnsi="標楷體" w:hint="eastAsia"/>
          <w:color w:val="000000"/>
          <w:kern w:val="2"/>
          <w:szCs w:val="20"/>
        </w:rPr>
        <w:t>明個別投資人實際手續費收取情形。</w:t>
      </w:r>
    </w:p>
    <w:p w:rsidR="00337FF2" w:rsidRPr="00337FF2" w:rsidRDefault="00337FF2" w:rsidP="00337FF2">
      <w:pPr>
        <w:widowControl w:val="0"/>
        <w:ind w:leftChars="296" w:left="1274" w:hangingChars="235" w:hanging="564"/>
        <w:jc w:val="both"/>
        <w:rPr>
          <w:rFonts w:ascii="標楷體" w:eastAsia="標楷體" w:hAnsi="標楷體"/>
          <w:color w:val="000000"/>
          <w:kern w:val="2"/>
          <w:szCs w:val="20"/>
        </w:rPr>
      </w:pPr>
      <w:r w:rsidRPr="00337FF2">
        <w:rPr>
          <w:rFonts w:ascii="標楷體" w:eastAsia="標楷體" w:hAnsi="標楷體" w:hint="eastAsia"/>
          <w:color w:val="000000"/>
          <w:kern w:val="2"/>
        </w:rPr>
        <w:t>(六) 轉換</w:t>
      </w:r>
      <w:r w:rsidRPr="00337FF2">
        <w:rPr>
          <w:rFonts w:ascii="標楷體" w:eastAsia="標楷體" w:hAnsi="標楷體" w:hint="eastAsia"/>
          <w:color w:val="000000"/>
          <w:kern w:val="2"/>
          <w:szCs w:val="20"/>
        </w:rPr>
        <w:t>/轉申購</w:t>
      </w:r>
      <w:r w:rsidRPr="00337FF2">
        <w:rPr>
          <w:rFonts w:ascii="標楷體" w:eastAsia="標楷體" w:hAnsi="標楷體" w:hint="eastAsia"/>
          <w:color w:val="000000"/>
          <w:kern w:val="2"/>
        </w:rPr>
        <w:t>手續費分成應比照申購手續費分成之揭露方式辦理，須單獨</w:t>
      </w:r>
      <w:proofErr w:type="gramStart"/>
      <w:r w:rsidRPr="00337FF2">
        <w:rPr>
          <w:rFonts w:ascii="標楷體" w:eastAsia="標楷體" w:hAnsi="標楷體" w:hint="eastAsia"/>
          <w:color w:val="000000"/>
          <w:kern w:val="2"/>
        </w:rPr>
        <w:t>列明且不得</w:t>
      </w:r>
      <w:proofErr w:type="gramEnd"/>
      <w:r w:rsidRPr="00337FF2">
        <w:rPr>
          <w:rFonts w:ascii="標楷體" w:eastAsia="標楷體" w:hAnsi="標楷體" w:hint="eastAsia"/>
          <w:color w:val="000000"/>
          <w:kern w:val="2"/>
        </w:rPr>
        <w:t>併入申購手續費分成。</w:t>
      </w:r>
    </w:p>
    <w:p w:rsidR="00337FF2" w:rsidRPr="00337FF2" w:rsidRDefault="00337FF2" w:rsidP="00337FF2">
      <w:pPr>
        <w:widowControl w:val="0"/>
        <w:ind w:leftChars="296" w:left="1274" w:hangingChars="235" w:hanging="564"/>
        <w:jc w:val="both"/>
        <w:rPr>
          <w:rFonts w:ascii="標楷體" w:eastAsia="標楷體" w:hAnsi="標楷體"/>
          <w:color w:val="000000"/>
          <w:kern w:val="2"/>
          <w:szCs w:val="20"/>
        </w:rPr>
      </w:pPr>
      <w:r w:rsidRPr="00337FF2">
        <w:rPr>
          <w:rFonts w:ascii="標楷體" w:eastAsia="標楷體" w:hAnsi="標楷體" w:hint="eastAsia"/>
          <w:color w:val="000000"/>
          <w:kern w:val="2"/>
          <w:szCs w:val="20"/>
        </w:rPr>
        <w:t>(七) 轉換/轉申購手續費分成揭露，銷售機構可擇</w:t>
      </w:r>
      <w:proofErr w:type="gramStart"/>
      <w:r w:rsidRPr="00337FF2">
        <w:rPr>
          <w:rFonts w:ascii="標楷體" w:eastAsia="標楷體" w:hAnsi="標楷體" w:hint="eastAsia"/>
          <w:color w:val="000000"/>
          <w:kern w:val="2"/>
          <w:szCs w:val="20"/>
        </w:rPr>
        <w:t>一</w:t>
      </w:r>
      <w:proofErr w:type="gramEnd"/>
      <w:r w:rsidRPr="00337FF2">
        <w:rPr>
          <w:rFonts w:ascii="標楷體" w:eastAsia="標楷體" w:hAnsi="標楷體" w:hint="eastAsia"/>
          <w:color w:val="000000"/>
          <w:kern w:val="2"/>
          <w:szCs w:val="20"/>
        </w:rPr>
        <w:t>揭露「收取</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%」或「不多於</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 」之文字。若未有分成者，則可將「其中本銀行收取</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%（或不多於</w:t>
      </w:r>
      <w:r w:rsidRPr="00337FF2">
        <w:rPr>
          <w:rFonts w:ascii="標楷體" w:eastAsia="標楷體" w:hAnsi="標楷體" w:hint="eastAsia"/>
          <w:color w:val="000000"/>
          <w:kern w:val="2"/>
          <w:szCs w:val="20"/>
          <w:u w:val="single"/>
          <w:shd w:val="pct15" w:color="auto" w:fill="FFFFFF"/>
        </w:rPr>
        <w:t xml:space="preserve">  </w:t>
      </w:r>
      <w:r w:rsidRPr="00337FF2">
        <w:rPr>
          <w:rFonts w:ascii="標楷體" w:eastAsia="標楷體" w:hAnsi="標楷體" w:hint="eastAsia"/>
          <w:color w:val="000000"/>
          <w:kern w:val="2"/>
          <w:szCs w:val="20"/>
        </w:rPr>
        <w:t>% ）」之揭露文字刪除。</w:t>
      </w:r>
    </w:p>
    <w:p w:rsidR="00337FF2" w:rsidRPr="00337FF2" w:rsidRDefault="00337FF2" w:rsidP="00337FF2">
      <w:pPr>
        <w:widowControl w:val="0"/>
        <w:numPr>
          <w:ilvl w:val="0"/>
          <w:numId w:val="3"/>
        </w:numPr>
        <w:jc w:val="both"/>
        <w:rPr>
          <w:rFonts w:ascii="標楷體" w:eastAsia="標楷體" w:hAnsi="標楷體"/>
          <w:color w:val="000000"/>
          <w:kern w:val="2"/>
          <w:szCs w:val="20"/>
        </w:rPr>
      </w:pPr>
      <w:r w:rsidRPr="00337FF2">
        <w:rPr>
          <w:rFonts w:ascii="標楷體" w:eastAsia="標楷體" w:hAnsi="標楷體" w:hint="eastAsia"/>
          <w:color w:val="000000"/>
          <w:kern w:val="2"/>
          <w:szCs w:val="20"/>
        </w:rPr>
        <w:t>經理費分成(</w:t>
      </w:r>
      <w:r w:rsidRPr="00337FF2">
        <w:rPr>
          <w:rFonts w:ascii="標楷體" w:eastAsia="標楷體" w:hAnsi="標楷體"/>
          <w:color w:val="000000"/>
          <w:kern w:val="2"/>
          <w:szCs w:val="20"/>
        </w:rPr>
        <w:t>%</w:t>
      </w:r>
      <w:r w:rsidRPr="00337FF2">
        <w:rPr>
          <w:rFonts w:ascii="標楷體" w:eastAsia="標楷體" w:hAnsi="標楷體" w:hint="eastAsia"/>
          <w:color w:val="000000"/>
          <w:kern w:val="2"/>
          <w:szCs w:val="20"/>
        </w:rPr>
        <w:t>)</w:t>
      </w:r>
    </w:p>
    <w:p w:rsidR="00337FF2" w:rsidRPr="00337FF2" w:rsidRDefault="00337FF2" w:rsidP="00337FF2">
      <w:pPr>
        <w:widowControl w:val="0"/>
        <w:numPr>
          <w:ilvl w:val="0"/>
          <w:numId w:val="2"/>
        </w:numPr>
        <w:ind w:left="1276" w:hanging="709"/>
        <w:jc w:val="both"/>
        <w:rPr>
          <w:rFonts w:ascii="標楷體" w:eastAsia="標楷體" w:hAnsi="標楷體"/>
          <w:color w:val="000000"/>
          <w:kern w:val="2"/>
          <w:szCs w:val="20"/>
        </w:rPr>
      </w:pPr>
      <w:r w:rsidRPr="00337FF2">
        <w:rPr>
          <w:rFonts w:ascii="標楷體" w:eastAsia="標楷體" w:hAnsi="標楷體" w:hint="eastAsia"/>
          <w:color w:val="000000"/>
          <w:kern w:val="2"/>
          <w:szCs w:val="20"/>
        </w:rPr>
        <w:t>經理費年率可填寫投信基金之公開說明書或境外基金之總代理契約/銷售契約所載之最高經理費年率。</w:t>
      </w:r>
    </w:p>
    <w:p w:rsidR="00337FF2" w:rsidRPr="00337FF2" w:rsidRDefault="00337FF2" w:rsidP="00337FF2">
      <w:pPr>
        <w:widowControl w:val="0"/>
        <w:numPr>
          <w:ilvl w:val="0"/>
          <w:numId w:val="2"/>
        </w:numPr>
        <w:ind w:left="1276" w:hanging="709"/>
        <w:jc w:val="both"/>
        <w:rPr>
          <w:rFonts w:ascii="標楷體" w:eastAsia="標楷體" w:hAnsi="標楷體"/>
          <w:color w:val="000000"/>
          <w:kern w:val="2"/>
          <w:szCs w:val="20"/>
        </w:rPr>
      </w:pPr>
      <w:r w:rsidRPr="00337FF2">
        <w:rPr>
          <w:rFonts w:ascii="標楷體" w:eastAsia="標楷體" w:hAnsi="標楷體" w:hint="eastAsia"/>
          <w:color w:val="000000"/>
          <w:kern w:val="2"/>
          <w:szCs w:val="20"/>
        </w:rPr>
        <w:t>經理費分成可為實際費率；或無條件進位至整數位，但不得高於最高經理費年率。舉例：銷售機構收取2.4%，可無條件進位至整數位，即可表示為不多於3%。</w:t>
      </w:r>
    </w:p>
    <w:p w:rsidR="00337FF2" w:rsidRPr="00337FF2" w:rsidRDefault="00337FF2" w:rsidP="00337FF2">
      <w:pPr>
        <w:widowControl w:val="0"/>
        <w:numPr>
          <w:ilvl w:val="0"/>
          <w:numId w:val="2"/>
        </w:numPr>
        <w:ind w:left="1276" w:hanging="709"/>
        <w:jc w:val="both"/>
        <w:rPr>
          <w:rFonts w:ascii="標楷體" w:eastAsia="標楷體" w:hAnsi="標楷體"/>
          <w:color w:val="000000"/>
          <w:kern w:val="2"/>
          <w:szCs w:val="20"/>
        </w:rPr>
      </w:pPr>
      <w:r w:rsidRPr="00337FF2">
        <w:rPr>
          <w:rFonts w:ascii="標楷體" w:eastAsia="標楷體" w:hAnsi="標楷體" w:hint="eastAsia"/>
          <w:color w:val="000000"/>
          <w:kern w:val="2"/>
          <w:szCs w:val="20"/>
        </w:rPr>
        <w:lastRenderedPageBreak/>
        <w:t>經理費分成揭露，銷售機構可擇</w:t>
      </w:r>
      <w:proofErr w:type="gramStart"/>
      <w:r w:rsidRPr="00337FF2">
        <w:rPr>
          <w:rFonts w:ascii="標楷體" w:eastAsia="標楷體" w:hAnsi="標楷體" w:hint="eastAsia"/>
          <w:color w:val="000000"/>
          <w:kern w:val="2"/>
          <w:szCs w:val="20"/>
        </w:rPr>
        <w:t>一</w:t>
      </w:r>
      <w:proofErr w:type="gramEnd"/>
      <w:r w:rsidRPr="00337FF2">
        <w:rPr>
          <w:rFonts w:ascii="標楷體" w:eastAsia="標楷體" w:hAnsi="標楷體" w:hint="eastAsia"/>
          <w:color w:val="000000"/>
          <w:kern w:val="2"/>
          <w:szCs w:val="20"/>
        </w:rPr>
        <w:t>揭露</w:t>
      </w:r>
      <w:r w:rsidRPr="00337FF2">
        <w:rPr>
          <w:rFonts w:ascii="新細明體" w:hAnsi="新細明體" w:hint="eastAsia"/>
          <w:color w:val="000000"/>
          <w:kern w:val="2"/>
          <w:szCs w:val="20"/>
        </w:rPr>
        <w:t>「</w:t>
      </w:r>
      <w:r w:rsidRPr="00337FF2">
        <w:rPr>
          <w:rFonts w:ascii="標楷體" w:eastAsia="標楷體" w:hAnsi="標楷體" w:hint="eastAsia"/>
          <w:color w:val="000000"/>
          <w:kern w:val="2"/>
          <w:szCs w:val="20"/>
        </w:rPr>
        <w:t>收取年率</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w:t>
      </w:r>
      <w:r w:rsidRPr="00337FF2">
        <w:rPr>
          <w:rFonts w:ascii="新細明體" w:hAnsi="新細明體" w:hint="eastAsia"/>
          <w:color w:val="000000"/>
          <w:kern w:val="2"/>
          <w:szCs w:val="20"/>
        </w:rPr>
        <w:t>」</w:t>
      </w:r>
      <w:r w:rsidRPr="00337FF2">
        <w:rPr>
          <w:rFonts w:ascii="標楷體" w:eastAsia="標楷體" w:hAnsi="標楷體" w:hint="eastAsia"/>
          <w:color w:val="000000"/>
          <w:kern w:val="2"/>
          <w:szCs w:val="20"/>
        </w:rPr>
        <w:t>或</w:t>
      </w:r>
      <w:r w:rsidRPr="00337FF2">
        <w:rPr>
          <w:rFonts w:ascii="新細明體" w:hAnsi="新細明體" w:hint="eastAsia"/>
          <w:color w:val="000000"/>
          <w:kern w:val="2"/>
          <w:szCs w:val="20"/>
        </w:rPr>
        <w:t>「</w:t>
      </w:r>
      <w:r w:rsidRPr="00337FF2">
        <w:rPr>
          <w:rFonts w:ascii="標楷體" w:eastAsia="標楷體" w:hAnsi="標楷體" w:hint="eastAsia"/>
          <w:color w:val="000000"/>
          <w:kern w:val="2"/>
          <w:szCs w:val="20"/>
        </w:rPr>
        <w:t>不多於年率</w:t>
      </w:r>
      <w:r w:rsidRPr="00337FF2">
        <w:rPr>
          <w:rFonts w:ascii="標楷體" w:eastAsia="標楷體" w:hAnsi="標楷體" w:hint="eastAsia"/>
          <w:bCs/>
          <w:color w:val="000000"/>
          <w:kern w:val="2"/>
          <w:szCs w:val="20"/>
          <w:u w:val="single"/>
          <w:shd w:val="pct15" w:color="auto" w:fill="FFFFFF"/>
        </w:rPr>
        <w:t xml:space="preserve">  </w:t>
      </w:r>
      <w:r w:rsidRPr="00337FF2">
        <w:rPr>
          <w:rFonts w:ascii="標楷體" w:eastAsia="標楷體" w:hAnsi="標楷體" w:hint="eastAsia"/>
          <w:color w:val="000000"/>
          <w:kern w:val="2"/>
          <w:szCs w:val="20"/>
        </w:rPr>
        <w:t xml:space="preserve">% </w:t>
      </w:r>
      <w:r w:rsidRPr="00337FF2">
        <w:rPr>
          <w:rFonts w:ascii="新細明體" w:hAnsi="新細明體" w:hint="eastAsia"/>
          <w:color w:val="000000"/>
          <w:kern w:val="2"/>
          <w:szCs w:val="20"/>
        </w:rPr>
        <w:t>」</w:t>
      </w:r>
      <w:r w:rsidRPr="00337FF2">
        <w:rPr>
          <w:rFonts w:ascii="標楷體" w:eastAsia="標楷體" w:hAnsi="標楷體" w:hint="eastAsia"/>
          <w:color w:val="000000"/>
          <w:kern w:val="2"/>
          <w:szCs w:val="20"/>
        </w:rPr>
        <w:t>之文字。</w:t>
      </w:r>
    </w:p>
    <w:p w:rsidR="00337FF2" w:rsidRDefault="00337FF2" w:rsidP="00337FF2">
      <w:pPr>
        <w:widowControl w:val="0"/>
        <w:numPr>
          <w:ilvl w:val="0"/>
          <w:numId w:val="2"/>
        </w:numPr>
        <w:ind w:left="1276" w:hanging="709"/>
        <w:jc w:val="both"/>
        <w:rPr>
          <w:rFonts w:ascii="標楷體" w:eastAsia="標楷體" w:hAnsi="標楷體" w:hint="eastAsia"/>
          <w:kern w:val="2"/>
          <w:szCs w:val="20"/>
        </w:rPr>
      </w:pPr>
      <w:r w:rsidRPr="00337FF2">
        <w:rPr>
          <w:rFonts w:ascii="標楷體" w:eastAsia="標楷體" w:hAnsi="標楷體" w:hint="eastAsia"/>
          <w:kern w:val="2"/>
          <w:szCs w:val="20"/>
        </w:rPr>
        <w:t>若基金未收取經銷費（Distribution Fee、12b-1 Fee）等，可刪除「</w:t>
      </w:r>
      <w:proofErr w:type="gramStart"/>
      <w:r w:rsidRPr="00337FF2">
        <w:rPr>
          <w:rFonts w:ascii="標楷體" w:eastAsia="標楷體" w:hAnsi="標楷體" w:hint="eastAsia"/>
          <w:kern w:val="2"/>
          <w:szCs w:val="20"/>
        </w:rPr>
        <w:t>（</w:t>
      </w:r>
      <w:proofErr w:type="gramEnd"/>
      <w:r w:rsidRPr="00337FF2">
        <w:rPr>
          <w:rFonts w:ascii="標楷體" w:eastAsia="標楷體" w:hAnsi="標楷體" w:hint="eastAsia"/>
          <w:kern w:val="2"/>
          <w:szCs w:val="20"/>
        </w:rPr>
        <w:t>含經銷費</w:t>
      </w:r>
      <w:proofErr w:type="gramStart"/>
      <w:r w:rsidRPr="00337FF2">
        <w:rPr>
          <w:rFonts w:ascii="標楷體" w:eastAsia="標楷體" w:hAnsi="標楷體" w:hint="eastAsia"/>
          <w:kern w:val="2"/>
          <w:szCs w:val="20"/>
        </w:rPr>
        <w:t>（</w:t>
      </w:r>
      <w:proofErr w:type="gramEnd"/>
      <w:r w:rsidRPr="00337FF2">
        <w:rPr>
          <w:rFonts w:ascii="標楷體" w:eastAsia="標楷體" w:hAnsi="標楷體" w:hint="eastAsia"/>
          <w:kern w:val="2"/>
          <w:szCs w:val="20"/>
        </w:rPr>
        <w:t>Distribution Fee、12b-1等</w:t>
      </w:r>
      <w:proofErr w:type="gramStart"/>
      <w:r w:rsidRPr="00337FF2">
        <w:rPr>
          <w:rFonts w:ascii="標楷體" w:eastAsia="標楷體" w:hAnsi="標楷體" w:hint="eastAsia"/>
          <w:kern w:val="2"/>
          <w:szCs w:val="20"/>
        </w:rPr>
        <w:t>）</w:t>
      </w:r>
      <w:proofErr w:type="gramEnd"/>
      <w:r w:rsidRPr="00337FF2">
        <w:rPr>
          <w:rFonts w:ascii="標楷體" w:eastAsia="標楷體" w:hAnsi="標楷體" w:hint="eastAsia"/>
          <w:kern w:val="2"/>
          <w:szCs w:val="20"/>
        </w:rPr>
        <w:t>」之文字。</w:t>
      </w:r>
    </w:p>
    <w:p w:rsidR="00183768" w:rsidRPr="00183768" w:rsidRDefault="00183768" w:rsidP="00183768">
      <w:pPr>
        <w:widowControl w:val="0"/>
        <w:numPr>
          <w:ilvl w:val="0"/>
          <w:numId w:val="3"/>
        </w:numPr>
        <w:ind w:left="480"/>
        <w:jc w:val="both"/>
        <w:rPr>
          <w:rFonts w:ascii="標楷體" w:eastAsia="標楷體" w:hAnsi="標楷體"/>
          <w:color w:val="000000"/>
          <w:kern w:val="2"/>
          <w:szCs w:val="20"/>
        </w:rPr>
      </w:pPr>
      <w:r w:rsidRPr="00183768">
        <w:rPr>
          <w:rFonts w:ascii="標楷體" w:eastAsia="標楷體" w:hAnsi="標楷體" w:hint="eastAsia"/>
          <w:color w:val="000000"/>
          <w:kern w:val="2"/>
          <w:szCs w:val="20"/>
        </w:rPr>
        <w:t>贊助或提供對銷售機構之產品說明會及員工教育訓練</w:t>
      </w:r>
    </w:p>
    <w:p w:rsidR="00183768" w:rsidRPr="00183768" w:rsidRDefault="00183768" w:rsidP="00183768">
      <w:pPr>
        <w:ind w:leftChars="235" w:left="1272" w:hangingChars="295" w:hanging="708"/>
        <w:jc w:val="both"/>
        <w:rPr>
          <w:rFonts w:ascii="標楷體" w:eastAsia="標楷體" w:hAnsi="標楷體"/>
          <w:color w:val="000000"/>
          <w:kern w:val="2"/>
          <w:szCs w:val="20"/>
        </w:rPr>
      </w:pPr>
      <w:r w:rsidRPr="00183768">
        <w:rPr>
          <w:rFonts w:ascii="標楷體" w:eastAsia="標楷體" w:hAnsi="標楷體" w:hint="eastAsia"/>
          <w:color w:val="000000"/>
          <w:kern w:val="2"/>
          <w:szCs w:val="20"/>
        </w:rPr>
        <w:t>（一）總代理人或銷售機構就同一基金公司所管理之境外基金，自境外基金機構或總代理人所獲得贊助或提供產品說明會及員工教育訓練之金額，以每一會計年度合計核算，於贊助或提供預估或累計達新臺幣二百萬元時，應為揭露。</w:t>
      </w:r>
    </w:p>
    <w:p w:rsidR="00183768" w:rsidRPr="00183768" w:rsidRDefault="00183768" w:rsidP="00183768">
      <w:pPr>
        <w:ind w:leftChars="235" w:left="1272" w:hangingChars="295" w:hanging="708"/>
        <w:jc w:val="both"/>
        <w:rPr>
          <w:rFonts w:ascii="標楷體" w:eastAsia="標楷體" w:hAnsi="標楷體"/>
          <w:color w:val="000000"/>
          <w:kern w:val="2"/>
          <w:szCs w:val="20"/>
        </w:rPr>
      </w:pPr>
      <w:r w:rsidRPr="00183768">
        <w:rPr>
          <w:rFonts w:ascii="標楷體" w:eastAsia="標楷體" w:hAnsi="標楷體" w:hint="eastAsia"/>
          <w:color w:val="000000"/>
          <w:kern w:val="2"/>
          <w:szCs w:val="20"/>
        </w:rPr>
        <w:t xml:space="preserve"> (二) 銷售機構自證券投資信託事業所獲得贊助或提供產品說明會及員工教育訓練之金額，適用前述(</w:t>
      </w:r>
      <w:proofErr w:type="gramStart"/>
      <w:r w:rsidRPr="00183768">
        <w:rPr>
          <w:rFonts w:ascii="標楷體" w:eastAsia="標楷體" w:hAnsi="標楷體" w:hint="eastAsia"/>
          <w:color w:val="000000"/>
          <w:kern w:val="2"/>
          <w:szCs w:val="20"/>
        </w:rPr>
        <w:t>一</w:t>
      </w:r>
      <w:proofErr w:type="gramEnd"/>
      <w:r w:rsidRPr="00183768">
        <w:rPr>
          <w:rFonts w:ascii="標楷體" w:eastAsia="標楷體" w:hAnsi="標楷體" w:hint="eastAsia"/>
          <w:color w:val="000000"/>
          <w:kern w:val="2"/>
          <w:szCs w:val="20"/>
        </w:rPr>
        <w:t>)之規定。</w:t>
      </w:r>
    </w:p>
    <w:p w:rsidR="00183768" w:rsidRPr="00183768" w:rsidRDefault="00183768" w:rsidP="00183768">
      <w:pPr>
        <w:ind w:leftChars="235" w:left="1272" w:hangingChars="295" w:hanging="708"/>
        <w:jc w:val="both"/>
        <w:rPr>
          <w:rFonts w:ascii="標楷體" w:eastAsia="標楷體" w:hAnsi="標楷體"/>
          <w:color w:val="000000"/>
          <w:kern w:val="2"/>
          <w:szCs w:val="20"/>
        </w:rPr>
      </w:pPr>
      <w:r w:rsidRPr="00183768">
        <w:rPr>
          <w:rFonts w:ascii="標楷體" w:eastAsia="標楷體" w:hAnsi="標楷體" w:hint="eastAsia"/>
          <w:color w:val="000000"/>
          <w:kern w:val="2"/>
          <w:szCs w:val="20"/>
        </w:rPr>
        <w:t xml:space="preserve"> (三) 若未收取任何金額，本欄列示為「未收取」，並可將相關計算說明刪除，但不得刪除該欄位。</w:t>
      </w:r>
    </w:p>
    <w:p w:rsidR="00183768" w:rsidRPr="00183768" w:rsidRDefault="00183768" w:rsidP="00183768">
      <w:pPr>
        <w:ind w:leftChars="236" w:left="1274" w:hangingChars="295" w:hanging="708"/>
        <w:jc w:val="both"/>
        <w:rPr>
          <w:rFonts w:ascii="標楷體" w:eastAsia="標楷體" w:hAnsi="標楷體"/>
          <w:color w:val="000000"/>
          <w:kern w:val="2"/>
          <w:szCs w:val="20"/>
        </w:rPr>
      </w:pPr>
      <w:r w:rsidRPr="00183768">
        <w:rPr>
          <w:rFonts w:ascii="標楷體" w:eastAsia="標楷體" w:hAnsi="標楷體" w:hint="eastAsia"/>
          <w:color w:val="000000"/>
          <w:kern w:val="2"/>
          <w:szCs w:val="20"/>
        </w:rPr>
        <w:t>（四）若有收取但未達揭露門檻，本欄列示為「未達2百萬元揭露門檻」，並可將相關計算說明刪除，但不得刪除該欄位。</w:t>
      </w:r>
    </w:p>
    <w:p w:rsidR="00183768" w:rsidRPr="00183768" w:rsidRDefault="00183768" w:rsidP="00183768">
      <w:pPr>
        <w:spacing w:line="400" w:lineRule="exact"/>
        <w:jc w:val="both"/>
        <w:rPr>
          <w:rFonts w:ascii="標楷體" w:eastAsia="標楷體" w:hAnsi="標楷體"/>
          <w:kern w:val="2"/>
          <w:szCs w:val="20"/>
        </w:rPr>
      </w:pPr>
      <w:r w:rsidRPr="00183768">
        <w:rPr>
          <w:rFonts w:ascii="標楷體" w:eastAsia="標楷體" w:hAnsi="標楷體" w:hint="eastAsia"/>
          <w:kern w:val="2"/>
          <w:szCs w:val="20"/>
        </w:rPr>
        <w:t>七、其他報酬</w:t>
      </w:r>
    </w:p>
    <w:p w:rsidR="00183768" w:rsidRPr="00183768" w:rsidRDefault="00183768" w:rsidP="00183768">
      <w:pPr>
        <w:spacing w:line="400" w:lineRule="exact"/>
        <w:ind w:leftChars="235" w:left="1130" w:hangingChars="236" w:hanging="566"/>
        <w:jc w:val="both"/>
        <w:rPr>
          <w:rFonts w:ascii="標楷體" w:eastAsia="標楷體" w:hAnsi="標楷體"/>
          <w:kern w:val="2"/>
          <w:szCs w:val="20"/>
        </w:rPr>
      </w:pPr>
      <w:r w:rsidRPr="00183768">
        <w:rPr>
          <w:rFonts w:ascii="標楷體" w:eastAsia="標楷體" w:hAnsi="標楷體" w:hint="eastAsia"/>
          <w:kern w:val="2"/>
          <w:szCs w:val="20"/>
        </w:rPr>
        <w:t>(</w:t>
      </w:r>
      <w:proofErr w:type="gramStart"/>
      <w:r w:rsidRPr="00183768">
        <w:rPr>
          <w:rFonts w:ascii="標楷體" w:eastAsia="標楷體" w:hAnsi="標楷體" w:hint="eastAsia"/>
          <w:kern w:val="2"/>
          <w:szCs w:val="20"/>
        </w:rPr>
        <w:t>一</w:t>
      </w:r>
      <w:proofErr w:type="gramEnd"/>
      <w:r w:rsidRPr="00183768">
        <w:rPr>
          <w:rFonts w:ascii="標楷體" w:eastAsia="標楷體" w:hAnsi="標楷體" w:hint="eastAsia"/>
          <w:kern w:val="2"/>
          <w:szCs w:val="20"/>
        </w:rPr>
        <w:t>) 總代理人或銷售機構就同一基金公司所管理之境外基金，自境外基金機構或總代理人所獲得贊助或提供其他報酬之金額，以每一會計年度合計核算，於贊助或提供預估或累計達新臺幣一百萬元時，應為揭露。</w:t>
      </w:r>
    </w:p>
    <w:p w:rsidR="00183768" w:rsidRPr="00183768" w:rsidRDefault="00183768" w:rsidP="00183768">
      <w:pPr>
        <w:spacing w:line="400" w:lineRule="exact"/>
        <w:ind w:leftChars="237" w:left="1133" w:hangingChars="235" w:hanging="564"/>
        <w:jc w:val="both"/>
        <w:rPr>
          <w:rFonts w:ascii="標楷體" w:eastAsia="標楷體" w:hAnsi="標楷體"/>
          <w:kern w:val="2"/>
          <w:szCs w:val="20"/>
        </w:rPr>
      </w:pPr>
      <w:r w:rsidRPr="00183768">
        <w:rPr>
          <w:rFonts w:ascii="標楷體" w:eastAsia="標楷體" w:hAnsi="標楷體" w:hint="eastAsia"/>
          <w:kern w:val="2"/>
          <w:szCs w:val="20"/>
        </w:rPr>
        <w:t>(二) 銷售機構自證券投資信託事業所獲得贊助或提供其他報酬之金額， 適用前述(</w:t>
      </w:r>
      <w:proofErr w:type="gramStart"/>
      <w:r w:rsidRPr="00183768">
        <w:rPr>
          <w:rFonts w:ascii="標楷體" w:eastAsia="標楷體" w:hAnsi="標楷體" w:hint="eastAsia"/>
          <w:kern w:val="2"/>
          <w:szCs w:val="20"/>
        </w:rPr>
        <w:t>一</w:t>
      </w:r>
      <w:proofErr w:type="gramEnd"/>
      <w:r w:rsidRPr="00183768">
        <w:rPr>
          <w:rFonts w:ascii="標楷體" w:eastAsia="標楷體" w:hAnsi="標楷體" w:hint="eastAsia"/>
          <w:kern w:val="2"/>
          <w:szCs w:val="20"/>
        </w:rPr>
        <w:t>)之規定。</w:t>
      </w:r>
    </w:p>
    <w:p w:rsidR="00183768" w:rsidRPr="00183768" w:rsidRDefault="00183768" w:rsidP="00183768">
      <w:pPr>
        <w:ind w:leftChars="236" w:left="1274" w:hangingChars="295" w:hanging="708"/>
        <w:jc w:val="both"/>
        <w:rPr>
          <w:rFonts w:ascii="標楷體" w:eastAsia="標楷體" w:hAnsi="標楷體"/>
          <w:color w:val="000000"/>
          <w:kern w:val="2"/>
          <w:szCs w:val="20"/>
        </w:rPr>
      </w:pPr>
      <w:r w:rsidRPr="00183768">
        <w:rPr>
          <w:rFonts w:ascii="標楷體" w:eastAsia="標楷體" w:hAnsi="標楷體" w:hint="eastAsia"/>
          <w:color w:val="000000"/>
          <w:kern w:val="2"/>
          <w:szCs w:val="20"/>
        </w:rPr>
        <w:t>(三) 若未收取任何金額，本欄列示為「未收取」，並可將相關計算說明刪除，但不得刪除該欄位。</w:t>
      </w:r>
    </w:p>
    <w:p w:rsidR="00183768" w:rsidRPr="00183768" w:rsidRDefault="00183768" w:rsidP="00183768">
      <w:pPr>
        <w:ind w:leftChars="236" w:left="1132" w:hangingChars="236" w:hanging="566"/>
        <w:jc w:val="both"/>
        <w:rPr>
          <w:rFonts w:ascii="標楷體" w:eastAsia="標楷體" w:hAnsi="標楷體"/>
          <w:color w:val="000000"/>
          <w:kern w:val="2"/>
          <w:szCs w:val="20"/>
        </w:rPr>
      </w:pPr>
      <w:r w:rsidRPr="00183768">
        <w:rPr>
          <w:rFonts w:ascii="標楷體" w:eastAsia="標楷體" w:hAnsi="標楷體" w:hint="eastAsia"/>
          <w:color w:val="000000"/>
          <w:kern w:val="2"/>
          <w:szCs w:val="20"/>
        </w:rPr>
        <w:t>(四) 若有收取但未達揭露門檻，本欄列示為「未達1百萬元揭露門檻」，並可將相關計算說明刪除，但不得刪除該欄位</w:t>
      </w:r>
    </w:p>
    <w:p w:rsidR="00183768" w:rsidRPr="00183768" w:rsidRDefault="00183768" w:rsidP="00183768">
      <w:pPr>
        <w:ind w:left="425" w:hangingChars="177" w:hanging="425"/>
        <w:jc w:val="both"/>
        <w:rPr>
          <w:rFonts w:ascii="標楷體" w:eastAsia="標楷體" w:hAnsi="標楷體"/>
          <w:kern w:val="2"/>
          <w:szCs w:val="20"/>
        </w:rPr>
      </w:pPr>
      <w:r w:rsidRPr="00183768">
        <w:rPr>
          <w:rFonts w:ascii="標楷體" w:eastAsia="標楷體" w:hAnsi="標楷體" w:hint="eastAsia"/>
          <w:kern w:val="2"/>
          <w:szCs w:val="20"/>
        </w:rPr>
        <w:t>八、計算說明</w:t>
      </w:r>
    </w:p>
    <w:p w:rsidR="00183768" w:rsidRPr="00183768" w:rsidRDefault="00183768" w:rsidP="00183768">
      <w:pPr>
        <w:ind w:leftChars="177" w:left="1132" w:hanging="707"/>
        <w:jc w:val="both"/>
        <w:rPr>
          <w:rFonts w:ascii="標楷體" w:eastAsia="標楷體" w:hAnsi="標楷體"/>
          <w:kern w:val="2"/>
          <w:szCs w:val="20"/>
        </w:rPr>
      </w:pPr>
      <w:r w:rsidRPr="00183768">
        <w:rPr>
          <w:rFonts w:ascii="標楷體" w:eastAsia="標楷體" w:hAnsi="標楷體" w:hint="eastAsia"/>
          <w:kern w:val="2"/>
          <w:szCs w:val="20"/>
        </w:rPr>
        <w:t>（一</w:t>
      </w:r>
      <w:r w:rsidRPr="00183768">
        <w:rPr>
          <w:rFonts w:ascii="標楷體" w:eastAsia="標楷體" w:hAnsi="標楷體"/>
          <w:kern w:val="2"/>
          <w:szCs w:val="20"/>
        </w:rPr>
        <w:t>）</w:t>
      </w:r>
      <w:r w:rsidRPr="00183768">
        <w:rPr>
          <w:rFonts w:ascii="標楷體" w:eastAsia="標楷體" w:hAnsi="標楷體" w:hint="eastAsia"/>
          <w:kern w:val="2"/>
          <w:szCs w:val="20"/>
        </w:rPr>
        <w:t>銷售機構須就不同基金別，</w:t>
      </w:r>
      <w:proofErr w:type="gramStart"/>
      <w:r w:rsidRPr="00183768">
        <w:rPr>
          <w:rFonts w:ascii="標楷體" w:eastAsia="標楷體" w:hAnsi="標楷體" w:hint="eastAsia"/>
          <w:kern w:val="2"/>
          <w:szCs w:val="20"/>
        </w:rPr>
        <w:t>均以</w:t>
      </w:r>
      <w:proofErr w:type="gramEnd"/>
      <w:r w:rsidRPr="00183768">
        <w:rPr>
          <w:rFonts w:ascii="標楷體" w:eastAsia="標楷體" w:hAnsi="標楷體" w:hint="eastAsia"/>
          <w:kern w:val="2"/>
          <w:szCs w:val="20"/>
        </w:rPr>
        <w:t>100,000元的投資金額依通路報酬揭露項目及揭露費率設算（同一附註列表內之基金不用舉例）。</w:t>
      </w:r>
    </w:p>
    <w:p w:rsidR="00183768" w:rsidRPr="00183768" w:rsidRDefault="00183768" w:rsidP="00183768">
      <w:pPr>
        <w:ind w:leftChars="177" w:left="1132" w:hanging="707"/>
        <w:jc w:val="both"/>
        <w:rPr>
          <w:rFonts w:ascii="標楷體" w:eastAsia="標楷體" w:hAnsi="標楷體"/>
          <w:kern w:val="2"/>
          <w:szCs w:val="20"/>
        </w:rPr>
      </w:pPr>
      <w:r w:rsidRPr="00183768">
        <w:rPr>
          <w:rFonts w:ascii="標楷體" w:eastAsia="標楷體" w:hAnsi="標楷體" w:hint="eastAsia"/>
          <w:kern w:val="2"/>
          <w:szCs w:val="20"/>
        </w:rPr>
        <w:t>（二）計算說明須以實例呈現，即代入基金之名稱、申購手續費、經理費等通路報酬資料進行試算。</w:t>
      </w:r>
    </w:p>
    <w:p w:rsidR="00183768" w:rsidRPr="00183768" w:rsidRDefault="00183768" w:rsidP="00CC43EB">
      <w:pPr>
        <w:ind w:left="425" w:hangingChars="177" w:hanging="425"/>
        <w:jc w:val="both"/>
        <w:rPr>
          <w:rFonts w:ascii="標楷體" w:eastAsia="標楷體" w:hAnsi="標楷體"/>
          <w:kern w:val="2"/>
          <w:szCs w:val="22"/>
        </w:rPr>
      </w:pPr>
      <w:r w:rsidRPr="00183768">
        <w:rPr>
          <w:rFonts w:ascii="標楷體" w:eastAsia="標楷體" w:hAnsi="標楷體" w:hint="eastAsia"/>
          <w:kern w:val="2"/>
          <w:szCs w:val="20"/>
        </w:rPr>
        <w:t>九、有關本範本「本銀行辦理基金銷售業務，係自各</w:t>
      </w:r>
      <w:r w:rsidRPr="00183768">
        <w:rPr>
          <w:rFonts w:ascii="標楷體" w:eastAsia="標楷體" w:hAnsi="標楷體" w:hint="eastAsia"/>
          <w:kern w:val="2"/>
        </w:rPr>
        <w:t>境外基金機構、總代理人及證券投資信託事業收取通路報酬（各項報酬、費用及其他利益），以支應投資人服務及行銷成本。･･，請台端依個人投資目標及基金風險屬性，慎選</w:t>
      </w:r>
      <w:r w:rsidRPr="00183768">
        <w:rPr>
          <w:rFonts w:ascii="標楷體" w:eastAsia="標楷體" w:hAnsi="標楷體" w:hint="eastAsia"/>
          <w:color w:val="000000"/>
          <w:kern w:val="2"/>
        </w:rPr>
        <w:t>投資標的。」乙節，以粗體字體呈現。</w:t>
      </w:r>
    </w:p>
    <w:p w:rsidR="00183768" w:rsidRPr="00183768" w:rsidRDefault="00183768" w:rsidP="00183768">
      <w:pPr>
        <w:spacing w:afterLines="100" w:line="400" w:lineRule="exact"/>
        <w:ind w:leftChars="-177" w:rightChars="-236" w:right="-566" w:hangingChars="177" w:hanging="425"/>
        <w:rPr>
          <w:rFonts w:ascii="標楷體" w:eastAsia="標楷體" w:hAnsi="標楷體"/>
          <w:kern w:val="2"/>
          <w:szCs w:val="22"/>
        </w:rPr>
      </w:pPr>
    </w:p>
    <w:p w:rsidR="00183768" w:rsidRPr="00183768" w:rsidRDefault="00183768" w:rsidP="00183768">
      <w:pPr>
        <w:spacing w:afterLines="100" w:line="400" w:lineRule="exact"/>
        <w:ind w:leftChars="-177" w:rightChars="-236" w:right="-566" w:hangingChars="177" w:hanging="425"/>
        <w:rPr>
          <w:rFonts w:ascii="標楷體" w:eastAsia="標楷體" w:hAnsi="標楷體"/>
          <w:kern w:val="2"/>
          <w:szCs w:val="22"/>
        </w:rPr>
      </w:pPr>
    </w:p>
    <w:p w:rsidR="003E2930" w:rsidRPr="00337FF2" w:rsidRDefault="003E2930">
      <w:pPr>
        <w:rPr>
          <w:rFonts w:ascii="標楷體" w:eastAsia="標楷體" w:hAnsi="標楷體"/>
          <w:sz w:val="26"/>
        </w:rPr>
      </w:pPr>
    </w:p>
    <w:sectPr w:rsidR="003E2930" w:rsidRPr="00337FF2">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2F2" w:rsidRDefault="00E342F2" w:rsidP="00E8618D">
      <w:r>
        <w:separator/>
      </w:r>
    </w:p>
  </w:endnote>
  <w:endnote w:type="continuationSeparator" w:id="0">
    <w:p w:rsidR="00E342F2" w:rsidRDefault="00E342F2" w:rsidP="00E86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E00" w:rsidRDefault="004F1E00">
    <w:pPr>
      <w:pStyle w:val="a5"/>
      <w:jc w:val="center"/>
    </w:pPr>
    <w:fldSimple w:instr="PAGE   \* MERGEFORMAT">
      <w:r w:rsidR="00505D4A" w:rsidRPr="00505D4A">
        <w:rPr>
          <w:noProof/>
          <w:lang w:val="zh-TW"/>
        </w:rPr>
        <w:t>1</w:t>
      </w:r>
    </w:fldSimple>
  </w:p>
  <w:p w:rsidR="004F1E00" w:rsidRDefault="004F1E0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2F2" w:rsidRDefault="00E342F2" w:rsidP="00E8618D">
      <w:r>
        <w:separator/>
      </w:r>
    </w:p>
  </w:footnote>
  <w:footnote w:type="continuationSeparator" w:id="0">
    <w:p w:rsidR="00E342F2" w:rsidRDefault="00E342F2" w:rsidP="00E861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6220"/>
    <w:multiLevelType w:val="hybridMultilevel"/>
    <w:tmpl w:val="DDE2A030"/>
    <w:lvl w:ilvl="0" w:tplc="D5E40C5E">
      <w:start w:val="1"/>
      <w:numFmt w:val="taiwaneseCountingThousand"/>
      <w:suff w:val="nothing"/>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60384F"/>
    <w:multiLevelType w:val="hybridMultilevel"/>
    <w:tmpl w:val="0CE8788E"/>
    <w:lvl w:ilvl="0" w:tplc="D818C4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AE13A0A"/>
    <w:multiLevelType w:val="hybridMultilevel"/>
    <w:tmpl w:val="BE5C5C24"/>
    <w:lvl w:ilvl="0" w:tplc="68B2E8D4">
      <w:start w:val="1"/>
      <w:numFmt w:val="taiwaneseCountingThousand"/>
      <w:suff w:val="nothing"/>
      <w:lvlText w:val="（%1）"/>
      <w:lvlJc w:val="left"/>
      <w:pPr>
        <w:ind w:left="3599" w:hanging="480"/>
      </w:pPr>
      <w:rPr>
        <w:rFonts w:hint="eastAsia"/>
        <w:color w:val="000000"/>
      </w:rPr>
    </w:lvl>
    <w:lvl w:ilvl="1" w:tplc="04090019" w:tentative="1">
      <w:start w:val="1"/>
      <w:numFmt w:val="ideographTraditional"/>
      <w:lvlText w:val="%2、"/>
      <w:lvlJc w:val="left"/>
      <w:pPr>
        <w:ind w:left="-2442" w:hanging="480"/>
      </w:pPr>
    </w:lvl>
    <w:lvl w:ilvl="2" w:tplc="0409001B" w:tentative="1">
      <w:start w:val="1"/>
      <w:numFmt w:val="lowerRoman"/>
      <w:lvlText w:val="%3."/>
      <w:lvlJc w:val="right"/>
      <w:pPr>
        <w:ind w:left="-1962" w:hanging="480"/>
      </w:pPr>
    </w:lvl>
    <w:lvl w:ilvl="3" w:tplc="0409000F" w:tentative="1">
      <w:start w:val="1"/>
      <w:numFmt w:val="decimal"/>
      <w:lvlText w:val="%4."/>
      <w:lvlJc w:val="left"/>
      <w:pPr>
        <w:ind w:left="-1482" w:hanging="480"/>
      </w:pPr>
    </w:lvl>
    <w:lvl w:ilvl="4" w:tplc="04090019" w:tentative="1">
      <w:start w:val="1"/>
      <w:numFmt w:val="ideographTraditional"/>
      <w:lvlText w:val="%5、"/>
      <w:lvlJc w:val="left"/>
      <w:pPr>
        <w:ind w:left="-1002" w:hanging="480"/>
      </w:pPr>
    </w:lvl>
    <w:lvl w:ilvl="5" w:tplc="0409001B" w:tentative="1">
      <w:start w:val="1"/>
      <w:numFmt w:val="lowerRoman"/>
      <w:lvlText w:val="%6."/>
      <w:lvlJc w:val="right"/>
      <w:pPr>
        <w:ind w:left="-522" w:hanging="480"/>
      </w:pPr>
    </w:lvl>
    <w:lvl w:ilvl="6" w:tplc="0409000F" w:tentative="1">
      <w:start w:val="1"/>
      <w:numFmt w:val="decimal"/>
      <w:lvlText w:val="%7."/>
      <w:lvlJc w:val="left"/>
      <w:pPr>
        <w:ind w:left="-42" w:hanging="480"/>
      </w:pPr>
    </w:lvl>
    <w:lvl w:ilvl="7" w:tplc="04090019" w:tentative="1">
      <w:start w:val="1"/>
      <w:numFmt w:val="ideographTraditional"/>
      <w:lvlText w:val="%8、"/>
      <w:lvlJc w:val="left"/>
      <w:pPr>
        <w:ind w:left="438" w:hanging="480"/>
      </w:pPr>
    </w:lvl>
    <w:lvl w:ilvl="8" w:tplc="0409001B" w:tentative="1">
      <w:start w:val="1"/>
      <w:numFmt w:val="lowerRoman"/>
      <w:lvlText w:val="%9."/>
      <w:lvlJc w:val="right"/>
      <w:pPr>
        <w:ind w:left="918" w:hanging="480"/>
      </w:pPr>
    </w:lvl>
  </w:abstractNum>
  <w:abstractNum w:abstractNumId="3">
    <w:nsid w:val="36C135F0"/>
    <w:multiLevelType w:val="hybridMultilevel"/>
    <w:tmpl w:val="EA58CC94"/>
    <w:lvl w:ilvl="0" w:tplc="CB4E1188">
      <w:start w:val="1"/>
      <w:numFmt w:val="decimal"/>
      <w:suff w:val="nothing"/>
      <w:lvlText w:val="(%1)"/>
      <w:lvlJc w:val="left"/>
      <w:pPr>
        <w:ind w:left="502" w:hanging="36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grammar="clean"/>
  <w:stylePaneFormatFilter w:val="3F01"/>
  <w:stylePaneSortMethod w:val="0000"/>
  <w:defaultTabStop w:val="720"/>
  <w:noPunctuationKerning/>
  <w:characterSpacingControl w:val="doNotCompress"/>
  <w:hdrShapeDefaults>
    <o:shapedefaults v:ext="edit" spidmax="3074"/>
  </w:hdrShapeDefaults>
  <w:footnotePr>
    <w:footnote w:id="-1"/>
    <w:footnote w:id="0"/>
  </w:footnotePr>
  <w:endnotePr>
    <w:endnote w:id="-1"/>
    <w:endnote w:id="0"/>
  </w:endnotePr>
  <w:compat>
    <w:useFELayout/>
  </w:compat>
  <w:rsids>
    <w:rsidRoot w:val="00A77B3E"/>
    <w:rsid w:val="00007760"/>
    <w:rsid w:val="00170C7F"/>
    <w:rsid w:val="00183768"/>
    <w:rsid w:val="001A311E"/>
    <w:rsid w:val="0031620B"/>
    <w:rsid w:val="00337FF2"/>
    <w:rsid w:val="0035152C"/>
    <w:rsid w:val="003700AC"/>
    <w:rsid w:val="00385D7E"/>
    <w:rsid w:val="003E2930"/>
    <w:rsid w:val="00403DCC"/>
    <w:rsid w:val="004F1E00"/>
    <w:rsid w:val="00505D4A"/>
    <w:rsid w:val="00573A56"/>
    <w:rsid w:val="006C02AF"/>
    <w:rsid w:val="00703053"/>
    <w:rsid w:val="007817FA"/>
    <w:rsid w:val="007B4535"/>
    <w:rsid w:val="008204B0"/>
    <w:rsid w:val="00890007"/>
    <w:rsid w:val="009122EF"/>
    <w:rsid w:val="009A00A5"/>
    <w:rsid w:val="009F67B5"/>
    <w:rsid w:val="00A069D7"/>
    <w:rsid w:val="00A60992"/>
    <w:rsid w:val="00AF46D9"/>
    <w:rsid w:val="00B97335"/>
    <w:rsid w:val="00C32CE8"/>
    <w:rsid w:val="00CC43EB"/>
    <w:rsid w:val="00D90D0C"/>
    <w:rsid w:val="00DA5A69"/>
    <w:rsid w:val="00DD5F79"/>
    <w:rsid w:val="00E043BA"/>
    <w:rsid w:val="00E342F2"/>
    <w:rsid w:val="00E8618D"/>
    <w:rsid w:val="00EB2EB8"/>
  </w:rsids>
  <m:mathPr>
    <m:mathFont m:val="Cambria Math"/>
    <m:brkBin m:val="before"/>
    <m:brkBinSub m:val="--"/>
    <m:smallFrac m:val="off"/>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直線接點 338"/>
        <o:r id="V:Rule2" type="connector" idref="#直線接點 299"/>
        <o:r id="V:Rule3" type="connector" idref="#直線接點 323"/>
        <o:r id="V:Rule4" type="connector" idref="#直線接點 325"/>
        <o:r id="V:Rule5" type="connector" idref="#直線接點 327"/>
        <o:r id="V:Rule6" type="connector" idref="#直線接點 329"/>
        <o:r id="V:Rule7" type="connector" idref="#直線接點 331"/>
        <o:r id="V:Rule8" type="connector" idref="#直線接點 337"/>
        <o:r id="V:Rule9" type="connector" idref="#直線接點 3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8618D"/>
    <w:pPr>
      <w:tabs>
        <w:tab w:val="center" w:pos="4153"/>
        <w:tab w:val="right" w:pos="8306"/>
      </w:tabs>
      <w:snapToGrid w:val="0"/>
    </w:pPr>
    <w:rPr>
      <w:sz w:val="20"/>
      <w:szCs w:val="20"/>
    </w:rPr>
  </w:style>
  <w:style w:type="character" w:customStyle="1" w:styleId="a4">
    <w:name w:val="頁首 字元"/>
    <w:basedOn w:val="a0"/>
    <w:link w:val="a3"/>
    <w:rsid w:val="00E8618D"/>
  </w:style>
  <w:style w:type="paragraph" w:styleId="a5">
    <w:name w:val="footer"/>
    <w:basedOn w:val="a"/>
    <w:link w:val="a6"/>
    <w:uiPriority w:val="99"/>
    <w:rsid w:val="00E8618D"/>
    <w:pPr>
      <w:tabs>
        <w:tab w:val="center" w:pos="4153"/>
        <w:tab w:val="right" w:pos="8306"/>
      </w:tabs>
      <w:snapToGrid w:val="0"/>
    </w:pPr>
    <w:rPr>
      <w:sz w:val="20"/>
      <w:szCs w:val="20"/>
    </w:rPr>
  </w:style>
  <w:style w:type="character" w:customStyle="1" w:styleId="a6">
    <w:name w:val="頁尾 字元"/>
    <w:basedOn w:val="a0"/>
    <w:link w:val="a5"/>
    <w:uiPriority w:val="99"/>
    <w:rsid w:val="00E8618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2EB03-2743-4727-BF71-38B32BBB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投信投顧公會 郭榕琁</dc:creator>
  <cp:lastModifiedBy>Sophia</cp:lastModifiedBy>
  <cp:revision>2</cp:revision>
  <cp:lastPrinted>1601-01-01T00:00:00Z</cp:lastPrinted>
  <dcterms:created xsi:type="dcterms:W3CDTF">2019-09-18T02:37:00Z</dcterms:created>
  <dcterms:modified xsi:type="dcterms:W3CDTF">2019-09-18T02:37:00Z</dcterms:modified>
</cp:coreProperties>
</file>