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9B7" w:rsidRPr="00481EB1" w:rsidRDefault="008A59B7" w:rsidP="00F36D93">
      <w:pPr>
        <w:spacing w:afterLines="100" w:after="360" w:line="400" w:lineRule="exact"/>
        <w:rPr>
          <w:rFonts w:ascii="標楷體" w:eastAsia="標楷體" w:hAnsi="標楷體"/>
          <w:sz w:val="28"/>
          <w:szCs w:val="28"/>
        </w:rPr>
      </w:pPr>
      <w:bookmarkStart w:id="0" w:name="_GoBack"/>
      <w:bookmarkEnd w:id="0"/>
      <w:r w:rsidRPr="00481EB1">
        <w:rPr>
          <w:rFonts w:ascii="標楷體" w:eastAsia="標楷體" w:hAnsi="標楷體" w:hint="eastAsia"/>
          <w:sz w:val="28"/>
          <w:szCs w:val="28"/>
        </w:rPr>
        <w:t>中華民國證券投資信託暨顧問同業公會會員及其銷售機構基金通路報酬揭露施行要點</w:t>
      </w:r>
      <w:r w:rsidR="00442738">
        <w:rPr>
          <w:rFonts w:ascii="標楷體" w:eastAsia="標楷體" w:hAnsi="標楷體" w:hint="eastAsia"/>
          <w:sz w:val="28"/>
          <w:szCs w:val="28"/>
        </w:rPr>
        <w:t>問答集</w:t>
      </w:r>
      <w:r w:rsidR="00925463" w:rsidRPr="00925463">
        <w:rPr>
          <w:rFonts w:ascii="標楷體" w:eastAsia="標楷體" w:hAnsi="標楷體" w:hint="eastAsia"/>
          <w:sz w:val="28"/>
          <w:szCs w:val="28"/>
        </w:rPr>
        <w:t>修正</w:t>
      </w:r>
      <w:r w:rsidR="001B4A8D" w:rsidRPr="001B4A8D">
        <w:rPr>
          <w:rFonts w:ascii="標楷體" w:eastAsia="標楷體" w:hAnsi="標楷體" w:hint="eastAsia"/>
          <w:sz w:val="28"/>
          <w:szCs w:val="28"/>
        </w:rPr>
        <w:t>對照表</w:t>
      </w:r>
    </w:p>
    <w:tbl>
      <w:tblPr>
        <w:tblW w:w="9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3227"/>
        <w:gridCol w:w="3227"/>
      </w:tblGrid>
      <w:tr w:rsidR="009D519D" w:rsidRPr="009D519D" w:rsidTr="00720289">
        <w:tc>
          <w:tcPr>
            <w:tcW w:w="3227" w:type="dxa"/>
            <w:tcBorders>
              <w:bottom w:val="single" w:sz="4" w:space="0" w:color="auto"/>
            </w:tcBorders>
            <w:shd w:val="clear" w:color="auto" w:fill="D9D9D9"/>
          </w:tcPr>
          <w:p w:rsidR="00246210" w:rsidRPr="009D519D" w:rsidRDefault="00246210" w:rsidP="00990AA4">
            <w:pPr>
              <w:adjustRightInd w:val="0"/>
              <w:snapToGrid w:val="0"/>
              <w:spacing w:afterLines="50" w:after="180" w:line="400" w:lineRule="exact"/>
              <w:ind w:firstLineChars="150" w:firstLine="360"/>
              <w:jc w:val="center"/>
              <w:rPr>
                <w:rFonts w:ascii="標楷體" w:eastAsia="標楷體" w:hAnsi="標楷體" w:cs="Times New Roman"/>
                <w:szCs w:val="24"/>
              </w:rPr>
            </w:pPr>
            <w:r w:rsidRPr="009D519D">
              <w:rPr>
                <w:rFonts w:ascii="標楷體" w:eastAsia="標楷體" w:hAnsi="標楷體" w:cs="Times New Roman" w:hint="eastAsia"/>
                <w:szCs w:val="24"/>
              </w:rPr>
              <w:t>修正條文</w:t>
            </w:r>
          </w:p>
        </w:tc>
        <w:tc>
          <w:tcPr>
            <w:tcW w:w="3227" w:type="dxa"/>
            <w:tcBorders>
              <w:bottom w:val="single" w:sz="4" w:space="0" w:color="auto"/>
            </w:tcBorders>
            <w:shd w:val="clear" w:color="auto" w:fill="D9D9D9"/>
          </w:tcPr>
          <w:p w:rsidR="00246210" w:rsidRPr="009D519D" w:rsidRDefault="00246210" w:rsidP="00990AA4">
            <w:pPr>
              <w:adjustRightInd w:val="0"/>
              <w:snapToGrid w:val="0"/>
              <w:spacing w:afterLines="50" w:after="180" w:line="400" w:lineRule="exact"/>
              <w:jc w:val="center"/>
              <w:rPr>
                <w:rFonts w:ascii="標楷體" w:eastAsia="標楷體" w:hAnsi="標楷體" w:cs="Times New Roman"/>
                <w:szCs w:val="24"/>
              </w:rPr>
            </w:pPr>
            <w:r w:rsidRPr="009D519D">
              <w:rPr>
                <w:rFonts w:ascii="標楷體" w:eastAsia="標楷體" w:hAnsi="標楷體" w:cs="Times New Roman" w:hint="eastAsia"/>
                <w:szCs w:val="24"/>
              </w:rPr>
              <w:t>現行條文</w:t>
            </w:r>
          </w:p>
        </w:tc>
        <w:tc>
          <w:tcPr>
            <w:tcW w:w="3227" w:type="dxa"/>
            <w:tcBorders>
              <w:bottom w:val="single" w:sz="4" w:space="0" w:color="auto"/>
            </w:tcBorders>
            <w:shd w:val="clear" w:color="auto" w:fill="D9D9D9"/>
          </w:tcPr>
          <w:p w:rsidR="00246210" w:rsidRPr="009D519D" w:rsidRDefault="00246210" w:rsidP="00990AA4">
            <w:pPr>
              <w:adjustRightInd w:val="0"/>
              <w:snapToGrid w:val="0"/>
              <w:spacing w:afterLines="50" w:after="180" w:line="400" w:lineRule="exact"/>
              <w:jc w:val="center"/>
              <w:rPr>
                <w:rFonts w:ascii="標楷體" w:eastAsia="標楷體" w:hAnsi="標楷體" w:cs="Times New Roman"/>
                <w:szCs w:val="24"/>
              </w:rPr>
            </w:pPr>
            <w:r w:rsidRPr="009D519D">
              <w:rPr>
                <w:rFonts w:ascii="標楷體" w:eastAsia="標楷體" w:hAnsi="標楷體" w:cs="Times New Roman" w:hint="eastAsia"/>
                <w:szCs w:val="24"/>
              </w:rPr>
              <w:t>說明</w:t>
            </w:r>
          </w:p>
        </w:tc>
      </w:tr>
      <w:tr w:rsidR="009D519D" w:rsidRPr="009D519D" w:rsidTr="00720289">
        <w:tc>
          <w:tcPr>
            <w:tcW w:w="3227" w:type="dxa"/>
            <w:tcBorders>
              <w:bottom w:val="single" w:sz="4" w:space="0" w:color="auto"/>
            </w:tcBorders>
            <w:shd w:val="clear" w:color="auto" w:fill="FFFFFF" w:themeFill="background1"/>
          </w:tcPr>
          <w:p w:rsidR="00C64BEA" w:rsidRPr="009D519D" w:rsidRDefault="00C64BEA" w:rsidP="00990AA4">
            <w:pPr>
              <w:adjustRightInd w:val="0"/>
              <w:snapToGrid w:val="0"/>
              <w:spacing w:afterLines="50" w:after="180" w:line="400" w:lineRule="exact"/>
              <w:jc w:val="both"/>
              <w:rPr>
                <w:rFonts w:ascii="標楷體" w:eastAsia="標楷體" w:hAnsi="標楷體" w:cs="Times New Roman"/>
                <w:szCs w:val="24"/>
              </w:rPr>
            </w:pPr>
            <w:r w:rsidRPr="009D519D">
              <w:rPr>
                <w:rFonts w:ascii="標楷體" w:eastAsia="標楷體" w:hAnsi="標楷體" w:cs="Times New Roman" w:hint="eastAsia"/>
                <w:szCs w:val="24"/>
              </w:rPr>
              <w:t>一、中華民國證券投資信託暨顧問商業同業公會（以下稱公會）依主管機關授權訂定「中華民國證券投資信託暨顧問商業同業公會會員及其銷售機構基金通路報酬揭露施行要點」（以下簡稱本施行要點），就投資型保險專設帳簿應如何適用？</w:t>
            </w:r>
          </w:p>
          <w:p w:rsidR="00C64BEA" w:rsidRPr="009D519D" w:rsidRDefault="00C64BEA" w:rsidP="00990AA4">
            <w:pPr>
              <w:adjustRightInd w:val="0"/>
              <w:snapToGrid w:val="0"/>
              <w:spacing w:afterLines="50" w:after="180" w:line="400" w:lineRule="exact"/>
              <w:jc w:val="both"/>
              <w:rPr>
                <w:rFonts w:ascii="標楷體" w:eastAsia="標楷體" w:hAnsi="標楷體" w:cs="Times New Roman"/>
                <w:szCs w:val="24"/>
              </w:rPr>
            </w:pPr>
            <w:r w:rsidRPr="009D519D">
              <w:rPr>
                <w:rFonts w:ascii="標楷體" w:eastAsia="標楷體" w:hAnsi="標楷體" w:cs="Times New Roman" w:hint="eastAsia"/>
                <w:szCs w:val="24"/>
              </w:rPr>
              <w:t>說明：</w:t>
            </w:r>
          </w:p>
          <w:p w:rsidR="008F3B02" w:rsidRPr="009D519D" w:rsidRDefault="008F3B02" w:rsidP="008F3B02">
            <w:pPr>
              <w:adjustRightInd w:val="0"/>
              <w:snapToGrid w:val="0"/>
              <w:spacing w:afterLines="50" w:after="180" w:line="400" w:lineRule="exact"/>
              <w:jc w:val="both"/>
              <w:rPr>
                <w:rFonts w:ascii="標楷體" w:eastAsia="標楷體" w:hAnsi="標楷體" w:cs="Times New Roman"/>
                <w:szCs w:val="24"/>
              </w:rPr>
            </w:pPr>
          </w:p>
          <w:p w:rsidR="008F3B02" w:rsidRPr="009D519D" w:rsidRDefault="008F3B02" w:rsidP="008F3B02">
            <w:pPr>
              <w:adjustRightInd w:val="0"/>
              <w:snapToGrid w:val="0"/>
              <w:spacing w:afterLines="50" w:after="180" w:line="400" w:lineRule="exact"/>
              <w:jc w:val="both"/>
              <w:rPr>
                <w:rFonts w:ascii="標楷體" w:eastAsia="標楷體" w:hAnsi="標楷體" w:cs="Times New Roman"/>
                <w:szCs w:val="24"/>
              </w:rPr>
            </w:pPr>
          </w:p>
          <w:p w:rsidR="008F3B02" w:rsidRPr="009D519D" w:rsidRDefault="008F3B02" w:rsidP="008F3B02">
            <w:pPr>
              <w:adjustRightInd w:val="0"/>
              <w:snapToGrid w:val="0"/>
              <w:spacing w:afterLines="50" w:after="180" w:line="400" w:lineRule="exact"/>
              <w:jc w:val="both"/>
              <w:rPr>
                <w:rFonts w:ascii="標楷體" w:eastAsia="標楷體" w:hAnsi="標楷體" w:cs="Times New Roman"/>
                <w:szCs w:val="24"/>
              </w:rPr>
            </w:pPr>
          </w:p>
          <w:p w:rsidR="008F3B02" w:rsidRPr="009D519D" w:rsidRDefault="008F3B02" w:rsidP="008F3B02">
            <w:pPr>
              <w:adjustRightInd w:val="0"/>
              <w:snapToGrid w:val="0"/>
              <w:spacing w:afterLines="50" w:after="180" w:line="400" w:lineRule="exact"/>
              <w:jc w:val="both"/>
              <w:rPr>
                <w:rFonts w:ascii="標楷體" w:eastAsia="標楷體" w:hAnsi="標楷體" w:cs="Times New Roman"/>
                <w:szCs w:val="24"/>
              </w:rPr>
            </w:pPr>
          </w:p>
          <w:p w:rsidR="008F3B02" w:rsidRPr="009D519D" w:rsidRDefault="008F3B02" w:rsidP="008F3B02">
            <w:pPr>
              <w:adjustRightInd w:val="0"/>
              <w:snapToGrid w:val="0"/>
              <w:spacing w:afterLines="50" w:after="180" w:line="400" w:lineRule="exact"/>
              <w:jc w:val="both"/>
              <w:rPr>
                <w:rFonts w:ascii="標楷體" w:eastAsia="標楷體" w:hAnsi="標楷體" w:cs="Times New Roman"/>
                <w:szCs w:val="24"/>
              </w:rPr>
            </w:pPr>
          </w:p>
          <w:p w:rsidR="008F3B02" w:rsidRPr="009D519D" w:rsidRDefault="00ED2B80" w:rsidP="008F3B02">
            <w:pPr>
              <w:adjustRightInd w:val="0"/>
              <w:snapToGrid w:val="0"/>
              <w:spacing w:afterLines="50" w:after="180" w:line="400" w:lineRule="exact"/>
              <w:jc w:val="both"/>
              <w:rPr>
                <w:rFonts w:ascii="標楷體" w:eastAsia="標楷體" w:hAnsi="標楷體" w:cs="Times New Roman"/>
                <w:szCs w:val="24"/>
              </w:rPr>
            </w:pPr>
            <w:r w:rsidRPr="009D519D">
              <w:rPr>
                <w:rFonts w:ascii="標楷體" w:eastAsia="標楷體" w:hAnsi="標楷體" w:cs="Times New Roman" w:hint="eastAsia"/>
                <w:szCs w:val="24"/>
              </w:rPr>
              <w:t>刪除。</w:t>
            </w:r>
          </w:p>
          <w:p w:rsidR="008F3B02" w:rsidRPr="009D519D" w:rsidRDefault="008F3B02" w:rsidP="008F3B02">
            <w:pPr>
              <w:adjustRightInd w:val="0"/>
              <w:snapToGrid w:val="0"/>
              <w:spacing w:afterLines="50" w:after="180" w:line="400" w:lineRule="exact"/>
              <w:jc w:val="both"/>
              <w:rPr>
                <w:rFonts w:ascii="標楷體" w:eastAsia="標楷體" w:hAnsi="標楷體" w:cs="Times New Roman"/>
                <w:szCs w:val="24"/>
              </w:rPr>
            </w:pPr>
          </w:p>
          <w:p w:rsidR="008F3B02" w:rsidRPr="009D519D" w:rsidRDefault="008F3B02" w:rsidP="008F3B02">
            <w:pPr>
              <w:adjustRightInd w:val="0"/>
              <w:snapToGrid w:val="0"/>
              <w:spacing w:afterLines="50" w:after="180" w:line="400" w:lineRule="exact"/>
              <w:jc w:val="both"/>
              <w:rPr>
                <w:rFonts w:ascii="標楷體" w:eastAsia="標楷體" w:hAnsi="標楷體" w:cs="Times New Roman"/>
                <w:szCs w:val="24"/>
              </w:rPr>
            </w:pPr>
          </w:p>
          <w:p w:rsidR="008F3B02" w:rsidRPr="009D519D" w:rsidRDefault="008F3B02" w:rsidP="008F3B02">
            <w:pPr>
              <w:adjustRightInd w:val="0"/>
              <w:snapToGrid w:val="0"/>
              <w:spacing w:afterLines="50" w:after="180" w:line="400" w:lineRule="exact"/>
              <w:jc w:val="both"/>
              <w:rPr>
                <w:rFonts w:ascii="標楷體" w:eastAsia="標楷體" w:hAnsi="標楷體" w:cs="Times New Roman"/>
                <w:szCs w:val="24"/>
              </w:rPr>
            </w:pPr>
          </w:p>
          <w:p w:rsidR="00884A50" w:rsidRPr="009D519D" w:rsidRDefault="00884A50" w:rsidP="00884A50">
            <w:pPr>
              <w:adjustRightInd w:val="0"/>
              <w:snapToGrid w:val="0"/>
              <w:spacing w:afterLines="50" w:after="180" w:line="400" w:lineRule="exact"/>
              <w:jc w:val="both"/>
              <w:rPr>
                <w:rFonts w:ascii="標楷體" w:eastAsia="標楷體" w:hAnsi="標楷體" w:cs="Times New Roman"/>
                <w:szCs w:val="24"/>
              </w:rPr>
            </w:pPr>
          </w:p>
          <w:p w:rsidR="008F3B02" w:rsidRPr="009D519D" w:rsidRDefault="008F3B02" w:rsidP="008F3B02">
            <w:pPr>
              <w:adjustRightInd w:val="0"/>
              <w:snapToGrid w:val="0"/>
              <w:spacing w:afterLines="50" w:after="180" w:line="400" w:lineRule="exact"/>
              <w:jc w:val="both"/>
              <w:rPr>
                <w:rFonts w:ascii="標楷體" w:eastAsia="標楷體" w:hAnsi="標楷體" w:cs="Times New Roman"/>
                <w:szCs w:val="24"/>
              </w:rPr>
            </w:pPr>
          </w:p>
          <w:p w:rsidR="008F3B02" w:rsidRPr="009D519D" w:rsidRDefault="008F3B02" w:rsidP="008F3B02">
            <w:pPr>
              <w:adjustRightInd w:val="0"/>
              <w:snapToGrid w:val="0"/>
              <w:spacing w:afterLines="50" w:after="180" w:line="400" w:lineRule="exact"/>
              <w:jc w:val="both"/>
              <w:rPr>
                <w:rFonts w:ascii="標楷體" w:eastAsia="標楷體" w:hAnsi="標楷體" w:cs="Times New Roman"/>
                <w:szCs w:val="24"/>
              </w:rPr>
            </w:pPr>
          </w:p>
          <w:p w:rsidR="008F3B02" w:rsidRPr="009D519D" w:rsidRDefault="008F3B02" w:rsidP="008F3B02">
            <w:pPr>
              <w:adjustRightInd w:val="0"/>
              <w:snapToGrid w:val="0"/>
              <w:spacing w:afterLines="50" w:after="180" w:line="400" w:lineRule="exact"/>
              <w:jc w:val="both"/>
              <w:rPr>
                <w:rFonts w:ascii="標楷體" w:eastAsia="標楷體" w:hAnsi="標楷體" w:cs="Times New Roman"/>
                <w:szCs w:val="24"/>
              </w:rPr>
            </w:pPr>
          </w:p>
          <w:p w:rsidR="008F3B02" w:rsidRPr="009D519D" w:rsidRDefault="008F3B02" w:rsidP="008F3B02">
            <w:pPr>
              <w:adjustRightInd w:val="0"/>
              <w:snapToGrid w:val="0"/>
              <w:spacing w:afterLines="50" w:after="180" w:line="400" w:lineRule="exact"/>
              <w:jc w:val="both"/>
              <w:rPr>
                <w:rFonts w:ascii="標楷體" w:eastAsia="標楷體" w:hAnsi="標楷體" w:cs="Times New Roman"/>
                <w:szCs w:val="24"/>
              </w:rPr>
            </w:pPr>
          </w:p>
          <w:p w:rsidR="00ED5D83" w:rsidRPr="009D519D" w:rsidRDefault="00C64BEA" w:rsidP="008F3B02">
            <w:pPr>
              <w:adjustRightInd w:val="0"/>
              <w:snapToGrid w:val="0"/>
              <w:spacing w:afterLines="50" w:after="180" w:line="400" w:lineRule="exact"/>
              <w:jc w:val="both"/>
              <w:rPr>
                <w:rFonts w:ascii="標楷體" w:eastAsia="標楷體" w:hAnsi="標楷體" w:cs="Times New Roman"/>
                <w:szCs w:val="24"/>
              </w:rPr>
            </w:pPr>
            <w:r w:rsidRPr="009D519D">
              <w:rPr>
                <w:rFonts w:ascii="標楷體" w:eastAsia="標楷體" w:hAnsi="標楷體" w:cs="Times New Roman" w:hint="eastAsia"/>
                <w:szCs w:val="24"/>
              </w:rPr>
              <w:t>保險公司辦理投資型保險專設帳簿申購基金業務時，其性質類似銷售機構，每日因應保戶需求</w:t>
            </w:r>
            <w:proofErr w:type="gramStart"/>
            <w:r w:rsidRPr="009D519D">
              <w:rPr>
                <w:rFonts w:ascii="標楷體" w:eastAsia="標楷體" w:hAnsi="標楷體" w:cs="Times New Roman" w:hint="eastAsia"/>
                <w:szCs w:val="24"/>
              </w:rPr>
              <w:t>之申贖</w:t>
            </w:r>
            <w:proofErr w:type="gramEnd"/>
            <w:r w:rsidRPr="009D519D">
              <w:rPr>
                <w:rFonts w:ascii="標楷體" w:eastAsia="標楷體" w:hAnsi="標楷體" w:cs="Times New Roman" w:hint="eastAsia"/>
                <w:szCs w:val="24"/>
              </w:rPr>
              <w:t>次數高，如每次</w:t>
            </w:r>
            <w:proofErr w:type="gramStart"/>
            <w:r w:rsidRPr="009D519D">
              <w:rPr>
                <w:rFonts w:ascii="標楷體" w:eastAsia="標楷體" w:hAnsi="標楷體" w:cs="Times New Roman" w:hint="eastAsia"/>
                <w:szCs w:val="24"/>
              </w:rPr>
              <w:t>申購均需對其</w:t>
            </w:r>
            <w:proofErr w:type="gramEnd"/>
            <w:r w:rsidRPr="009D519D">
              <w:rPr>
                <w:rFonts w:ascii="標楷體" w:eastAsia="標楷體" w:hAnsi="標楷體" w:cs="Times New Roman" w:hint="eastAsia"/>
                <w:szCs w:val="24"/>
              </w:rPr>
              <w:t>揭露通路報酬，並無</w:t>
            </w:r>
            <w:proofErr w:type="gramStart"/>
            <w:r w:rsidRPr="009D519D">
              <w:rPr>
                <w:rFonts w:ascii="標楷體" w:eastAsia="標楷體" w:hAnsi="標楷體" w:cs="Times New Roman" w:hint="eastAsia"/>
                <w:szCs w:val="24"/>
              </w:rPr>
              <w:t>實益且對</w:t>
            </w:r>
            <w:proofErr w:type="gramEnd"/>
            <w:r w:rsidRPr="009D519D">
              <w:rPr>
                <w:rFonts w:ascii="標楷體" w:eastAsia="標楷體" w:hAnsi="標楷體" w:cs="Times New Roman" w:hint="eastAsia"/>
                <w:szCs w:val="24"/>
              </w:rPr>
              <w:t>證券投資信託事業及總代理人增加無謂負擔，</w:t>
            </w:r>
            <w:proofErr w:type="gramStart"/>
            <w:r w:rsidRPr="009D519D">
              <w:rPr>
                <w:rFonts w:ascii="標楷體" w:eastAsia="標楷體" w:hAnsi="標楷體" w:cs="Times New Roman" w:hint="eastAsia"/>
                <w:szCs w:val="24"/>
              </w:rPr>
              <w:t>爰</w:t>
            </w:r>
            <w:proofErr w:type="gramEnd"/>
            <w:r w:rsidRPr="009D519D">
              <w:rPr>
                <w:rFonts w:ascii="標楷體" w:eastAsia="標楷體" w:hAnsi="標楷體" w:cs="Times New Roman" w:hint="eastAsia"/>
                <w:szCs w:val="24"/>
              </w:rPr>
              <w:t>如雙方已於投資契約、合作備忘錄等相當書件揭露基金之通路報酬資訊，則該保險公司後續進行申購基金時，證券投資信託事業及總代理人得無須再對其揭露通路報酬，惟仍須辦理變動通知與定期通知。</w:t>
            </w:r>
          </w:p>
        </w:tc>
        <w:tc>
          <w:tcPr>
            <w:tcW w:w="3227" w:type="dxa"/>
            <w:tcBorders>
              <w:bottom w:val="single" w:sz="4" w:space="0" w:color="auto"/>
            </w:tcBorders>
            <w:shd w:val="clear" w:color="auto" w:fill="FFFFFF" w:themeFill="background1"/>
          </w:tcPr>
          <w:p w:rsidR="00C64BEA" w:rsidRPr="009D519D" w:rsidRDefault="00C64BEA" w:rsidP="00990AA4">
            <w:pPr>
              <w:adjustRightInd w:val="0"/>
              <w:snapToGrid w:val="0"/>
              <w:spacing w:afterLines="50" w:after="180" w:line="400" w:lineRule="exact"/>
              <w:jc w:val="both"/>
              <w:rPr>
                <w:rFonts w:ascii="標楷體" w:eastAsia="標楷體" w:hAnsi="標楷體" w:cs="Times New Roman"/>
                <w:szCs w:val="24"/>
              </w:rPr>
            </w:pPr>
            <w:r w:rsidRPr="009D519D">
              <w:rPr>
                <w:rFonts w:ascii="標楷體" w:eastAsia="標楷體" w:hAnsi="標楷體" w:cs="Times New Roman" w:hint="eastAsia"/>
                <w:szCs w:val="24"/>
              </w:rPr>
              <w:lastRenderedPageBreak/>
              <w:t>一、中華民國證券投資信託暨顧問商業同業公會（以下稱公會）依主管機關授權訂定「中華民國證券投資信託暨顧問商業同業公會會員及其銷售機構基金通路報酬揭露施行要點」（以下簡稱本施行要點），</w:t>
            </w:r>
            <w:r w:rsidRPr="009D519D">
              <w:rPr>
                <w:rFonts w:ascii="標楷體" w:eastAsia="標楷體" w:hAnsi="標楷體" w:cs="Times New Roman" w:hint="eastAsia"/>
                <w:szCs w:val="24"/>
                <w:u w:val="single"/>
              </w:rPr>
              <w:t>於100年1月18日金</w:t>
            </w:r>
            <w:proofErr w:type="gramStart"/>
            <w:r w:rsidRPr="009D519D">
              <w:rPr>
                <w:rFonts w:ascii="標楷體" w:eastAsia="標楷體" w:hAnsi="標楷體" w:cs="Times New Roman" w:hint="eastAsia"/>
                <w:szCs w:val="24"/>
                <w:u w:val="single"/>
              </w:rPr>
              <w:t>管證投字</w:t>
            </w:r>
            <w:proofErr w:type="gramEnd"/>
            <w:r w:rsidRPr="009D519D">
              <w:rPr>
                <w:rFonts w:ascii="標楷體" w:eastAsia="標楷體" w:hAnsi="標楷體" w:cs="Times New Roman" w:hint="eastAsia"/>
                <w:szCs w:val="24"/>
                <w:u w:val="single"/>
              </w:rPr>
              <w:t>第0990074116號函准予核定，緩衝期將於100年3月2日屆滿，而主管機關並給予自100年2月1日至100年7月31日止之系統建置期及暫行措施</w:t>
            </w:r>
            <w:r w:rsidRPr="009D519D">
              <w:rPr>
                <w:rFonts w:ascii="標楷體" w:eastAsia="標楷體" w:hAnsi="標楷體" w:cs="Times New Roman" w:hint="eastAsia"/>
                <w:szCs w:val="24"/>
              </w:rPr>
              <w:t>，就</w:t>
            </w:r>
            <w:r w:rsidRPr="009D519D">
              <w:rPr>
                <w:rFonts w:ascii="標楷體" w:eastAsia="標楷體" w:hAnsi="標楷體" w:cs="Times New Roman" w:hint="eastAsia"/>
                <w:szCs w:val="24"/>
                <w:u w:val="single"/>
              </w:rPr>
              <w:t>新舊客戶及</w:t>
            </w:r>
            <w:r w:rsidRPr="009D519D">
              <w:rPr>
                <w:rFonts w:ascii="標楷體" w:eastAsia="標楷體" w:hAnsi="標楷體" w:cs="Times New Roman" w:hint="eastAsia"/>
                <w:szCs w:val="24"/>
              </w:rPr>
              <w:t>投資型保險專設帳簿應如何適用？</w:t>
            </w:r>
          </w:p>
          <w:p w:rsidR="00C64BEA" w:rsidRPr="009D519D" w:rsidRDefault="00C64BEA" w:rsidP="00990AA4">
            <w:pPr>
              <w:adjustRightInd w:val="0"/>
              <w:snapToGrid w:val="0"/>
              <w:spacing w:afterLines="50" w:after="180" w:line="400" w:lineRule="exact"/>
              <w:jc w:val="both"/>
              <w:rPr>
                <w:rFonts w:ascii="標楷體" w:eastAsia="標楷體" w:hAnsi="標楷體" w:cs="Times New Roman"/>
                <w:szCs w:val="24"/>
              </w:rPr>
            </w:pPr>
            <w:r w:rsidRPr="009D519D">
              <w:rPr>
                <w:rFonts w:ascii="標楷體" w:eastAsia="標楷體" w:hAnsi="標楷體" w:cs="Times New Roman" w:hint="eastAsia"/>
                <w:szCs w:val="24"/>
              </w:rPr>
              <w:t>說明：</w:t>
            </w:r>
          </w:p>
          <w:p w:rsidR="00C64BEA" w:rsidRPr="009D519D" w:rsidRDefault="00C64BEA" w:rsidP="00990AA4">
            <w:pPr>
              <w:adjustRightInd w:val="0"/>
              <w:snapToGrid w:val="0"/>
              <w:spacing w:afterLines="50" w:after="180" w:line="400" w:lineRule="exact"/>
              <w:jc w:val="both"/>
              <w:rPr>
                <w:rFonts w:ascii="標楷體" w:eastAsia="標楷體" w:hAnsi="標楷體" w:cs="Times New Roman"/>
                <w:szCs w:val="24"/>
                <w:u w:val="single"/>
              </w:rPr>
            </w:pPr>
            <w:r w:rsidRPr="009D519D">
              <w:rPr>
                <w:rFonts w:ascii="標楷體" w:eastAsia="標楷體" w:hAnsi="標楷體" w:cs="Times New Roman" w:hint="eastAsia"/>
                <w:szCs w:val="24"/>
                <w:u w:val="single"/>
              </w:rPr>
              <w:t>（一）除業者已提前實行本施行要點規範內容外，自100年2月1日至100年7月31日止之系統建置</w:t>
            </w:r>
            <w:proofErr w:type="gramStart"/>
            <w:r w:rsidRPr="009D519D">
              <w:rPr>
                <w:rFonts w:ascii="標楷體" w:eastAsia="標楷體" w:hAnsi="標楷體" w:cs="Times New Roman" w:hint="eastAsia"/>
                <w:szCs w:val="24"/>
                <w:u w:val="single"/>
              </w:rPr>
              <w:t>期間，</w:t>
            </w:r>
            <w:proofErr w:type="gramEnd"/>
            <w:r w:rsidRPr="009D519D">
              <w:rPr>
                <w:rFonts w:ascii="標楷體" w:eastAsia="標楷體" w:hAnsi="標楷體" w:cs="Times New Roman" w:hint="eastAsia"/>
                <w:szCs w:val="24"/>
                <w:u w:val="single"/>
              </w:rPr>
              <w:t>無論新舊客戶一律依主管機關暫行措施辦理。</w:t>
            </w:r>
          </w:p>
          <w:p w:rsidR="00C64BEA" w:rsidRPr="009D519D" w:rsidRDefault="00C64BEA" w:rsidP="00990AA4">
            <w:pPr>
              <w:adjustRightInd w:val="0"/>
              <w:snapToGrid w:val="0"/>
              <w:spacing w:afterLines="50" w:after="180" w:line="400" w:lineRule="exact"/>
              <w:jc w:val="both"/>
              <w:rPr>
                <w:rFonts w:ascii="標楷體" w:eastAsia="標楷體" w:hAnsi="標楷體" w:cs="Times New Roman"/>
                <w:szCs w:val="24"/>
              </w:rPr>
            </w:pPr>
            <w:r w:rsidRPr="009D519D">
              <w:rPr>
                <w:rFonts w:ascii="標楷體" w:eastAsia="標楷體" w:hAnsi="標楷體" w:cs="Times New Roman" w:hint="eastAsia"/>
                <w:szCs w:val="24"/>
                <w:u w:val="single"/>
              </w:rPr>
              <w:t>（二）自100年8月1日或業者提前施行日起，對新增單筆申購及新開戶定期定額客戶，一律依本施行要點進行銷售前通知、第四條第(8)點定</w:t>
            </w:r>
            <w:r w:rsidRPr="009D519D">
              <w:rPr>
                <w:rFonts w:ascii="標楷體" w:eastAsia="標楷體" w:hAnsi="標楷體" w:cs="Times New Roman" w:hint="eastAsia"/>
                <w:szCs w:val="24"/>
                <w:u w:val="single"/>
              </w:rPr>
              <w:lastRenderedPageBreak/>
              <w:t>期通知及第六條變動通知。</w:t>
            </w:r>
          </w:p>
          <w:p w:rsidR="00ED5D83" w:rsidRPr="009D519D" w:rsidRDefault="00C64BEA" w:rsidP="00990AA4">
            <w:pPr>
              <w:adjustRightInd w:val="0"/>
              <w:snapToGrid w:val="0"/>
              <w:spacing w:afterLines="50" w:after="180" w:line="400" w:lineRule="exact"/>
              <w:jc w:val="both"/>
              <w:rPr>
                <w:rFonts w:ascii="標楷體" w:eastAsia="標楷體" w:hAnsi="標楷體" w:cs="Times New Roman"/>
                <w:szCs w:val="24"/>
              </w:rPr>
            </w:pPr>
            <w:r w:rsidRPr="009D519D">
              <w:rPr>
                <w:rFonts w:ascii="標楷體" w:eastAsia="標楷體" w:hAnsi="標楷體" w:cs="Times New Roman" w:hint="eastAsia"/>
                <w:szCs w:val="24"/>
                <w:u w:val="single"/>
              </w:rPr>
              <w:t>（三）考量</w:t>
            </w:r>
            <w:r w:rsidRPr="009D519D">
              <w:rPr>
                <w:rFonts w:ascii="標楷體" w:eastAsia="標楷體" w:hAnsi="標楷體" w:cs="Times New Roman" w:hint="eastAsia"/>
                <w:szCs w:val="24"/>
              </w:rPr>
              <w:t>保險公司辦理投資型保險專設帳簿申購基金業務時，其性質類似銷售機構，每日因應保戶需求</w:t>
            </w:r>
            <w:proofErr w:type="gramStart"/>
            <w:r w:rsidRPr="009D519D">
              <w:rPr>
                <w:rFonts w:ascii="標楷體" w:eastAsia="標楷體" w:hAnsi="標楷體" w:cs="Times New Roman" w:hint="eastAsia"/>
                <w:szCs w:val="24"/>
              </w:rPr>
              <w:t>之申贖</w:t>
            </w:r>
            <w:proofErr w:type="gramEnd"/>
            <w:r w:rsidRPr="009D519D">
              <w:rPr>
                <w:rFonts w:ascii="標楷體" w:eastAsia="標楷體" w:hAnsi="標楷體" w:cs="Times New Roman" w:hint="eastAsia"/>
                <w:szCs w:val="24"/>
              </w:rPr>
              <w:t>次數高，如每次</w:t>
            </w:r>
            <w:proofErr w:type="gramStart"/>
            <w:r w:rsidRPr="009D519D">
              <w:rPr>
                <w:rFonts w:ascii="標楷體" w:eastAsia="標楷體" w:hAnsi="標楷體" w:cs="Times New Roman" w:hint="eastAsia"/>
                <w:szCs w:val="24"/>
              </w:rPr>
              <w:t>申購均需對其</w:t>
            </w:r>
            <w:proofErr w:type="gramEnd"/>
            <w:r w:rsidRPr="009D519D">
              <w:rPr>
                <w:rFonts w:ascii="標楷體" w:eastAsia="標楷體" w:hAnsi="標楷體" w:cs="Times New Roman" w:hint="eastAsia"/>
                <w:szCs w:val="24"/>
              </w:rPr>
              <w:t>揭露通路報酬，並無</w:t>
            </w:r>
            <w:proofErr w:type="gramStart"/>
            <w:r w:rsidRPr="009D519D">
              <w:rPr>
                <w:rFonts w:ascii="標楷體" w:eastAsia="標楷體" w:hAnsi="標楷體" w:cs="Times New Roman" w:hint="eastAsia"/>
                <w:szCs w:val="24"/>
              </w:rPr>
              <w:t>實益且對</w:t>
            </w:r>
            <w:proofErr w:type="gramEnd"/>
            <w:r w:rsidRPr="009D519D">
              <w:rPr>
                <w:rFonts w:ascii="標楷體" w:eastAsia="標楷體" w:hAnsi="標楷體" w:cs="Times New Roman" w:hint="eastAsia"/>
                <w:szCs w:val="24"/>
              </w:rPr>
              <w:t>證券投資信託事業及總代理人增加無謂負擔，</w:t>
            </w:r>
            <w:proofErr w:type="gramStart"/>
            <w:r w:rsidRPr="009D519D">
              <w:rPr>
                <w:rFonts w:ascii="標楷體" w:eastAsia="標楷體" w:hAnsi="標楷體" w:cs="Times New Roman" w:hint="eastAsia"/>
                <w:szCs w:val="24"/>
              </w:rPr>
              <w:t>爰</w:t>
            </w:r>
            <w:proofErr w:type="gramEnd"/>
            <w:r w:rsidRPr="009D519D">
              <w:rPr>
                <w:rFonts w:ascii="標楷體" w:eastAsia="標楷體" w:hAnsi="標楷體" w:cs="Times New Roman" w:hint="eastAsia"/>
                <w:szCs w:val="24"/>
              </w:rPr>
              <w:t>如雙方已於投資契約、合作備忘錄等相當書件揭露基金之通路報酬資訊，則該保險公司後續進行申購基金時，證券投資信託事業及總代理人得無須再對其揭露通路報酬，惟仍須辦理變動通知與定期通知。</w:t>
            </w:r>
          </w:p>
        </w:tc>
        <w:tc>
          <w:tcPr>
            <w:tcW w:w="3227" w:type="dxa"/>
            <w:tcBorders>
              <w:bottom w:val="single" w:sz="4" w:space="0" w:color="auto"/>
            </w:tcBorders>
            <w:shd w:val="clear" w:color="auto" w:fill="FFFFFF" w:themeFill="background1"/>
          </w:tcPr>
          <w:p w:rsidR="00ED5D83" w:rsidRPr="009D519D" w:rsidRDefault="00ED5D83" w:rsidP="00990AA4">
            <w:pPr>
              <w:adjustRightInd w:val="0"/>
              <w:snapToGrid w:val="0"/>
              <w:spacing w:afterLines="50" w:after="180" w:line="400" w:lineRule="exact"/>
              <w:jc w:val="both"/>
              <w:rPr>
                <w:rFonts w:ascii="標楷體" w:eastAsia="標楷體" w:hAnsi="標楷體" w:cs="Times New Roman"/>
                <w:szCs w:val="24"/>
              </w:rPr>
            </w:pPr>
          </w:p>
          <w:p w:rsidR="00BE0B2A" w:rsidRPr="009D519D" w:rsidRDefault="00BE0B2A" w:rsidP="00990AA4">
            <w:pPr>
              <w:adjustRightInd w:val="0"/>
              <w:snapToGrid w:val="0"/>
              <w:spacing w:afterLines="50" w:after="180" w:line="400" w:lineRule="exact"/>
              <w:jc w:val="both"/>
              <w:rPr>
                <w:rFonts w:ascii="標楷體" w:eastAsia="標楷體" w:hAnsi="標楷體" w:cs="Times New Roman"/>
                <w:szCs w:val="24"/>
              </w:rPr>
            </w:pPr>
          </w:p>
          <w:p w:rsidR="00BE0B2A" w:rsidRPr="009D519D" w:rsidRDefault="00BE0B2A" w:rsidP="00990AA4">
            <w:pPr>
              <w:adjustRightInd w:val="0"/>
              <w:snapToGrid w:val="0"/>
              <w:spacing w:afterLines="50" w:after="180" w:line="400" w:lineRule="exact"/>
              <w:jc w:val="both"/>
              <w:rPr>
                <w:rFonts w:ascii="標楷體" w:eastAsia="標楷體" w:hAnsi="標楷體" w:cs="Times New Roman"/>
                <w:szCs w:val="24"/>
              </w:rPr>
            </w:pPr>
          </w:p>
          <w:p w:rsidR="00BE0B2A" w:rsidRPr="009D519D" w:rsidRDefault="00BE0B2A" w:rsidP="00990AA4">
            <w:pPr>
              <w:adjustRightInd w:val="0"/>
              <w:snapToGrid w:val="0"/>
              <w:spacing w:afterLines="50" w:after="180" w:line="400" w:lineRule="exact"/>
              <w:jc w:val="both"/>
              <w:rPr>
                <w:rFonts w:ascii="標楷體" w:eastAsia="標楷體" w:hAnsi="標楷體" w:cs="Times New Roman"/>
                <w:szCs w:val="24"/>
              </w:rPr>
            </w:pPr>
          </w:p>
          <w:p w:rsidR="00BE0B2A" w:rsidRPr="009D519D" w:rsidRDefault="00BE0B2A" w:rsidP="00990AA4">
            <w:pPr>
              <w:adjustRightInd w:val="0"/>
              <w:snapToGrid w:val="0"/>
              <w:spacing w:afterLines="50" w:after="180" w:line="400" w:lineRule="exact"/>
              <w:jc w:val="both"/>
              <w:rPr>
                <w:rFonts w:ascii="標楷體" w:eastAsia="標楷體" w:hAnsi="標楷體" w:cs="Times New Roman"/>
                <w:szCs w:val="24"/>
              </w:rPr>
            </w:pPr>
          </w:p>
          <w:p w:rsidR="00BE0B2A" w:rsidRPr="009D519D" w:rsidRDefault="00BE0B2A" w:rsidP="00990AA4">
            <w:pPr>
              <w:adjustRightInd w:val="0"/>
              <w:snapToGrid w:val="0"/>
              <w:spacing w:afterLines="50" w:after="180" w:line="400" w:lineRule="exact"/>
              <w:jc w:val="both"/>
              <w:rPr>
                <w:rFonts w:ascii="標楷體" w:eastAsia="標楷體" w:hAnsi="標楷體" w:cs="Times New Roman"/>
                <w:szCs w:val="24"/>
              </w:rPr>
            </w:pPr>
          </w:p>
          <w:p w:rsidR="00BE0B2A" w:rsidRDefault="00BE0B2A" w:rsidP="00990AA4">
            <w:pPr>
              <w:adjustRightInd w:val="0"/>
              <w:snapToGrid w:val="0"/>
              <w:spacing w:afterLines="50" w:after="180" w:line="400" w:lineRule="exact"/>
              <w:jc w:val="both"/>
              <w:rPr>
                <w:rFonts w:ascii="標楷體" w:eastAsia="標楷體" w:hAnsi="標楷體" w:cs="Times New Roman"/>
                <w:szCs w:val="24"/>
              </w:rPr>
            </w:pPr>
          </w:p>
          <w:p w:rsidR="001B48C3" w:rsidRDefault="001B48C3" w:rsidP="00990AA4">
            <w:pPr>
              <w:adjustRightInd w:val="0"/>
              <w:snapToGrid w:val="0"/>
              <w:spacing w:afterLines="50" w:after="180" w:line="400" w:lineRule="exact"/>
              <w:jc w:val="both"/>
              <w:rPr>
                <w:rFonts w:ascii="標楷體" w:eastAsia="標楷體" w:hAnsi="標楷體" w:cs="Times New Roman"/>
                <w:szCs w:val="24"/>
              </w:rPr>
            </w:pPr>
          </w:p>
          <w:p w:rsidR="001B48C3" w:rsidRDefault="001B48C3" w:rsidP="00990AA4">
            <w:pPr>
              <w:adjustRightInd w:val="0"/>
              <w:snapToGrid w:val="0"/>
              <w:spacing w:afterLines="50" w:after="180" w:line="400" w:lineRule="exact"/>
              <w:jc w:val="both"/>
              <w:rPr>
                <w:rFonts w:ascii="標楷體" w:eastAsia="標楷體" w:hAnsi="標楷體" w:cs="Times New Roman"/>
                <w:szCs w:val="24"/>
              </w:rPr>
            </w:pPr>
          </w:p>
          <w:p w:rsidR="001B48C3" w:rsidRDefault="001B48C3" w:rsidP="00990AA4">
            <w:pPr>
              <w:adjustRightInd w:val="0"/>
              <w:snapToGrid w:val="0"/>
              <w:spacing w:afterLines="50" w:after="180" w:line="400" w:lineRule="exact"/>
              <w:jc w:val="both"/>
              <w:rPr>
                <w:rFonts w:ascii="標楷體" w:eastAsia="標楷體" w:hAnsi="標楷體" w:cs="Times New Roman"/>
                <w:szCs w:val="24"/>
              </w:rPr>
            </w:pPr>
          </w:p>
          <w:p w:rsidR="001B48C3" w:rsidRDefault="001B48C3" w:rsidP="00990AA4">
            <w:pPr>
              <w:adjustRightInd w:val="0"/>
              <w:snapToGrid w:val="0"/>
              <w:spacing w:afterLines="50" w:after="180" w:line="400" w:lineRule="exact"/>
              <w:jc w:val="both"/>
              <w:rPr>
                <w:rFonts w:ascii="標楷體" w:eastAsia="標楷體" w:hAnsi="標楷體" w:cs="Times New Roman"/>
                <w:szCs w:val="24"/>
              </w:rPr>
            </w:pPr>
          </w:p>
          <w:p w:rsidR="001B48C3" w:rsidRDefault="001B48C3" w:rsidP="00990AA4">
            <w:pPr>
              <w:adjustRightInd w:val="0"/>
              <w:snapToGrid w:val="0"/>
              <w:spacing w:afterLines="50" w:after="180" w:line="400" w:lineRule="exact"/>
              <w:jc w:val="both"/>
              <w:rPr>
                <w:rFonts w:ascii="標楷體" w:eastAsia="標楷體" w:hAnsi="標楷體" w:cs="Times New Roman"/>
                <w:szCs w:val="24"/>
              </w:rPr>
            </w:pPr>
          </w:p>
          <w:p w:rsidR="001B48C3" w:rsidRPr="009D519D" w:rsidRDefault="001B48C3" w:rsidP="00990AA4">
            <w:pPr>
              <w:adjustRightInd w:val="0"/>
              <w:snapToGrid w:val="0"/>
              <w:spacing w:afterLines="50" w:after="180" w:line="400" w:lineRule="exact"/>
              <w:jc w:val="both"/>
              <w:rPr>
                <w:rFonts w:ascii="標楷體" w:eastAsia="標楷體" w:hAnsi="標楷體" w:cs="Times New Roman"/>
                <w:szCs w:val="24"/>
              </w:rPr>
            </w:pPr>
          </w:p>
          <w:p w:rsidR="00BE0B2A" w:rsidRPr="009D519D" w:rsidRDefault="008F3B02" w:rsidP="00990AA4">
            <w:pPr>
              <w:adjustRightInd w:val="0"/>
              <w:snapToGrid w:val="0"/>
              <w:spacing w:afterLines="50" w:after="180" w:line="400" w:lineRule="exact"/>
              <w:jc w:val="both"/>
              <w:rPr>
                <w:rFonts w:ascii="標楷體" w:eastAsia="標楷體" w:hAnsi="標楷體" w:cs="Times New Roman"/>
                <w:szCs w:val="24"/>
              </w:rPr>
            </w:pPr>
            <w:r w:rsidRPr="009D519D">
              <w:rPr>
                <w:rFonts w:ascii="標楷體" w:eastAsia="標楷體" w:hAnsi="標楷體" w:cs="Times New Roman" w:hint="eastAsia"/>
                <w:szCs w:val="24"/>
              </w:rPr>
              <w:t>由於本施行要點已於100年年開始施行，</w:t>
            </w:r>
            <w:proofErr w:type="gramStart"/>
            <w:r w:rsidR="001E7935" w:rsidRPr="009D519D">
              <w:rPr>
                <w:rFonts w:ascii="標楷體" w:eastAsia="標楷體" w:hAnsi="標楷體" w:cs="Times New Roman" w:hint="eastAsia"/>
                <w:szCs w:val="24"/>
              </w:rPr>
              <w:t>爰</w:t>
            </w:r>
            <w:proofErr w:type="gramEnd"/>
            <w:r w:rsidR="001E7935" w:rsidRPr="009D519D">
              <w:rPr>
                <w:rFonts w:ascii="標楷體" w:eastAsia="標楷體" w:hAnsi="標楷體" w:cs="Times New Roman" w:hint="eastAsia"/>
                <w:szCs w:val="24"/>
              </w:rPr>
              <w:t>刪除第一題相關文字、說明</w:t>
            </w:r>
            <w:r w:rsidR="00BE0FB9" w:rsidRPr="009D519D">
              <w:rPr>
                <w:rFonts w:ascii="標楷體" w:eastAsia="標楷體" w:hAnsi="標楷體" w:cs="Times New Roman" w:hint="eastAsia"/>
                <w:szCs w:val="24"/>
              </w:rPr>
              <w:t>（</w:t>
            </w:r>
            <w:r w:rsidR="001E7935" w:rsidRPr="009D519D">
              <w:rPr>
                <w:rFonts w:ascii="標楷體" w:eastAsia="標楷體" w:hAnsi="標楷體" w:cs="Times New Roman" w:hint="eastAsia"/>
                <w:szCs w:val="24"/>
              </w:rPr>
              <w:t>一</w:t>
            </w:r>
            <w:r w:rsidR="00BE0FB9" w:rsidRPr="009D519D">
              <w:rPr>
                <w:rFonts w:ascii="標楷體" w:eastAsia="標楷體" w:hAnsi="標楷體" w:cs="Times New Roman" w:hint="eastAsia"/>
                <w:szCs w:val="24"/>
              </w:rPr>
              <w:t>）</w:t>
            </w:r>
            <w:r w:rsidR="001E7935" w:rsidRPr="009D519D">
              <w:rPr>
                <w:rFonts w:ascii="標楷體" w:eastAsia="標楷體" w:hAnsi="標楷體" w:cs="Times New Roman" w:hint="eastAsia"/>
                <w:szCs w:val="24"/>
              </w:rPr>
              <w:t>及說明</w:t>
            </w:r>
            <w:r w:rsidR="00BE0FB9" w:rsidRPr="009D519D">
              <w:rPr>
                <w:rFonts w:ascii="標楷體" w:eastAsia="標楷體" w:hAnsi="標楷體" w:cs="Times New Roman" w:hint="eastAsia"/>
                <w:szCs w:val="24"/>
              </w:rPr>
              <w:t>（</w:t>
            </w:r>
            <w:r w:rsidR="001E7935" w:rsidRPr="009D519D">
              <w:rPr>
                <w:rFonts w:ascii="標楷體" w:eastAsia="標楷體" w:hAnsi="標楷體" w:cs="Times New Roman" w:hint="eastAsia"/>
                <w:szCs w:val="24"/>
              </w:rPr>
              <w:t>二</w:t>
            </w:r>
            <w:r w:rsidR="00BE0FB9" w:rsidRPr="009D519D">
              <w:rPr>
                <w:rFonts w:ascii="標楷體" w:eastAsia="標楷體" w:hAnsi="標楷體" w:cs="Times New Roman" w:hint="eastAsia"/>
                <w:szCs w:val="24"/>
              </w:rPr>
              <w:t>）</w:t>
            </w:r>
            <w:r w:rsidR="00460EEE" w:rsidRPr="009D519D">
              <w:rPr>
                <w:rFonts w:ascii="標楷體" w:eastAsia="標楷體" w:hAnsi="標楷體" w:cs="Times New Roman" w:hint="eastAsia"/>
                <w:szCs w:val="24"/>
              </w:rPr>
              <w:t>。</w:t>
            </w:r>
          </w:p>
          <w:p w:rsidR="00BE0B2A" w:rsidRPr="009D519D" w:rsidRDefault="00BE0B2A" w:rsidP="00990AA4">
            <w:pPr>
              <w:adjustRightInd w:val="0"/>
              <w:snapToGrid w:val="0"/>
              <w:spacing w:afterLines="50" w:after="180" w:line="400" w:lineRule="exact"/>
              <w:jc w:val="both"/>
              <w:rPr>
                <w:rFonts w:ascii="標楷體" w:eastAsia="標楷體" w:hAnsi="標楷體" w:cs="Times New Roman"/>
                <w:szCs w:val="24"/>
              </w:rPr>
            </w:pPr>
          </w:p>
          <w:p w:rsidR="00BE0B2A" w:rsidRPr="009D519D" w:rsidRDefault="00BE0B2A" w:rsidP="00990AA4">
            <w:pPr>
              <w:adjustRightInd w:val="0"/>
              <w:snapToGrid w:val="0"/>
              <w:spacing w:afterLines="50" w:after="180" w:line="400" w:lineRule="exact"/>
              <w:jc w:val="both"/>
              <w:rPr>
                <w:rFonts w:ascii="標楷體" w:eastAsia="標楷體" w:hAnsi="標楷體" w:cs="Times New Roman"/>
                <w:szCs w:val="24"/>
              </w:rPr>
            </w:pPr>
          </w:p>
          <w:p w:rsidR="00BE0B2A" w:rsidRPr="009D519D" w:rsidRDefault="00BE0B2A" w:rsidP="00990AA4">
            <w:pPr>
              <w:adjustRightInd w:val="0"/>
              <w:snapToGrid w:val="0"/>
              <w:spacing w:afterLines="50" w:after="180" w:line="400" w:lineRule="exact"/>
              <w:jc w:val="both"/>
              <w:rPr>
                <w:rFonts w:ascii="標楷體" w:eastAsia="標楷體" w:hAnsi="標楷體" w:cs="Times New Roman"/>
                <w:szCs w:val="24"/>
              </w:rPr>
            </w:pPr>
          </w:p>
          <w:p w:rsidR="00BE0B2A" w:rsidRPr="009D519D" w:rsidRDefault="00BE0B2A" w:rsidP="00990AA4">
            <w:pPr>
              <w:adjustRightInd w:val="0"/>
              <w:snapToGrid w:val="0"/>
              <w:spacing w:afterLines="50" w:after="180" w:line="400" w:lineRule="exact"/>
              <w:jc w:val="both"/>
              <w:rPr>
                <w:rFonts w:ascii="標楷體" w:eastAsia="標楷體" w:hAnsi="標楷體" w:cs="Times New Roman"/>
                <w:szCs w:val="24"/>
              </w:rPr>
            </w:pPr>
          </w:p>
          <w:p w:rsidR="00BE0B2A" w:rsidRPr="009D519D" w:rsidRDefault="00BE0B2A" w:rsidP="00990AA4">
            <w:pPr>
              <w:adjustRightInd w:val="0"/>
              <w:snapToGrid w:val="0"/>
              <w:spacing w:afterLines="50" w:after="180" w:line="400" w:lineRule="exact"/>
              <w:jc w:val="both"/>
              <w:rPr>
                <w:rFonts w:ascii="標楷體" w:eastAsia="標楷體" w:hAnsi="標楷體" w:cs="Times New Roman"/>
                <w:szCs w:val="24"/>
              </w:rPr>
            </w:pPr>
          </w:p>
          <w:p w:rsidR="00BE0B2A" w:rsidRPr="009D519D" w:rsidRDefault="00BE0B2A" w:rsidP="00990AA4">
            <w:pPr>
              <w:adjustRightInd w:val="0"/>
              <w:snapToGrid w:val="0"/>
              <w:spacing w:afterLines="50" w:after="180" w:line="400" w:lineRule="exact"/>
              <w:jc w:val="both"/>
              <w:rPr>
                <w:rFonts w:ascii="標楷體" w:eastAsia="標楷體" w:hAnsi="標楷體" w:cs="Times New Roman"/>
                <w:szCs w:val="24"/>
              </w:rPr>
            </w:pPr>
          </w:p>
          <w:p w:rsidR="00BE0B2A" w:rsidRPr="009D519D" w:rsidRDefault="00BE0B2A" w:rsidP="00990AA4">
            <w:pPr>
              <w:adjustRightInd w:val="0"/>
              <w:snapToGrid w:val="0"/>
              <w:spacing w:afterLines="50" w:after="180" w:line="400" w:lineRule="exact"/>
              <w:jc w:val="both"/>
              <w:rPr>
                <w:rFonts w:ascii="標楷體" w:eastAsia="標楷體" w:hAnsi="標楷體" w:cs="Times New Roman"/>
                <w:szCs w:val="24"/>
              </w:rPr>
            </w:pPr>
          </w:p>
          <w:p w:rsidR="00BE0B2A" w:rsidRPr="009D519D" w:rsidRDefault="00BE0B2A" w:rsidP="00990AA4">
            <w:pPr>
              <w:adjustRightInd w:val="0"/>
              <w:snapToGrid w:val="0"/>
              <w:spacing w:afterLines="50" w:after="180" w:line="400" w:lineRule="exact"/>
              <w:jc w:val="both"/>
              <w:rPr>
                <w:rFonts w:ascii="標楷體" w:eastAsia="標楷體" w:hAnsi="標楷體" w:cs="Times New Roman"/>
                <w:szCs w:val="24"/>
              </w:rPr>
            </w:pPr>
          </w:p>
          <w:p w:rsidR="00990AA4" w:rsidRPr="009D519D" w:rsidRDefault="00990AA4" w:rsidP="00990AA4">
            <w:pPr>
              <w:adjustRightInd w:val="0"/>
              <w:snapToGrid w:val="0"/>
              <w:spacing w:afterLines="50" w:after="180" w:line="400" w:lineRule="exact"/>
              <w:jc w:val="both"/>
              <w:rPr>
                <w:rFonts w:ascii="標楷體" w:eastAsia="標楷體" w:hAnsi="標楷體" w:cs="Times New Roman"/>
                <w:szCs w:val="24"/>
              </w:rPr>
            </w:pPr>
          </w:p>
          <w:p w:rsidR="00990AA4" w:rsidRPr="009D519D" w:rsidRDefault="00990AA4" w:rsidP="00990AA4">
            <w:pPr>
              <w:adjustRightInd w:val="0"/>
              <w:snapToGrid w:val="0"/>
              <w:spacing w:afterLines="50" w:after="180" w:line="400" w:lineRule="exact"/>
              <w:jc w:val="both"/>
              <w:rPr>
                <w:rFonts w:ascii="標楷體" w:eastAsia="標楷體" w:hAnsi="標楷體" w:cs="Times New Roman"/>
                <w:szCs w:val="24"/>
              </w:rPr>
            </w:pPr>
          </w:p>
          <w:p w:rsidR="00BE0B2A" w:rsidRPr="009D519D" w:rsidRDefault="00BE0B2A" w:rsidP="00990AA4">
            <w:pPr>
              <w:adjustRightInd w:val="0"/>
              <w:snapToGrid w:val="0"/>
              <w:spacing w:afterLines="50" w:after="180" w:line="400" w:lineRule="exact"/>
              <w:jc w:val="both"/>
              <w:rPr>
                <w:rFonts w:ascii="標楷體" w:eastAsia="標楷體" w:hAnsi="標楷體" w:cs="Times New Roman"/>
                <w:szCs w:val="24"/>
              </w:rPr>
            </w:pPr>
          </w:p>
          <w:p w:rsidR="008F3B02" w:rsidRPr="009D519D" w:rsidRDefault="001E7935" w:rsidP="00990AA4">
            <w:pPr>
              <w:adjustRightInd w:val="0"/>
              <w:snapToGrid w:val="0"/>
              <w:spacing w:afterLines="50" w:after="180" w:line="400" w:lineRule="exact"/>
              <w:jc w:val="both"/>
              <w:rPr>
                <w:rFonts w:ascii="標楷體" w:eastAsia="標楷體" w:hAnsi="標楷體" w:cs="Times New Roman"/>
                <w:szCs w:val="24"/>
              </w:rPr>
            </w:pPr>
            <w:r w:rsidRPr="009D519D">
              <w:rPr>
                <w:rFonts w:ascii="標楷體" w:eastAsia="標楷體" w:hAnsi="標楷體" w:cs="Times New Roman" w:hint="eastAsia"/>
                <w:szCs w:val="24"/>
              </w:rPr>
              <w:t>說明次序</w:t>
            </w:r>
            <w:r w:rsidR="00C7626F" w:rsidRPr="009D519D">
              <w:rPr>
                <w:rFonts w:ascii="標楷體" w:eastAsia="標楷體" w:hAnsi="標楷體" w:cs="Times New Roman" w:hint="eastAsia"/>
                <w:szCs w:val="24"/>
              </w:rPr>
              <w:t>及文字</w:t>
            </w:r>
            <w:r w:rsidRPr="009D519D">
              <w:rPr>
                <w:rFonts w:ascii="標楷體" w:eastAsia="標楷體" w:hAnsi="標楷體" w:cs="Times New Roman" w:hint="eastAsia"/>
                <w:szCs w:val="24"/>
              </w:rPr>
              <w:t>調整。</w:t>
            </w:r>
          </w:p>
          <w:p w:rsidR="008F3B02" w:rsidRPr="009D519D" w:rsidRDefault="008F3B02" w:rsidP="00990AA4">
            <w:pPr>
              <w:adjustRightInd w:val="0"/>
              <w:snapToGrid w:val="0"/>
              <w:spacing w:afterLines="50" w:after="180" w:line="400" w:lineRule="exact"/>
              <w:jc w:val="both"/>
              <w:rPr>
                <w:rFonts w:ascii="標楷體" w:eastAsia="標楷體" w:hAnsi="標楷體" w:cs="Times New Roman"/>
                <w:szCs w:val="24"/>
              </w:rPr>
            </w:pPr>
          </w:p>
          <w:p w:rsidR="008F3B02" w:rsidRPr="009D519D" w:rsidRDefault="008F3B02" w:rsidP="00990AA4">
            <w:pPr>
              <w:adjustRightInd w:val="0"/>
              <w:snapToGrid w:val="0"/>
              <w:spacing w:afterLines="50" w:after="180" w:line="400" w:lineRule="exact"/>
              <w:jc w:val="both"/>
              <w:rPr>
                <w:rFonts w:ascii="標楷體" w:eastAsia="標楷體" w:hAnsi="標楷體" w:cs="Times New Roman"/>
                <w:szCs w:val="24"/>
              </w:rPr>
            </w:pPr>
          </w:p>
          <w:p w:rsidR="008F3B02" w:rsidRPr="009D519D" w:rsidRDefault="008F3B02" w:rsidP="00990AA4">
            <w:pPr>
              <w:adjustRightInd w:val="0"/>
              <w:snapToGrid w:val="0"/>
              <w:spacing w:afterLines="50" w:after="180" w:line="400" w:lineRule="exact"/>
              <w:jc w:val="both"/>
              <w:rPr>
                <w:rFonts w:ascii="標楷體" w:eastAsia="標楷體" w:hAnsi="標楷體" w:cs="Times New Roman"/>
                <w:szCs w:val="24"/>
              </w:rPr>
            </w:pPr>
          </w:p>
        </w:tc>
      </w:tr>
      <w:tr w:rsidR="009D519D" w:rsidRPr="009D519D" w:rsidTr="00720289">
        <w:trPr>
          <w:trHeight w:val="2705"/>
        </w:trPr>
        <w:tc>
          <w:tcPr>
            <w:tcW w:w="3227" w:type="dxa"/>
            <w:shd w:val="clear" w:color="auto" w:fill="FFFFFF" w:themeFill="background1"/>
          </w:tcPr>
          <w:p w:rsidR="00FF37A9" w:rsidRPr="009D519D" w:rsidRDefault="00FF37A9" w:rsidP="00FF37A9">
            <w:pPr>
              <w:adjustRightInd w:val="0"/>
              <w:snapToGrid w:val="0"/>
              <w:spacing w:afterLines="50" w:after="180" w:line="400" w:lineRule="exact"/>
              <w:jc w:val="both"/>
              <w:rPr>
                <w:rFonts w:ascii="標楷體" w:eastAsia="標楷體" w:hAnsi="標楷體" w:cs="Times New Roman"/>
                <w:szCs w:val="24"/>
              </w:rPr>
            </w:pPr>
            <w:r w:rsidRPr="009D519D">
              <w:rPr>
                <w:rFonts w:ascii="標楷體" w:eastAsia="標楷體" w:hAnsi="標楷體" w:cs="Times New Roman" w:hint="eastAsia"/>
                <w:szCs w:val="24"/>
              </w:rPr>
              <w:lastRenderedPageBreak/>
              <w:t>二、本施行要點第三條第(1)點申購手續費分成是否包含遞延申購手續費？</w:t>
            </w:r>
            <w:r w:rsidRPr="009D519D">
              <w:rPr>
                <w:rFonts w:ascii="標楷體" w:eastAsia="標楷體" w:hAnsi="標楷體" w:cs="Times New Roman" w:hint="eastAsia"/>
                <w:szCs w:val="24"/>
                <w:u w:val="single"/>
              </w:rPr>
              <w:t>投資人</w:t>
            </w:r>
            <w:r w:rsidRPr="009D519D">
              <w:rPr>
                <w:rFonts w:ascii="標楷體" w:eastAsia="標楷體" w:hAnsi="標楷體" w:cs="Times New Roman" w:hint="eastAsia"/>
                <w:szCs w:val="24"/>
              </w:rPr>
              <w:t>申請轉換</w:t>
            </w:r>
            <w:r w:rsidRPr="009D519D">
              <w:rPr>
                <w:rFonts w:ascii="標楷體" w:eastAsia="標楷體" w:hAnsi="標楷體" w:cs="Times New Roman" w:hint="eastAsia"/>
                <w:szCs w:val="24"/>
                <w:u w:val="single"/>
              </w:rPr>
              <w:t>/轉申購應</w:t>
            </w:r>
            <w:r w:rsidRPr="009D519D">
              <w:rPr>
                <w:rFonts w:ascii="標楷體" w:eastAsia="標楷體" w:hAnsi="標楷體" w:cs="Times New Roman" w:hint="eastAsia"/>
                <w:szCs w:val="24"/>
              </w:rPr>
              <w:t>如何</w:t>
            </w:r>
            <w:r w:rsidRPr="009D519D">
              <w:rPr>
                <w:rFonts w:ascii="標楷體" w:eastAsia="標楷體" w:hAnsi="標楷體" w:cs="Times New Roman" w:hint="eastAsia"/>
                <w:szCs w:val="24"/>
                <w:u w:val="single"/>
              </w:rPr>
              <w:t>適用</w:t>
            </w:r>
            <w:r w:rsidRPr="009D519D">
              <w:rPr>
                <w:rFonts w:ascii="標楷體" w:eastAsia="標楷體" w:hAnsi="標楷體" w:cs="Times New Roman" w:hint="eastAsia"/>
                <w:szCs w:val="24"/>
              </w:rPr>
              <w:t>？</w:t>
            </w:r>
          </w:p>
          <w:p w:rsidR="00FF37A9" w:rsidRPr="009D519D" w:rsidRDefault="00FF37A9" w:rsidP="00FF37A9">
            <w:pPr>
              <w:adjustRightInd w:val="0"/>
              <w:snapToGrid w:val="0"/>
              <w:spacing w:afterLines="100" w:after="360" w:line="400" w:lineRule="exact"/>
              <w:jc w:val="both"/>
              <w:rPr>
                <w:rFonts w:ascii="標楷體" w:eastAsia="標楷體" w:hAnsi="標楷體" w:cs="Times New Roman"/>
                <w:szCs w:val="24"/>
              </w:rPr>
            </w:pPr>
          </w:p>
        </w:tc>
        <w:tc>
          <w:tcPr>
            <w:tcW w:w="3227" w:type="dxa"/>
            <w:shd w:val="clear" w:color="auto" w:fill="FFFFFF" w:themeFill="background1"/>
          </w:tcPr>
          <w:p w:rsidR="00FF37A9" w:rsidRPr="009D519D" w:rsidRDefault="00FF37A9" w:rsidP="00990AA4">
            <w:pPr>
              <w:adjustRightInd w:val="0"/>
              <w:snapToGrid w:val="0"/>
              <w:spacing w:afterLines="50" w:after="180" w:line="400" w:lineRule="exact"/>
              <w:jc w:val="both"/>
              <w:rPr>
                <w:rFonts w:ascii="標楷體" w:eastAsia="標楷體" w:hAnsi="標楷體" w:cs="Times New Roman"/>
                <w:szCs w:val="24"/>
              </w:rPr>
            </w:pPr>
            <w:r w:rsidRPr="009D519D">
              <w:rPr>
                <w:rFonts w:ascii="標楷體" w:eastAsia="標楷體" w:hAnsi="標楷體" w:cs="Times New Roman" w:hint="eastAsia"/>
                <w:szCs w:val="24"/>
              </w:rPr>
              <w:t>二、</w:t>
            </w:r>
            <w:r w:rsidRPr="009D519D">
              <w:rPr>
                <w:rFonts w:ascii="標楷體" w:eastAsia="標楷體" w:hAnsi="標楷體" w:cs="Times New Roman" w:hint="eastAsia"/>
                <w:szCs w:val="24"/>
                <w:u w:val="single"/>
              </w:rPr>
              <w:t>依據</w:t>
            </w:r>
            <w:r w:rsidRPr="009D519D">
              <w:rPr>
                <w:rFonts w:ascii="標楷體" w:eastAsia="標楷體" w:hAnsi="標楷體" w:cs="Times New Roman" w:hint="eastAsia"/>
                <w:szCs w:val="24"/>
              </w:rPr>
              <w:t>本施行要點第三條第(1)點申購手續費分成是否包含遞延申購手續費？</w:t>
            </w:r>
            <w:r w:rsidRPr="009D519D">
              <w:rPr>
                <w:rFonts w:ascii="標楷體" w:eastAsia="標楷體" w:hAnsi="標楷體" w:cs="Times New Roman" w:hint="eastAsia"/>
                <w:szCs w:val="24"/>
                <w:u w:val="single"/>
              </w:rPr>
              <w:t>客戶</w:t>
            </w:r>
            <w:r w:rsidRPr="009D519D">
              <w:rPr>
                <w:rFonts w:ascii="標楷體" w:eastAsia="標楷體" w:hAnsi="標楷體" w:cs="Times New Roman" w:hint="eastAsia"/>
                <w:szCs w:val="24"/>
              </w:rPr>
              <w:t>申請轉換</w:t>
            </w:r>
            <w:r w:rsidRPr="009D519D">
              <w:rPr>
                <w:rFonts w:ascii="標楷體" w:eastAsia="標楷體" w:hAnsi="標楷體" w:cs="Times New Roman" w:hint="eastAsia"/>
                <w:szCs w:val="24"/>
                <w:u w:val="single"/>
              </w:rPr>
              <w:t>要</w:t>
            </w:r>
            <w:r w:rsidRPr="009D519D">
              <w:rPr>
                <w:rFonts w:ascii="標楷體" w:eastAsia="標楷體" w:hAnsi="標楷體" w:cs="Times New Roman" w:hint="eastAsia"/>
                <w:szCs w:val="24"/>
              </w:rPr>
              <w:t>如何揭露？</w:t>
            </w:r>
          </w:p>
          <w:p w:rsidR="00FF37A9" w:rsidRPr="009D519D" w:rsidRDefault="00FF37A9" w:rsidP="00990AA4">
            <w:pPr>
              <w:adjustRightInd w:val="0"/>
              <w:snapToGrid w:val="0"/>
              <w:spacing w:afterLines="50" w:after="180" w:line="400" w:lineRule="exact"/>
              <w:jc w:val="both"/>
              <w:rPr>
                <w:rFonts w:ascii="標楷體" w:eastAsia="標楷體" w:hAnsi="標楷體" w:cs="Times New Roman"/>
                <w:szCs w:val="24"/>
              </w:rPr>
            </w:pPr>
          </w:p>
        </w:tc>
        <w:tc>
          <w:tcPr>
            <w:tcW w:w="3227" w:type="dxa"/>
            <w:shd w:val="clear" w:color="auto" w:fill="FFFFFF" w:themeFill="background1"/>
          </w:tcPr>
          <w:p w:rsidR="00FF37A9" w:rsidRPr="009D519D" w:rsidRDefault="00FF37A9" w:rsidP="00990AA4">
            <w:pPr>
              <w:adjustRightInd w:val="0"/>
              <w:snapToGrid w:val="0"/>
              <w:spacing w:afterLines="50" w:after="180" w:line="400" w:lineRule="exact"/>
              <w:jc w:val="both"/>
              <w:rPr>
                <w:rFonts w:ascii="標楷體" w:eastAsia="標楷體" w:hAnsi="標楷體" w:cs="Times New Roman"/>
                <w:szCs w:val="24"/>
              </w:rPr>
            </w:pPr>
            <w:r w:rsidRPr="009D519D">
              <w:rPr>
                <w:rFonts w:ascii="標楷體" w:eastAsia="標楷體" w:hAnsi="標楷體" w:cs="Times New Roman" w:hint="eastAsia"/>
                <w:szCs w:val="24"/>
              </w:rPr>
              <w:t>文字調整。</w:t>
            </w:r>
          </w:p>
          <w:p w:rsidR="00FF37A9" w:rsidRPr="009D519D" w:rsidRDefault="00FF37A9" w:rsidP="00815BAF">
            <w:pPr>
              <w:adjustRightInd w:val="0"/>
              <w:snapToGrid w:val="0"/>
              <w:spacing w:afterLines="50" w:after="180" w:line="400" w:lineRule="exact"/>
              <w:ind w:left="209" w:hangingChars="87" w:hanging="209"/>
              <w:jc w:val="both"/>
              <w:rPr>
                <w:rFonts w:ascii="標楷體" w:eastAsia="標楷體" w:hAnsi="標楷體" w:cs="Times New Roman"/>
                <w:szCs w:val="24"/>
              </w:rPr>
            </w:pPr>
          </w:p>
        </w:tc>
      </w:tr>
      <w:tr w:rsidR="009D519D" w:rsidRPr="009D519D" w:rsidTr="00720289">
        <w:trPr>
          <w:trHeight w:val="4125"/>
        </w:trPr>
        <w:tc>
          <w:tcPr>
            <w:tcW w:w="3227" w:type="dxa"/>
            <w:shd w:val="clear" w:color="auto" w:fill="FFFFFF" w:themeFill="background1"/>
          </w:tcPr>
          <w:p w:rsidR="00815BAF" w:rsidRPr="009D519D" w:rsidRDefault="00815BAF" w:rsidP="009A016F">
            <w:pPr>
              <w:adjustRightInd w:val="0"/>
              <w:snapToGrid w:val="0"/>
              <w:spacing w:afterLines="100" w:after="360" w:line="400" w:lineRule="exact"/>
              <w:jc w:val="both"/>
              <w:rPr>
                <w:rFonts w:ascii="標楷體" w:eastAsia="標楷體" w:hAnsi="標楷體" w:cs="Times New Roman"/>
                <w:szCs w:val="24"/>
              </w:rPr>
            </w:pPr>
            <w:r w:rsidRPr="009D519D">
              <w:rPr>
                <w:rFonts w:ascii="標楷體" w:eastAsia="標楷體" w:hAnsi="標楷體" w:cs="Times New Roman" w:hint="eastAsia"/>
                <w:szCs w:val="24"/>
              </w:rPr>
              <w:t>說明：</w:t>
            </w:r>
          </w:p>
          <w:p w:rsidR="00815BAF" w:rsidRPr="009D519D" w:rsidRDefault="00815BAF" w:rsidP="009A016F">
            <w:pPr>
              <w:adjustRightInd w:val="0"/>
              <w:snapToGrid w:val="0"/>
              <w:spacing w:afterLines="50" w:after="180" w:line="400" w:lineRule="exact"/>
              <w:jc w:val="both"/>
              <w:rPr>
                <w:rFonts w:ascii="標楷體" w:eastAsia="標楷體" w:hAnsi="標楷體" w:cs="Times New Roman"/>
                <w:szCs w:val="24"/>
                <w:u w:val="single"/>
              </w:rPr>
            </w:pPr>
            <w:r w:rsidRPr="009D519D">
              <w:rPr>
                <w:rFonts w:ascii="標楷體" w:eastAsia="標楷體" w:hAnsi="標楷體" w:cs="Times New Roman" w:hint="eastAsia"/>
                <w:szCs w:val="24"/>
              </w:rPr>
              <w:t>（一）</w:t>
            </w:r>
            <w:r w:rsidRPr="009D519D">
              <w:rPr>
                <w:rFonts w:ascii="標楷體" w:eastAsia="標楷體" w:hAnsi="標楷體" w:cs="Times New Roman" w:hint="eastAsia"/>
                <w:szCs w:val="24"/>
                <w:u w:val="single"/>
              </w:rPr>
              <w:t>本施行要點第三條第(1)點申購手續費分成包含遞延申購手續費並於投資人申購時揭露。</w:t>
            </w:r>
          </w:p>
          <w:p w:rsidR="00815BAF" w:rsidRPr="009D519D" w:rsidRDefault="00815BAF" w:rsidP="009A016F">
            <w:pPr>
              <w:adjustRightInd w:val="0"/>
              <w:snapToGrid w:val="0"/>
              <w:spacing w:afterLines="100" w:after="360" w:line="400" w:lineRule="exact"/>
              <w:jc w:val="both"/>
              <w:rPr>
                <w:rFonts w:ascii="標楷體" w:eastAsia="標楷體" w:hAnsi="標楷體" w:cs="Times New Roman"/>
                <w:szCs w:val="24"/>
              </w:rPr>
            </w:pPr>
          </w:p>
        </w:tc>
        <w:tc>
          <w:tcPr>
            <w:tcW w:w="3227" w:type="dxa"/>
            <w:vMerge w:val="restart"/>
            <w:shd w:val="clear" w:color="auto" w:fill="FFFFFF" w:themeFill="background1"/>
          </w:tcPr>
          <w:p w:rsidR="00815BAF" w:rsidRPr="009D519D" w:rsidRDefault="00815BAF" w:rsidP="009A016F">
            <w:pPr>
              <w:adjustRightInd w:val="0"/>
              <w:snapToGrid w:val="0"/>
              <w:spacing w:afterLines="50" w:after="180" w:line="400" w:lineRule="exact"/>
              <w:jc w:val="both"/>
              <w:rPr>
                <w:rFonts w:ascii="標楷體" w:eastAsia="標楷體" w:hAnsi="標楷體" w:cs="Times New Roman"/>
                <w:szCs w:val="24"/>
              </w:rPr>
            </w:pPr>
            <w:r w:rsidRPr="009D519D">
              <w:rPr>
                <w:rFonts w:ascii="標楷體" w:eastAsia="標楷體" w:hAnsi="標楷體" w:cs="Times New Roman" w:hint="eastAsia"/>
                <w:szCs w:val="24"/>
              </w:rPr>
              <w:t>說明</w:t>
            </w:r>
            <w:r w:rsidRPr="009D519D">
              <w:rPr>
                <w:rFonts w:ascii="微軟正黑體" w:eastAsia="微軟正黑體" w:hAnsi="微軟正黑體" w:cs="Times New Roman" w:hint="eastAsia"/>
                <w:szCs w:val="24"/>
              </w:rPr>
              <w:t>：</w:t>
            </w:r>
          </w:p>
          <w:p w:rsidR="00815BAF" w:rsidRPr="009D519D" w:rsidRDefault="00815BAF" w:rsidP="009A016F">
            <w:pPr>
              <w:adjustRightInd w:val="0"/>
              <w:snapToGrid w:val="0"/>
              <w:spacing w:afterLines="50" w:after="180" w:line="400" w:lineRule="exact"/>
              <w:jc w:val="both"/>
              <w:rPr>
                <w:rFonts w:ascii="標楷體" w:eastAsia="標楷體" w:hAnsi="標楷體" w:cs="Times New Roman"/>
                <w:szCs w:val="24"/>
                <w:u w:val="single"/>
              </w:rPr>
            </w:pPr>
            <w:r w:rsidRPr="009D519D">
              <w:rPr>
                <w:rFonts w:ascii="標楷體" w:eastAsia="標楷體" w:hAnsi="標楷體" w:cs="Times New Roman" w:hint="eastAsia"/>
                <w:szCs w:val="24"/>
              </w:rPr>
              <w:t>（一）</w:t>
            </w:r>
            <w:r w:rsidRPr="009D519D">
              <w:rPr>
                <w:rFonts w:ascii="標楷體" w:eastAsia="標楷體" w:hAnsi="標楷體" w:cs="Times New Roman" w:hint="eastAsia"/>
                <w:szCs w:val="24"/>
                <w:u w:val="single"/>
              </w:rPr>
              <w:t>申購手續費分成：自買回手續費取得之分成比率，即為遞延（後收型）申購手續費，有關遞延（後收型）申購手續費之揭露方式，由於投資人申購時，並不確定其持有年限，故需於揭露文件</w:t>
            </w:r>
            <w:proofErr w:type="gramStart"/>
            <w:r w:rsidRPr="009D519D">
              <w:rPr>
                <w:rFonts w:ascii="標楷體" w:eastAsia="標楷體" w:hAnsi="標楷體" w:cs="Times New Roman" w:hint="eastAsia"/>
                <w:szCs w:val="24"/>
                <w:u w:val="single"/>
              </w:rPr>
              <w:t>（</w:t>
            </w:r>
            <w:proofErr w:type="gramEnd"/>
            <w:r w:rsidRPr="009D519D">
              <w:rPr>
                <w:rFonts w:ascii="標楷體" w:eastAsia="標楷體" w:hAnsi="標楷體" w:cs="Times New Roman" w:hint="eastAsia"/>
                <w:szCs w:val="24"/>
                <w:u w:val="single"/>
              </w:rPr>
              <w:t>包含：語音播放及網路頁面</w:t>
            </w:r>
            <w:proofErr w:type="gramStart"/>
            <w:r w:rsidRPr="009D519D">
              <w:rPr>
                <w:rFonts w:ascii="標楷體" w:eastAsia="標楷體" w:hAnsi="標楷體" w:cs="Times New Roman" w:hint="eastAsia"/>
                <w:szCs w:val="24"/>
                <w:u w:val="single"/>
              </w:rPr>
              <w:t>）</w:t>
            </w:r>
            <w:proofErr w:type="gramEnd"/>
            <w:r w:rsidRPr="009D519D">
              <w:rPr>
                <w:rFonts w:ascii="標楷體" w:eastAsia="標楷體" w:hAnsi="標楷體" w:cs="Times New Roman" w:hint="eastAsia"/>
                <w:szCs w:val="24"/>
                <w:u w:val="single"/>
              </w:rPr>
              <w:t>或附件</w:t>
            </w:r>
            <w:r w:rsidRPr="009D519D">
              <w:rPr>
                <w:rFonts w:ascii="標楷體" w:eastAsia="標楷體" w:hAnsi="標楷體" w:cs="Times New Roman" w:hint="eastAsia"/>
                <w:szCs w:val="24"/>
                <w:u w:val="single"/>
              </w:rPr>
              <w:lastRenderedPageBreak/>
              <w:t>說明遞延手續費之收取，建議文字為「本基金手續費遞延至贖回時收取，申購時無需支付，本公司（銀行）將自基金公司收取  %（或不多於  %）」。</w:t>
            </w:r>
          </w:p>
          <w:p w:rsidR="00815BAF" w:rsidRPr="009D519D" w:rsidRDefault="00815BAF" w:rsidP="009A016F">
            <w:pPr>
              <w:adjustRightInd w:val="0"/>
              <w:snapToGrid w:val="0"/>
              <w:spacing w:afterLines="50" w:after="180" w:line="400" w:lineRule="exact"/>
              <w:jc w:val="both"/>
              <w:rPr>
                <w:rFonts w:ascii="標楷體" w:eastAsia="標楷體" w:hAnsi="標楷體" w:cs="Times New Roman"/>
                <w:szCs w:val="24"/>
              </w:rPr>
            </w:pPr>
          </w:p>
          <w:p w:rsidR="00815BAF" w:rsidRPr="009D519D" w:rsidRDefault="00815BAF" w:rsidP="009A016F">
            <w:pPr>
              <w:adjustRightInd w:val="0"/>
              <w:snapToGrid w:val="0"/>
              <w:spacing w:afterLines="50" w:after="180" w:line="400" w:lineRule="exact"/>
              <w:jc w:val="both"/>
              <w:rPr>
                <w:rFonts w:ascii="標楷體" w:eastAsia="標楷體" w:hAnsi="標楷體" w:cs="Times New Roman"/>
                <w:szCs w:val="24"/>
              </w:rPr>
            </w:pPr>
          </w:p>
          <w:p w:rsidR="00815BAF" w:rsidRPr="009D519D" w:rsidRDefault="00815BAF" w:rsidP="009A016F">
            <w:pPr>
              <w:adjustRightInd w:val="0"/>
              <w:snapToGrid w:val="0"/>
              <w:spacing w:afterLines="100" w:after="360" w:line="400" w:lineRule="exact"/>
              <w:jc w:val="both"/>
              <w:rPr>
                <w:rFonts w:ascii="標楷體" w:eastAsia="標楷體" w:hAnsi="標楷體" w:cs="Times New Roman"/>
                <w:szCs w:val="24"/>
              </w:rPr>
            </w:pPr>
          </w:p>
          <w:p w:rsidR="00815BAF" w:rsidRPr="009D519D" w:rsidRDefault="00815BAF" w:rsidP="009A016F">
            <w:pPr>
              <w:adjustRightInd w:val="0"/>
              <w:snapToGrid w:val="0"/>
              <w:spacing w:afterLines="50" w:after="180" w:line="400" w:lineRule="exact"/>
              <w:jc w:val="both"/>
              <w:rPr>
                <w:rFonts w:ascii="標楷體" w:eastAsia="標楷體" w:hAnsi="標楷體" w:cs="Times New Roman"/>
                <w:szCs w:val="24"/>
              </w:rPr>
            </w:pPr>
            <w:r w:rsidRPr="009D519D">
              <w:rPr>
                <w:rFonts w:ascii="標楷體" w:eastAsia="標楷體" w:hAnsi="標楷體" w:cs="Times New Roman" w:hint="eastAsia"/>
                <w:szCs w:val="24"/>
              </w:rPr>
              <w:t>(二)轉換手續費分成</w:t>
            </w:r>
            <w:r w:rsidRPr="009D519D">
              <w:rPr>
                <w:rFonts w:ascii="標楷體" w:eastAsia="標楷體" w:hAnsi="標楷體" w:cs="Times New Roman" w:hint="eastAsia"/>
                <w:szCs w:val="24"/>
                <w:u w:val="single"/>
              </w:rPr>
              <w:t>應比照申購手續費分成之揭露方式辦理，需單獨</w:t>
            </w:r>
            <w:proofErr w:type="gramStart"/>
            <w:r w:rsidRPr="009D519D">
              <w:rPr>
                <w:rFonts w:ascii="標楷體" w:eastAsia="標楷體" w:hAnsi="標楷體" w:cs="Times New Roman" w:hint="eastAsia"/>
                <w:szCs w:val="24"/>
                <w:u w:val="single"/>
              </w:rPr>
              <w:t>列明且不得</w:t>
            </w:r>
            <w:proofErr w:type="gramEnd"/>
            <w:r w:rsidRPr="009D519D">
              <w:rPr>
                <w:rFonts w:ascii="標楷體" w:eastAsia="標楷體" w:hAnsi="標楷體" w:cs="Times New Roman" w:hint="eastAsia"/>
                <w:szCs w:val="24"/>
                <w:u w:val="single"/>
              </w:rPr>
              <w:t>併入申購手續費分成，惟</w:t>
            </w:r>
            <w:r w:rsidRPr="009D519D">
              <w:rPr>
                <w:rFonts w:ascii="標楷體" w:eastAsia="標楷體" w:hAnsi="標楷體" w:cs="Times New Roman" w:hint="eastAsia"/>
                <w:szCs w:val="24"/>
              </w:rPr>
              <w:t>不包含轉換作業服務費等不涉及銷售機構與基金公司分成之項目。</w:t>
            </w:r>
          </w:p>
          <w:p w:rsidR="00815BAF" w:rsidRPr="009D519D" w:rsidRDefault="00815BAF" w:rsidP="009A016F">
            <w:pPr>
              <w:adjustRightInd w:val="0"/>
              <w:snapToGrid w:val="0"/>
              <w:spacing w:afterLines="50" w:after="180" w:line="400" w:lineRule="exact"/>
              <w:jc w:val="both"/>
              <w:rPr>
                <w:rFonts w:ascii="標楷體" w:eastAsia="標楷體" w:hAnsi="標楷體" w:cs="Times New Roman"/>
                <w:szCs w:val="24"/>
              </w:rPr>
            </w:pPr>
          </w:p>
          <w:p w:rsidR="00815BAF" w:rsidRPr="009D519D" w:rsidRDefault="00815BAF" w:rsidP="009A016F">
            <w:pPr>
              <w:adjustRightInd w:val="0"/>
              <w:snapToGrid w:val="0"/>
              <w:spacing w:afterLines="50" w:after="180" w:line="400" w:lineRule="exact"/>
              <w:jc w:val="both"/>
              <w:rPr>
                <w:rFonts w:ascii="標楷體" w:eastAsia="標楷體" w:hAnsi="標楷體" w:cs="Times New Roman"/>
                <w:szCs w:val="24"/>
              </w:rPr>
            </w:pPr>
          </w:p>
          <w:p w:rsidR="00815BAF" w:rsidRPr="009D519D" w:rsidRDefault="00815BAF" w:rsidP="009A016F">
            <w:pPr>
              <w:adjustRightInd w:val="0"/>
              <w:snapToGrid w:val="0"/>
              <w:spacing w:afterLines="50" w:after="180" w:line="400" w:lineRule="exact"/>
              <w:jc w:val="both"/>
              <w:rPr>
                <w:rFonts w:ascii="標楷體" w:eastAsia="標楷體" w:hAnsi="標楷體" w:cs="Times New Roman"/>
                <w:szCs w:val="24"/>
                <w:u w:val="single"/>
              </w:rPr>
            </w:pPr>
            <w:r w:rsidRPr="009D519D">
              <w:rPr>
                <w:rFonts w:ascii="標楷體" w:eastAsia="標楷體" w:hAnsi="標楷體" w:cs="Times New Roman" w:hint="eastAsia"/>
                <w:szCs w:val="24"/>
                <w:u w:val="single"/>
              </w:rPr>
              <w:t>(三)銷售機構就客戶申請轉換/轉申購視為申購新交易，於客戶申請轉換/轉申購時進行新基金銷售前揭露通知。</w:t>
            </w:r>
          </w:p>
          <w:p w:rsidR="00815BAF" w:rsidRPr="009D519D" w:rsidRDefault="00815BAF" w:rsidP="009A016F">
            <w:pPr>
              <w:adjustRightInd w:val="0"/>
              <w:snapToGrid w:val="0"/>
              <w:spacing w:afterLines="100" w:after="360" w:line="400" w:lineRule="exact"/>
              <w:jc w:val="both"/>
              <w:rPr>
                <w:rFonts w:ascii="標楷體" w:eastAsia="標楷體" w:hAnsi="標楷體" w:cs="Times New Roman"/>
                <w:szCs w:val="24"/>
                <w:u w:val="single"/>
              </w:rPr>
            </w:pPr>
            <w:r w:rsidRPr="009D519D">
              <w:rPr>
                <w:rFonts w:ascii="標楷體" w:eastAsia="標楷體" w:hAnsi="標楷體" w:cs="Times New Roman" w:hint="eastAsia"/>
                <w:szCs w:val="24"/>
                <w:u w:val="single"/>
              </w:rPr>
              <w:t>（四）銷售機構亦可選擇將通路報酬費率相同之基金於揭露文件、網路頁面及語音播放一起詳列及說明，倘A股票基金轉換/轉申購成B股票基金(A與B已於同一揭露文件、網路頁面或語音播放一起詳列及說明)，則轉換/轉申購時不用再行通知；</w:t>
            </w:r>
            <w:proofErr w:type="gramStart"/>
            <w:r w:rsidRPr="009D519D">
              <w:rPr>
                <w:rFonts w:ascii="標楷體" w:eastAsia="標楷體" w:hAnsi="標楷體" w:cs="Times New Roman" w:hint="eastAsia"/>
                <w:szCs w:val="24"/>
                <w:u w:val="single"/>
              </w:rPr>
              <w:t>若否</w:t>
            </w:r>
            <w:proofErr w:type="gramEnd"/>
            <w:r w:rsidRPr="009D519D">
              <w:rPr>
                <w:rFonts w:ascii="標楷體" w:eastAsia="標楷體" w:hAnsi="標楷體" w:cs="Times New Roman" w:hint="eastAsia"/>
                <w:szCs w:val="24"/>
                <w:u w:val="single"/>
              </w:rPr>
              <w:t>，則客戶</w:t>
            </w:r>
            <w:r w:rsidRPr="009D519D">
              <w:rPr>
                <w:rFonts w:ascii="標楷體" w:eastAsia="標楷體" w:hAnsi="標楷體" w:cs="Times New Roman" w:hint="eastAsia"/>
                <w:szCs w:val="24"/>
                <w:u w:val="single"/>
              </w:rPr>
              <w:lastRenderedPageBreak/>
              <w:t>申請轉換/轉申購前，仍需再行銷售前揭露通知。</w:t>
            </w:r>
          </w:p>
          <w:p w:rsidR="00815BAF" w:rsidRPr="009D519D" w:rsidRDefault="00815BAF" w:rsidP="009A016F">
            <w:pPr>
              <w:adjustRightInd w:val="0"/>
              <w:snapToGrid w:val="0"/>
              <w:spacing w:afterLines="50" w:after="180" w:line="400" w:lineRule="exact"/>
              <w:jc w:val="both"/>
              <w:rPr>
                <w:rFonts w:ascii="標楷體" w:eastAsia="標楷體" w:hAnsi="標楷體" w:cs="Times New Roman"/>
                <w:szCs w:val="24"/>
              </w:rPr>
            </w:pPr>
            <w:r w:rsidRPr="009D519D">
              <w:rPr>
                <w:rFonts w:ascii="標楷體" w:eastAsia="標楷體" w:hAnsi="標楷體" w:cs="Times New Roman" w:hint="eastAsia"/>
                <w:szCs w:val="24"/>
              </w:rPr>
              <w:t>（</w:t>
            </w:r>
            <w:r w:rsidRPr="009D519D">
              <w:rPr>
                <w:rFonts w:ascii="標楷體" w:eastAsia="標楷體" w:hAnsi="標楷體" w:cs="Times New Roman" w:hint="eastAsia"/>
                <w:szCs w:val="24"/>
                <w:u w:val="single"/>
              </w:rPr>
              <w:t>五</w:t>
            </w:r>
            <w:r w:rsidRPr="009D519D">
              <w:rPr>
                <w:rFonts w:ascii="標楷體" w:eastAsia="標楷體" w:hAnsi="標楷體" w:cs="Times New Roman" w:hint="eastAsia"/>
                <w:szCs w:val="24"/>
              </w:rPr>
              <w:t>）銷售機構事先與投資人約定投資</w:t>
            </w:r>
            <w:r w:rsidRPr="009D519D">
              <w:rPr>
                <w:rFonts w:ascii="標楷體" w:eastAsia="標楷體" w:hAnsi="標楷體" w:cs="Times New Roman" w:hint="eastAsia"/>
                <w:szCs w:val="24"/>
                <w:u w:val="single"/>
              </w:rPr>
              <w:t>契約</w:t>
            </w:r>
            <w:r w:rsidRPr="009D519D">
              <w:rPr>
                <w:rFonts w:ascii="標楷體" w:eastAsia="標楷體" w:hAnsi="標楷體" w:cs="Times New Roman" w:hint="eastAsia"/>
                <w:szCs w:val="24"/>
              </w:rPr>
              <w:t>條件，如：定時定額</w:t>
            </w:r>
            <w:r w:rsidRPr="009D519D">
              <w:rPr>
                <w:rFonts w:ascii="標楷體" w:eastAsia="標楷體" w:hAnsi="標楷體" w:cs="Times New Roman" w:hint="eastAsia"/>
                <w:szCs w:val="24"/>
                <w:u w:val="single"/>
              </w:rPr>
              <w:t>＋</w:t>
            </w:r>
            <w:proofErr w:type="gramStart"/>
            <w:r w:rsidRPr="009D519D">
              <w:rPr>
                <w:rFonts w:ascii="標楷體" w:eastAsia="標楷體" w:hAnsi="標楷體" w:cs="Times New Roman" w:hint="eastAsia"/>
                <w:szCs w:val="24"/>
              </w:rPr>
              <w:t>停利轉</w:t>
            </w:r>
            <w:proofErr w:type="gramEnd"/>
            <w:r w:rsidRPr="009D519D">
              <w:rPr>
                <w:rFonts w:ascii="標楷體" w:eastAsia="標楷體" w:hAnsi="標楷體" w:cs="Times New Roman" w:hint="eastAsia"/>
                <w:szCs w:val="24"/>
              </w:rPr>
              <w:t>申購或證券商受託買賣外國有價證券，並與委託人約定於結清某一證券投資將價金轉投資於另一種委託人事前約定之</w:t>
            </w:r>
            <w:r w:rsidRPr="009D519D">
              <w:rPr>
                <w:rFonts w:ascii="標楷體" w:eastAsia="標楷體" w:hAnsi="標楷體" w:cs="Times New Roman" w:hint="eastAsia"/>
                <w:szCs w:val="24"/>
                <w:u w:val="single"/>
              </w:rPr>
              <w:t>貨幣</w:t>
            </w:r>
            <w:proofErr w:type="gramStart"/>
            <w:r w:rsidRPr="009D519D">
              <w:rPr>
                <w:rFonts w:ascii="標楷體" w:eastAsia="標楷體" w:hAnsi="標楷體" w:cs="Times New Roman" w:hint="eastAsia"/>
                <w:szCs w:val="24"/>
                <w:u w:val="single"/>
              </w:rPr>
              <w:t>巿</w:t>
            </w:r>
            <w:proofErr w:type="gramEnd"/>
            <w:r w:rsidRPr="009D519D">
              <w:rPr>
                <w:rFonts w:ascii="標楷體" w:eastAsia="標楷體" w:hAnsi="標楷體" w:cs="Times New Roman" w:hint="eastAsia"/>
                <w:szCs w:val="24"/>
                <w:u w:val="single"/>
              </w:rPr>
              <w:t>場基金或債券型</w:t>
            </w:r>
            <w:r w:rsidRPr="009D519D">
              <w:rPr>
                <w:rFonts w:ascii="標楷體" w:eastAsia="標楷體" w:hAnsi="標楷體" w:cs="Times New Roman" w:hint="eastAsia"/>
                <w:szCs w:val="24"/>
              </w:rPr>
              <w:t>基金者，若銷售機構已事先告知投資人基金通路報酬並經確認者，嗣後依約所進行之交易，毋須再行銷售前揭露通知。</w:t>
            </w:r>
          </w:p>
        </w:tc>
        <w:tc>
          <w:tcPr>
            <w:tcW w:w="3227" w:type="dxa"/>
            <w:vMerge w:val="restart"/>
            <w:shd w:val="clear" w:color="auto" w:fill="FFFFFF" w:themeFill="background1"/>
          </w:tcPr>
          <w:p w:rsidR="00815BAF" w:rsidRPr="009D519D" w:rsidRDefault="00815BAF" w:rsidP="009A016F">
            <w:pPr>
              <w:adjustRightInd w:val="0"/>
              <w:snapToGrid w:val="0"/>
              <w:spacing w:afterLines="50" w:after="180" w:line="400" w:lineRule="exact"/>
              <w:jc w:val="both"/>
              <w:rPr>
                <w:rFonts w:ascii="標楷體" w:eastAsia="標楷體" w:hAnsi="標楷體" w:cs="Times New Roman"/>
                <w:szCs w:val="24"/>
              </w:rPr>
            </w:pPr>
          </w:p>
          <w:p w:rsidR="00815BAF" w:rsidRPr="009D519D" w:rsidRDefault="00815BAF" w:rsidP="009A016F">
            <w:pPr>
              <w:adjustRightInd w:val="0"/>
              <w:snapToGrid w:val="0"/>
              <w:spacing w:afterLines="50" w:after="180" w:line="400" w:lineRule="exact"/>
              <w:ind w:left="348" w:hangingChars="145" w:hanging="348"/>
              <w:jc w:val="both"/>
              <w:rPr>
                <w:rFonts w:ascii="標楷體" w:eastAsia="標楷體" w:hAnsi="標楷體" w:cs="Times New Roman"/>
                <w:szCs w:val="24"/>
              </w:rPr>
            </w:pPr>
            <w:r w:rsidRPr="009D519D">
              <w:rPr>
                <w:rFonts w:ascii="標楷體" w:eastAsia="標楷體" w:hAnsi="標楷體" w:cs="Times New Roman" w:hint="eastAsia"/>
                <w:szCs w:val="24"/>
              </w:rPr>
              <w:t>1.申購手續費分成包含遞延申購手續費。若銷售機構銷售後收型基金時，於投資人申購後先自基金公司收取一定比例之報酬，應於投資人申購時揭露。</w:t>
            </w:r>
          </w:p>
          <w:p w:rsidR="00815BAF" w:rsidRPr="009D519D" w:rsidRDefault="00815BAF" w:rsidP="009A016F">
            <w:pPr>
              <w:ind w:left="348" w:hangingChars="145" w:hanging="348"/>
              <w:jc w:val="both"/>
              <w:rPr>
                <w:rFonts w:ascii="標楷體" w:eastAsia="標楷體" w:hAnsi="標楷體" w:cs="Times New Roman"/>
                <w:szCs w:val="24"/>
              </w:rPr>
            </w:pPr>
            <w:r w:rsidRPr="009D519D">
              <w:rPr>
                <w:rFonts w:ascii="標楷體" w:eastAsia="標楷體" w:hAnsi="標楷體" w:cs="Times New Roman" w:hint="eastAsia"/>
                <w:szCs w:val="24"/>
              </w:rPr>
              <w:t>2. 申購手續費分成包含遞延申購手續費，故投資人進</w:t>
            </w:r>
            <w:r w:rsidRPr="009D519D">
              <w:rPr>
                <w:rFonts w:ascii="標楷體" w:eastAsia="標楷體" w:hAnsi="標楷體" w:cs="Times New Roman" w:hint="eastAsia"/>
                <w:szCs w:val="24"/>
              </w:rPr>
              <w:lastRenderedPageBreak/>
              <w:t>行語音申購、自動化通路設備(ATM)或行動銀行進行申購時，銷售機構應以</w:t>
            </w:r>
            <w:r w:rsidR="00BA25F7">
              <w:rPr>
                <w:rFonts w:ascii="標楷體" w:eastAsia="標楷體" w:hAnsi="標楷體" w:cs="Times New Roman" w:hint="eastAsia"/>
                <w:szCs w:val="24"/>
              </w:rPr>
              <w:t>修正條文</w:t>
            </w:r>
            <w:r w:rsidRPr="009D519D">
              <w:rPr>
                <w:rFonts w:ascii="標楷體" w:eastAsia="標楷體" w:hAnsi="標楷體" w:cs="Times New Roman" w:hint="eastAsia"/>
                <w:szCs w:val="24"/>
              </w:rPr>
              <w:t>第</w:t>
            </w:r>
            <w:r w:rsidR="009A016F">
              <w:rPr>
                <w:rFonts w:ascii="標楷體" w:eastAsia="標楷體" w:hAnsi="標楷體" w:cs="Times New Roman" w:hint="eastAsia"/>
                <w:szCs w:val="24"/>
              </w:rPr>
              <w:t>六</w:t>
            </w:r>
            <w:r w:rsidRPr="009D519D">
              <w:rPr>
                <w:rFonts w:ascii="標楷體" w:eastAsia="標楷體" w:hAnsi="標楷體" w:cs="Times New Roman" w:hint="eastAsia"/>
                <w:szCs w:val="24"/>
              </w:rPr>
              <w:t>題之方式，依通路報酬揭露格式範本文字，對投資人說明通路報酬，故刪除第二題說明(</w:t>
            </w:r>
            <w:proofErr w:type="gramStart"/>
            <w:r w:rsidRPr="009D519D">
              <w:rPr>
                <w:rFonts w:ascii="標楷體" w:eastAsia="標楷體" w:hAnsi="標楷體" w:cs="Times New Roman" w:hint="eastAsia"/>
                <w:szCs w:val="24"/>
              </w:rPr>
              <w:t>一</w:t>
            </w:r>
            <w:proofErr w:type="gramEnd"/>
            <w:r w:rsidRPr="009D519D">
              <w:rPr>
                <w:rFonts w:ascii="標楷體" w:eastAsia="標楷體" w:hAnsi="標楷體" w:cs="Times New Roman" w:hint="eastAsia"/>
                <w:szCs w:val="24"/>
              </w:rPr>
              <w:t>)有關遞延（後收型）申購手續費之揭露方式等相關文字。</w:t>
            </w:r>
          </w:p>
          <w:p w:rsidR="00815BAF" w:rsidRPr="009A016F" w:rsidRDefault="00815BAF" w:rsidP="009A016F">
            <w:pPr>
              <w:jc w:val="both"/>
              <w:rPr>
                <w:rFonts w:ascii="標楷體" w:eastAsia="標楷體" w:hAnsi="標楷體" w:cs="Times New Roman"/>
                <w:szCs w:val="24"/>
              </w:rPr>
            </w:pPr>
          </w:p>
          <w:p w:rsidR="00815BAF" w:rsidRPr="009D519D" w:rsidRDefault="00815BAF" w:rsidP="009A016F">
            <w:pPr>
              <w:jc w:val="both"/>
              <w:rPr>
                <w:rFonts w:ascii="標楷體" w:eastAsia="標楷體" w:hAnsi="標楷體" w:cs="Times New Roman"/>
                <w:szCs w:val="24"/>
              </w:rPr>
            </w:pPr>
          </w:p>
          <w:p w:rsidR="00815BAF" w:rsidRPr="009D519D" w:rsidRDefault="00815BAF" w:rsidP="009A016F">
            <w:pPr>
              <w:adjustRightInd w:val="0"/>
              <w:snapToGrid w:val="0"/>
              <w:spacing w:afterLines="50" w:after="180" w:line="400" w:lineRule="exact"/>
              <w:jc w:val="both"/>
              <w:rPr>
                <w:rFonts w:ascii="標楷體" w:eastAsia="標楷體" w:hAnsi="標楷體" w:cs="Times New Roman"/>
                <w:szCs w:val="24"/>
                <w:u w:val="single"/>
              </w:rPr>
            </w:pPr>
            <w:r w:rsidRPr="009D519D">
              <w:rPr>
                <w:rFonts w:ascii="標楷體" w:eastAsia="標楷體" w:hAnsi="標楷體" w:cs="Times New Roman" w:hint="eastAsia"/>
                <w:szCs w:val="24"/>
              </w:rPr>
              <w:t>文字調整及第二題說明(二)，轉換/轉申購手續費分成揭露部分已移至通路報酬揭露格式範本之填寫說明中規範，</w:t>
            </w:r>
            <w:proofErr w:type="gramStart"/>
            <w:r w:rsidRPr="009D519D">
              <w:rPr>
                <w:rFonts w:ascii="標楷體" w:eastAsia="標楷體" w:hAnsi="標楷體" w:cs="Times New Roman" w:hint="eastAsia"/>
                <w:szCs w:val="24"/>
              </w:rPr>
              <w:t>爰</w:t>
            </w:r>
            <w:proofErr w:type="gramEnd"/>
            <w:r w:rsidRPr="009D519D">
              <w:rPr>
                <w:rFonts w:ascii="標楷體" w:eastAsia="標楷體" w:hAnsi="標楷體" w:cs="Times New Roman" w:hint="eastAsia"/>
                <w:szCs w:val="24"/>
              </w:rPr>
              <w:t>刪除之。</w:t>
            </w:r>
          </w:p>
          <w:p w:rsidR="00815BAF" w:rsidRPr="009D519D" w:rsidRDefault="00815BAF" w:rsidP="009A016F">
            <w:pPr>
              <w:jc w:val="both"/>
              <w:rPr>
                <w:rFonts w:ascii="標楷體" w:eastAsia="標楷體" w:hAnsi="標楷體" w:cs="Times New Roman"/>
                <w:szCs w:val="24"/>
              </w:rPr>
            </w:pPr>
          </w:p>
          <w:p w:rsidR="00815BAF" w:rsidRPr="009D519D" w:rsidRDefault="00815BAF" w:rsidP="009A016F">
            <w:pPr>
              <w:jc w:val="both"/>
              <w:rPr>
                <w:rFonts w:ascii="標楷體" w:eastAsia="標楷體" w:hAnsi="標楷體" w:cs="Times New Roman"/>
                <w:szCs w:val="24"/>
              </w:rPr>
            </w:pPr>
          </w:p>
          <w:p w:rsidR="00815BAF" w:rsidRPr="009D519D" w:rsidRDefault="00815BAF" w:rsidP="009A016F">
            <w:pPr>
              <w:jc w:val="both"/>
              <w:rPr>
                <w:rFonts w:ascii="標楷體" w:eastAsia="標楷體" w:hAnsi="標楷體" w:cs="Times New Roman"/>
                <w:szCs w:val="24"/>
              </w:rPr>
            </w:pPr>
          </w:p>
          <w:p w:rsidR="00815BAF" w:rsidRPr="009D519D" w:rsidRDefault="00815BAF" w:rsidP="009A016F">
            <w:pPr>
              <w:jc w:val="both"/>
              <w:rPr>
                <w:rFonts w:ascii="標楷體" w:eastAsia="標楷體" w:hAnsi="標楷體" w:cs="Times New Roman"/>
                <w:szCs w:val="24"/>
              </w:rPr>
            </w:pPr>
          </w:p>
          <w:p w:rsidR="00815BAF" w:rsidRPr="009D519D" w:rsidRDefault="00815BAF" w:rsidP="009A016F">
            <w:pPr>
              <w:pStyle w:val="a9"/>
              <w:ind w:leftChars="0" w:left="286"/>
              <w:jc w:val="both"/>
              <w:rPr>
                <w:rFonts w:ascii="標楷體" w:eastAsia="標楷體" w:hAnsi="標楷體" w:cs="Times New Roman"/>
                <w:szCs w:val="24"/>
              </w:rPr>
            </w:pPr>
          </w:p>
          <w:p w:rsidR="00815BAF" w:rsidRPr="009D519D" w:rsidRDefault="00815BAF" w:rsidP="009A016F">
            <w:pPr>
              <w:pStyle w:val="a9"/>
              <w:numPr>
                <w:ilvl w:val="0"/>
                <w:numId w:val="23"/>
              </w:numPr>
              <w:ind w:leftChars="0"/>
              <w:jc w:val="both"/>
              <w:rPr>
                <w:rFonts w:ascii="標楷體" w:eastAsia="標楷體" w:hAnsi="標楷體" w:cs="Times New Roman"/>
                <w:szCs w:val="24"/>
              </w:rPr>
            </w:pPr>
            <w:r w:rsidRPr="009D519D">
              <w:rPr>
                <w:rFonts w:ascii="標楷體" w:eastAsia="標楷體" w:hAnsi="標楷體" w:cs="Times New Roman" w:hint="eastAsia"/>
                <w:szCs w:val="24"/>
              </w:rPr>
              <w:t>第二題說明(三)及(四)，已移至通路報酬揭露格式範本之填寫說明中規範，</w:t>
            </w:r>
            <w:proofErr w:type="gramStart"/>
            <w:r w:rsidRPr="009D519D">
              <w:rPr>
                <w:rFonts w:ascii="標楷體" w:eastAsia="標楷體" w:hAnsi="標楷體" w:cs="Times New Roman" w:hint="eastAsia"/>
                <w:szCs w:val="24"/>
              </w:rPr>
              <w:t>爰</w:t>
            </w:r>
            <w:proofErr w:type="gramEnd"/>
            <w:r w:rsidRPr="009D519D">
              <w:rPr>
                <w:rFonts w:ascii="標楷體" w:eastAsia="標楷體" w:hAnsi="標楷體" w:cs="Times New Roman" w:hint="eastAsia"/>
                <w:szCs w:val="24"/>
              </w:rPr>
              <w:t>刪除之。</w:t>
            </w:r>
          </w:p>
          <w:p w:rsidR="00815BAF" w:rsidRPr="009D519D" w:rsidRDefault="00815BAF" w:rsidP="009A016F">
            <w:pPr>
              <w:pStyle w:val="a9"/>
              <w:numPr>
                <w:ilvl w:val="0"/>
                <w:numId w:val="23"/>
              </w:numPr>
              <w:ind w:leftChars="0"/>
              <w:jc w:val="both"/>
              <w:rPr>
                <w:rFonts w:ascii="標楷體" w:eastAsia="標楷體" w:hAnsi="標楷體" w:cs="Times New Roman"/>
                <w:szCs w:val="24"/>
              </w:rPr>
            </w:pPr>
            <w:r w:rsidRPr="009D519D">
              <w:rPr>
                <w:rFonts w:ascii="標楷體" w:eastAsia="標楷體" w:hAnsi="標楷體" w:cs="Times New Roman" w:hint="eastAsia"/>
                <w:szCs w:val="24"/>
              </w:rPr>
              <w:t>第二題說明(四)，有關通路報酬費率相同之基金可於揭露文件、網路頁面及語音播放一起詳列及說明部分，已移至修正條文第五題說明(</w:t>
            </w:r>
            <w:proofErr w:type="gramStart"/>
            <w:r w:rsidRPr="009D519D">
              <w:rPr>
                <w:rFonts w:ascii="標楷體" w:eastAsia="標楷體" w:hAnsi="標楷體" w:cs="Times New Roman" w:hint="eastAsia"/>
                <w:szCs w:val="24"/>
              </w:rPr>
              <w:t>一</w:t>
            </w:r>
            <w:proofErr w:type="gramEnd"/>
            <w:r w:rsidRPr="009D519D">
              <w:rPr>
                <w:rFonts w:ascii="標楷體" w:eastAsia="標楷體" w:hAnsi="標楷體" w:cs="Times New Roman" w:hint="eastAsia"/>
                <w:szCs w:val="24"/>
              </w:rPr>
              <w:t>)中規範。</w:t>
            </w:r>
          </w:p>
          <w:p w:rsidR="00815BAF" w:rsidRPr="009D519D" w:rsidRDefault="00815BAF" w:rsidP="009A016F">
            <w:pPr>
              <w:jc w:val="both"/>
              <w:rPr>
                <w:rFonts w:ascii="標楷體" w:eastAsia="標楷體" w:hAnsi="標楷體" w:cs="Times New Roman"/>
                <w:szCs w:val="24"/>
              </w:rPr>
            </w:pPr>
          </w:p>
          <w:p w:rsidR="00815BAF" w:rsidRPr="009D519D" w:rsidRDefault="00815BAF" w:rsidP="009A016F">
            <w:pPr>
              <w:jc w:val="both"/>
              <w:rPr>
                <w:rFonts w:ascii="標楷體" w:eastAsia="標楷體" w:hAnsi="標楷體" w:cs="Times New Roman"/>
                <w:szCs w:val="24"/>
              </w:rPr>
            </w:pPr>
          </w:p>
          <w:p w:rsidR="00815BAF" w:rsidRPr="009D519D" w:rsidRDefault="00815BAF" w:rsidP="009A016F">
            <w:pPr>
              <w:jc w:val="both"/>
              <w:rPr>
                <w:rFonts w:ascii="標楷體" w:eastAsia="標楷體" w:hAnsi="標楷體" w:cs="Times New Roman"/>
                <w:szCs w:val="24"/>
              </w:rPr>
            </w:pPr>
          </w:p>
          <w:p w:rsidR="00815BAF" w:rsidRPr="009D519D" w:rsidRDefault="00815BAF" w:rsidP="009A016F">
            <w:pPr>
              <w:jc w:val="both"/>
              <w:rPr>
                <w:rFonts w:ascii="標楷體" w:eastAsia="標楷體" w:hAnsi="標楷體" w:cs="Times New Roman"/>
                <w:szCs w:val="24"/>
              </w:rPr>
            </w:pPr>
          </w:p>
          <w:p w:rsidR="00815BAF" w:rsidRPr="009D519D" w:rsidRDefault="00815BAF" w:rsidP="009A016F">
            <w:pPr>
              <w:jc w:val="both"/>
              <w:rPr>
                <w:rFonts w:ascii="標楷體" w:eastAsia="標楷體" w:hAnsi="標楷體" w:cs="Times New Roman"/>
                <w:szCs w:val="24"/>
              </w:rPr>
            </w:pPr>
          </w:p>
          <w:p w:rsidR="00815BAF" w:rsidRPr="009D519D" w:rsidRDefault="00815BAF" w:rsidP="009A016F">
            <w:pPr>
              <w:jc w:val="both"/>
              <w:rPr>
                <w:rFonts w:ascii="標楷體" w:eastAsia="標楷體" w:hAnsi="標楷體" w:cs="Times New Roman"/>
                <w:szCs w:val="24"/>
              </w:rPr>
            </w:pPr>
          </w:p>
          <w:p w:rsidR="00815BAF" w:rsidRPr="009D519D" w:rsidRDefault="00815BAF" w:rsidP="009A016F">
            <w:pPr>
              <w:jc w:val="both"/>
              <w:rPr>
                <w:rFonts w:ascii="標楷體" w:eastAsia="標楷體" w:hAnsi="標楷體" w:cs="Times New Roman"/>
                <w:szCs w:val="24"/>
              </w:rPr>
            </w:pPr>
          </w:p>
          <w:p w:rsidR="00815BAF" w:rsidRPr="009D519D" w:rsidRDefault="00815BAF" w:rsidP="009A016F">
            <w:pPr>
              <w:jc w:val="both"/>
              <w:rPr>
                <w:rFonts w:ascii="標楷體" w:eastAsia="標楷體" w:hAnsi="標楷體" w:cs="Times New Roman"/>
                <w:szCs w:val="24"/>
              </w:rPr>
            </w:pPr>
          </w:p>
          <w:p w:rsidR="00815BAF" w:rsidRPr="009D519D" w:rsidRDefault="00815BAF" w:rsidP="009A016F">
            <w:pPr>
              <w:jc w:val="both"/>
              <w:rPr>
                <w:rFonts w:ascii="標楷體" w:eastAsia="標楷體" w:hAnsi="標楷體" w:cs="Times New Roman"/>
                <w:szCs w:val="24"/>
              </w:rPr>
            </w:pPr>
            <w:r w:rsidRPr="009D519D">
              <w:rPr>
                <w:rFonts w:ascii="標楷體" w:eastAsia="標楷體" w:hAnsi="標楷體" w:cs="Times New Roman" w:hint="eastAsia"/>
                <w:szCs w:val="24"/>
              </w:rPr>
              <w:t>說明次序及文字調整。</w:t>
            </w:r>
          </w:p>
          <w:p w:rsidR="00815BAF" w:rsidRPr="009D519D" w:rsidRDefault="00815BAF" w:rsidP="009A016F">
            <w:pPr>
              <w:jc w:val="both"/>
              <w:rPr>
                <w:rFonts w:ascii="標楷體" w:eastAsia="標楷體" w:hAnsi="標楷體" w:cs="Times New Roman"/>
                <w:szCs w:val="24"/>
              </w:rPr>
            </w:pPr>
          </w:p>
        </w:tc>
      </w:tr>
      <w:tr w:rsidR="009D519D" w:rsidRPr="009D519D" w:rsidTr="00720289">
        <w:trPr>
          <w:trHeight w:val="3993"/>
        </w:trPr>
        <w:tc>
          <w:tcPr>
            <w:tcW w:w="3227" w:type="dxa"/>
            <w:shd w:val="clear" w:color="auto" w:fill="FFFFFF" w:themeFill="background1"/>
          </w:tcPr>
          <w:p w:rsidR="00FF37A9" w:rsidRPr="009D519D" w:rsidRDefault="00FF37A9" w:rsidP="00FF37A9">
            <w:pPr>
              <w:adjustRightInd w:val="0"/>
              <w:snapToGrid w:val="0"/>
              <w:spacing w:afterLines="50" w:after="180" w:line="400" w:lineRule="exact"/>
              <w:jc w:val="both"/>
              <w:rPr>
                <w:rFonts w:ascii="標楷體" w:eastAsia="標楷體" w:hAnsi="標楷體" w:cs="Times New Roman"/>
                <w:szCs w:val="24"/>
              </w:rPr>
            </w:pPr>
          </w:p>
          <w:p w:rsidR="00FF37A9" w:rsidRPr="009D519D" w:rsidRDefault="00FF37A9" w:rsidP="00FF37A9">
            <w:pPr>
              <w:adjustRightInd w:val="0"/>
              <w:snapToGrid w:val="0"/>
              <w:spacing w:afterLines="50" w:after="180" w:line="400" w:lineRule="exact"/>
              <w:jc w:val="both"/>
              <w:rPr>
                <w:rFonts w:ascii="標楷體" w:eastAsia="標楷體" w:hAnsi="標楷體" w:cs="Times New Roman"/>
                <w:szCs w:val="24"/>
              </w:rPr>
            </w:pPr>
          </w:p>
          <w:p w:rsidR="00FF37A9" w:rsidRPr="009D519D" w:rsidRDefault="00FF37A9" w:rsidP="00FF37A9">
            <w:pPr>
              <w:adjustRightInd w:val="0"/>
              <w:snapToGrid w:val="0"/>
              <w:spacing w:afterLines="50" w:after="180" w:line="400" w:lineRule="exact"/>
              <w:jc w:val="both"/>
              <w:rPr>
                <w:rFonts w:ascii="標楷體" w:eastAsia="標楷體" w:hAnsi="標楷體" w:cs="Times New Roman"/>
                <w:szCs w:val="24"/>
              </w:rPr>
            </w:pPr>
          </w:p>
          <w:p w:rsidR="00FF37A9" w:rsidRPr="009D519D" w:rsidRDefault="00FF37A9" w:rsidP="00FF37A9">
            <w:pPr>
              <w:adjustRightInd w:val="0"/>
              <w:snapToGrid w:val="0"/>
              <w:spacing w:afterLines="50" w:after="180" w:line="400" w:lineRule="exact"/>
              <w:jc w:val="both"/>
              <w:rPr>
                <w:rFonts w:ascii="標楷體" w:eastAsia="標楷體" w:hAnsi="標楷體" w:cs="Times New Roman"/>
                <w:szCs w:val="24"/>
              </w:rPr>
            </w:pPr>
          </w:p>
          <w:p w:rsidR="00FF37A9" w:rsidRPr="009D519D" w:rsidRDefault="00FF37A9" w:rsidP="00FF37A9">
            <w:pPr>
              <w:adjustRightInd w:val="0"/>
              <w:snapToGrid w:val="0"/>
              <w:spacing w:afterLines="50" w:after="180" w:line="400" w:lineRule="exact"/>
              <w:jc w:val="both"/>
              <w:rPr>
                <w:rFonts w:ascii="標楷體" w:eastAsia="標楷體" w:hAnsi="標楷體" w:cs="Times New Roman"/>
                <w:szCs w:val="24"/>
              </w:rPr>
            </w:pPr>
          </w:p>
          <w:p w:rsidR="00FF37A9" w:rsidRPr="009D519D" w:rsidRDefault="00FF37A9" w:rsidP="00FF37A9">
            <w:pPr>
              <w:adjustRightInd w:val="0"/>
              <w:snapToGrid w:val="0"/>
              <w:spacing w:afterLines="50" w:after="180" w:line="400" w:lineRule="exact"/>
              <w:jc w:val="both"/>
              <w:rPr>
                <w:rFonts w:ascii="標楷體" w:eastAsia="標楷體" w:hAnsi="標楷體" w:cs="Times New Roman"/>
                <w:szCs w:val="24"/>
              </w:rPr>
            </w:pPr>
          </w:p>
          <w:p w:rsidR="00FF37A9" w:rsidRPr="009D519D" w:rsidRDefault="00FF37A9" w:rsidP="00FF37A9">
            <w:pPr>
              <w:adjustRightInd w:val="0"/>
              <w:snapToGrid w:val="0"/>
              <w:spacing w:afterLines="50" w:after="180" w:line="400" w:lineRule="exact"/>
              <w:jc w:val="both"/>
              <w:rPr>
                <w:rFonts w:ascii="標楷體" w:eastAsia="標楷體" w:hAnsi="標楷體" w:cs="Times New Roman"/>
                <w:szCs w:val="24"/>
              </w:rPr>
            </w:pPr>
          </w:p>
          <w:p w:rsidR="00FF37A9" w:rsidRPr="009D519D" w:rsidRDefault="00FF37A9" w:rsidP="00FF37A9">
            <w:pPr>
              <w:adjustRightInd w:val="0"/>
              <w:snapToGrid w:val="0"/>
              <w:spacing w:afterLines="50" w:after="180" w:line="400" w:lineRule="exact"/>
              <w:jc w:val="both"/>
              <w:rPr>
                <w:rFonts w:ascii="標楷體" w:eastAsia="標楷體" w:hAnsi="標楷體" w:cs="Times New Roman"/>
                <w:szCs w:val="24"/>
              </w:rPr>
            </w:pPr>
          </w:p>
          <w:p w:rsidR="00FF37A9" w:rsidRPr="009D519D" w:rsidRDefault="00FF37A9" w:rsidP="00FF37A9">
            <w:pPr>
              <w:adjustRightInd w:val="0"/>
              <w:snapToGrid w:val="0"/>
              <w:spacing w:afterLines="50" w:after="180" w:line="400" w:lineRule="exact"/>
              <w:jc w:val="both"/>
              <w:rPr>
                <w:rFonts w:ascii="標楷體" w:eastAsia="標楷體" w:hAnsi="標楷體" w:cs="Times New Roman"/>
                <w:szCs w:val="24"/>
              </w:rPr>
            </w:pPr>
            <w:r w:rsidRPr="009D519D">
              <w:rPr>
                <w:rFonts w:ascii="標楷體" w:eastAsia="標楷體" w:hAnsi="標楷體" w:cs="Times New Roman" w:hint="eastAsia"/>
                <w:szCs w:val="24"/>
              </w:rPr>
              <w:t>(二)轉換</w:t>
            </w:r>
            <w:r w:rsidRPr="009D519D">
              <w:rPr>
                <w:rFonts w:ascii="標楷體" w:eastAsia="標楷體" w:hAnsi="標楷體" w:cs="Times New Roman" w:hint="eastAsia"/>
                <w:szCs w:val="24"/>
                <w:u w:val="single"/>
              </w:rPr>
              <w:t>/轉申購</w:t>
            </w:r>
            <w:r w:rsidRPr="009D519D">
              <w:rPr>
                <w:rFonts w:ascii="標楷體" w:eastAsia="標楷體" w:hAnsi="標楷體" w:cs="Times New Roman" w:hint="eastAsia"/>
                <w:szCs w:val="24"/>
              </w:rPr>
              <w:t>手續費分成不包含轉換</w:t>
            </w:r>
            <w:r w:rsidRPr="009D519D">
              <w:rPr>
                <w:rFonts w:ascii="標楷體" w:eastAsia="標楷體" w:hAnsi="標楷體" w:cs="Times New Roman" w:hint="eastAsia"/>
                <w:szCs w:val="24"/>
                <w:u w:val="single"/>
              </w:rPr>
              <w:t>/轉申購</w:t>
            </w:r>
            <w:r w:rsidRPr="009D519D">
              <w:rPr>
                <w:rFonts w:ascii="標楷體" w:eastAsia="標楷體" w:hAnsi="標楷體" w:cs="Times New Roman" w:hint="eastAsia"/>
                <w:szCs w:val="24"/>
              </w:rPr>
              <w:t>作業服務費等不涉及銷售機構與基金公司分成之項目。</w:t>
            </w:r>
          </w:p>
          <w:p w:rsidR="00FF37A9" w:rsidRPr="009D519D" w:rsidRDefault="00FF37A9" w:rsidP="00FF37A9">
            <w:pPr>
              <w:adjustRightInd w:val="0"/>
              <w:snapToGrid w:val="0"/>
              <w:spacing w:afterLines="50" w:after="180" w:line="400" w:lineRule="exact"/>
              <w:jc w:val="both"/>
              <w:rPr>
                <w:rFonts w:ascii="標楷體" w:eastAsia="標楷體" w:hAnsi="標楷體" w:cs="Times New Roman"/>
                <w:szCs w:val="24"/>
              </w:rPr>
            </w:pPr>
          </w:p>
          <w:p w:rsidR="00FF37A9" w:rsidRPr="009D519D" w:rsidRDefault="00FF37A9" w:rsidP="00FF37A9">
            <w:pPr>
              <w:adjustRightInd w:val="0"/>
              <w:snapToGrid w:val="0"/>
              <w:spacing w:afterLines="50" w:after="180" w:line="400" w:lineRule="exact"/>
              <w:jc w:val="both"/>
              <w:rPr>
                <w:rFonts w:ascii="標楷體" w:eastAsia="標楷體" w:hAnsi="標楷體" w:cs="Times New Roman"/>
                <w:szCs w:val="24"/>
              </w:rPr>
            </w:pPr>
          </w:p>
          <w:p w:rsidR="00FF37A9" w:rsidRPr="009D519D" w:rsidRDefault="00FF37A9" w:rsidP="00FF37A9">
            <w:pPr>
              <w:adjustRightInd w:val="0"/>
              <w:snapToGrid w:val="0"/>
              <w:spacing w:afterLines="100" w:after="360" w:line="400" w:lineRule="exact"/>
              <w:jc w:val="both"/>
              <w:rPr>
                <w:rFonts w:ascii="標楷體" w:eastAsia="標楷體" w:hAnsi="標楷體" w:cs="Times New Roman"/>
                <w:szCs w:val="24"/>
              </w:rPr>
            </w:pPr>
          </w:p>
          <w:p w:rsidR="00FF37A9" w:rsidRPr="009D519D" w:rsidRDefault="00FF37A9" w:rsidP="00FF37A9">
            <w:pPr>
              <w:adjustRightInd w:val="0"/>
              <w:snapToGrid w:val="0"/>
              <w:spacing w:afterLines="50" w:after="180" w:line="400" w:lineRule="exact"/>
              <w:jc w:val="both"/>
              <w:rPr>
                <w:rFonts w:ascii="標楷體" w:eastAsia="標楷體" w:hAnsi="標楷體" w:cs="Times New Roman"/>
                <w:szCs w:val="24"/>
              </w:rPr>
            </w:pPr>
          </w:p>
          <w:p w:rsidR="00FF37A9" w:rsidRPr="009D519D" w:rsidRDefault="00FF37A9" w:rsidP="00FF37A9">
            <w:pPr>
              <w:adjustRightInd w:val="0"/>
              <w:snapToGrid w:val="0"/>
              <w:spacing w:afterLines="50" w:after="180" w:line="400" w:lineRule="exact"/>
              <w:jc w:val="both"/>
              <w:rPr>
                <w:rFonts w:ascii="標楷體" w:eastAsia="標楷體" w:hAnsi="標楷體" w:cs="Times New Roman"/>
                <w:szCs w:val="24"/>
              </w:rPr>
            </w:pPr>
            <w:r w:rsidRPr="009D519D">
              <w:rPr>
                <w:rFonts w:ascii="標楷體" w:eastAsia="標楷體" w:hAnsi="標楷體" w:cs="Times New Roman" w:hint="eastAsia"/>
                <w:szCs w:val="24"/>
              </w:rPr>
              <w:t>刪除。</w:t>
            </w:r>
          </w:p>
          <w:p w:rsidR="00807046" w:rsidRPr="009D519D" w:rsidRDefault="00807046" w:rsidP="00FF37A9">
            <w:pPr>
              <w:adjustRightInd w:val="0"/>
              <w:snapToGrid w:val="0"/>
              <w:spacing w:afterLines="50" w:after="180" w:line="400" w:lineRule="exact"/>
              <w:jc w:val="both"/>
              <w:rPr>
                <w:rFonts w:ascii="標楷體" w:eastAsia="標楷體" w:hAnsi="標楷體" w:cs="Times New Roman"/>
                <w:szCs w:val="24"/>
              </w:rPr>
            </w:pPr>
          </w:p>
          <w:p w:rsidR="00FF37A9" w:rsidRPr="009D519D" w:rsidRDefault="00FF37A9" w:rsidP="00FF37A9">
            <w:pPr>
              <w:adjustRightInd w:val="0"/>
              <w:snapToGrid w:val="0"/>
              <w:spacing w:afterLines="50" w:after="180" w:line="400" w:lineRule="exact"/>
              <w:jc w:val="both"/>
              <w:rPr>
                <w:rFonts w:ascii="標楷體" w:eastAsia="標楷體" w:hAnsi="標楷體" w:cs="Times New Roman"/>
                <w:szCs w:val="24"/>
              </w:rPr>
            </w:pPr>
          </w:p>
          <w:p w:rsidR="00FF37A9" w:rsidRPr="009D519D" w:rsidRDefault="00FF37A9" w:rsidP="00FF37A9">
            <w:pPr>
              <w:adjustRightInd w:val="0"/>
              <w:snapToGrid w:val="0"/>
              <w:spacing w:afterLines="50" w:after="180" w:line="400" w:lineRule="exact"/>
              <w:jc w:val="both"/>
              <w:rPr>
                <w:rFonts w:ascii="標楷體" w:eastAsia="標楷體" w:hAnsi="標楷體" w:cs="Times New Roman"/>
                <w:szCs w:val="24"/>
              </w:rPr>
            </w:pPr>
          </w:p>
          <w:p w:rsidR="00FF37A9" w:rsidRPr="009D519D" w:rsidRDefault="00FF37A9" w:rsidP="00FF37A9">
            <w:pPr>
              <w:adjustRightInd w:val="0"/>
              <w:snapToGrid w:val="0"/>
              <w:spacing w:afterLines="50" w:after="180" w:line="400" w:lineRule="exact"/>
              <w:jc w:val="both"/>
              <w:rPr>
                <w:rFonts w:ascii="標楷體" w:eastAsia="標楷體" w:hAnsi="標楷體" w:cs="Times New Roman"/>
                <w:szCs w:val="24"/>
              </w:rPr>
            </w:pPr>
          </w:p>
          <w:p w:rsidR="00FF37A9" w:rsidRPr="009D519D" w:rsidRDefault="00FF37A9" w:rsidP="00FF37A9">
            <w:pPr>
              <w:adjustRightInd w:val="0"/>
              <w:snapToGrid w:val="0"/>
              <w:spacing w:afterLines="50" w:after="180" w:line="400" w:lineRule="exact"/>
              <w:jc w:val="both"/>
              <w:rPr>
                <w:rFonts w:ascii="標楷體" w:eastAsia="標楷體" w:hAnsi="標楷體" w:cs="Times New Roman"/>
                <w:szCs w:val="24"/>
              </w:rPr>
            </w:pPr>
          </w:p>
          <w:p w:rsidR="00FF37A9" w:rsidRPr="009D519D" w:rsidRDefault="00FF37A9" w:rsidP="00FF37A9">
            <w:pPr>
              <w:adjustRightInd w:val="0"/>
              <w:snapToGrid w:val="0"/>
              <w:spacing w:afterLines="50" w:after="180" w:line="400" w:lineRule="exact"/>
              <w:jc w:val="both"/>
              <w:rPr>
                <w:rFonts w:ascii="標楷體" w:eastAsia="標楷體" w:hAnsi="標楷體" w:cs="Times New Roman"/>
                <w:szCs w:val="24"/>
              </w:rPr>
            </w:pPr>
          </w:p>
          <w:p w:rsidR="00FF37A9" w:rsidRPr="009D519D" w:rsidRDefault="00FF37A9" w:rsidP="00FF37A9">
            <w:pPr>
              <w:adjustRightInd w:val="0"/>
              <w:snapToGrid w:val="0"/>
              <w:spacing w:afterLines="50" w:after="180" w:line="400" w:lineRule="exact"/>
              <w:jc w:val="both"/>
              <w:rPr>
                <w:rFonts w:ascii="標楷體" w:eastAsia="標楷體" w:hAnsi="標楷體" w:cs="Times New Roman"/>
                <w:szCs w:val="24"/>
              </w:rPr>
            </w:pPr>
          </w:p>
          <w:p w:rsidR="00FF37A9" w:rsidRPr="009D519D" w:rsidRDefault="00FF37A9" w:rsidP="00FF37A9">
            <w:pPr>
              <w:adjustRightInd w:val="0"/>
              <w:snapToGrid w:val="0"/>
              <w:spacing w:afterLines="50" w:after="180" w:line="400" w:lineRule="exact"/>
              <w:jc w:val="both"/>
              <w:rPr>
                <w:rFonts w:ascii="標楷體" w:eastAsia="標楷體" w:hAnsi="標楷體" w:cs="Times New Roman"/>
                <w:szCs w:val="24"/>
              </w:rPr>
            </w:pPr>
          </w:p>
          <w:p w:rsidR="00FF37A9" w:rsidRPr="009D519D" w:rsidRDefault="00FF37A9" w:rsidP="00FF37A9">
            <w:pPr>
              <w:adjustRightInd w:val="0"/>
              <w:snapToGrid w:val="0"/>
              <w:spacing w:afterLines="50" w:after="180" w:line="400" w:lineRule="exact"/>
              <w:jc w:val="both"/>
              <w:rPr>
                <w:rFonts w:ascii="標楷體" w:eastAsia="標楷體" w:hAnsi="標楷體" w:cs="Times New Roman"/>
                <w:szCs w:val="24"/>
              </w:rPr>
            </w:pPr>
          </w:p>
          <w:p w:rsidR="00FF37A9" w:rsidRPr="009D519D" w:rsidRDefault="00FF37A9" w:rsidP="00FF37A9">
            <w:pPr>
              <w:adjustRightInd w:val="0"/>
              <w:snapToGrid w:val="0"/>
              <w:spacing w:afterLines="100" w:after="360" w:line="400" w:lineRule="exact"/>
              <w:jc w:val="both"/>
              <w:rPr>
                <w:rFonts w:ascii="標楷體" w:eastAsia="標楷體" w:hAnsi="標楷體" w:cs="Times New Roman"/>
                <w:szCs w:val="24"/>
              </w:rPr>
            </w:pPr>
            <w:r w:rsidRPr="009D519D">
              <w:rPr>
                <w:rFonts w:ascii="標楷體" w:eastAsia="標楷體" w:hAnsi="標楷體" w:cs="Times New Roman" w:hint="eastAsia"/>
                <w:szCs w:val="24"/>
              </w:rPr>
              <w:t>（</w:t>
            </w:r>
            <w:r w:rsidRPr="009D519D">
              <w:rPr>
                <w:rFonts w:ascii="標楷體" w:eastAsia="標楷體" w:hAnsi="標楷體" w:cs="Times New Roman" w:hint="eastAsia"/>
                <w:szCs w:val="24"/>
                <w:u w:val="single"/>
              </w:rPr>
              <w:t>三</w:t>
            </w:r>
            <w:r w:rsidRPr="009D519D">
              <w:rPr>
                <w:rFonts w:ascii="標楷體" w:eastAsia="標楷體" w:hAnsi="標楷體" w:cs="Times New Roman" w:hint="eastAsia"/>
                <w:szCs w:val="24"/>
              </w:rPr>
              <w:t>）銷售機構事先與投資人約定投資條件，如：定時定額</w:t>
            </w:r>
            <w:proofErr w:type="gramStart"/>
            <w:r w:rsidRPr="009D519D">
              <w:rPr>
                <w:rFonts w:ascii="標楷體" w:eastAsia="標楷體" w:hAnsi="標楷體" w:cs="Times New Roman" w:hint="eastAsia"/>
                <w:szCs w:val="24"/>
                <w:u w:val="single"/>
              </w:rPr>
              <w:t>附加</w:t>
            </w:r>
            <w:r w:rsidRPr="009D519D">
              <w:rPr>
                <w:rFonts w:ascii="標楷體" w:eastAsia="標楷體" w:hAnsi="標楷體" w:cs="Times New Roman" w:hint="eastAsia"/>
                <w:szCs w:val="24"/>
              </w:rPr>
              <w:t>停利轉</w:t>
            </w:r>
            <w:proofErr w:type="gramEnd"/>
            <w:r w:rsidRPr="009D519D">
              <w:rPr>
                <w:rFonts w:ascii="標楷體" w:eastAsia="標楷體" w:hAnsi="標楷體" w:cs="Times New Roman" w:hint="eastAsia"/>
                <w:szCs w:val="24"/>
              </w:rPr>
              <w:t>申購或證券商受託買賣外國有價證券，並與委託人約定於結清某一證券投資將價金轉投資於另一種委託人事前約定之基金者，若銷售機構已事先告知投資人基金通路報酬並經確認者，嗣後依約所進行之交易，毋須再行銷售前揭露通知。</w:t>
            </w:r>
          </w:p>
        </w:tc>
        <w:tc>
          <w:tcPr>
            <w:tcW w:w="3227" w:type="dxa"/>
            <w:vMerge/>
            <w:shd w:val="clear" w:color="auto" w:fill="FFFFFF" w:themeFill="background1"/>
          </w:tcPr>
          <w:p w:rsidR="00FF37A9" w:rsidRPr="009D519D" w:rsidRDefault="00FF37A9" w:rsidP="00FF37A9">
            <w:pPr>
              <w:adjustRightInd w:val="0"/>
              <w:snapToGrid w:val="0"/>
              <w:spacing w:afterLines="50" w:after="180" w:line="400" w:lineRule="exact"/>
              <w:jc w:val="both"/>
              <w:rPr>
                <w:rFonts w:ascii="標楷體" w:eastAsia="標楷體" w:hAnsi="標楷體" w:cs="Times New Roman"/>
                <w:szCs w:val="24"/>
              </w:rPr>
            </w:pPr>
          </w:p>
        </w:tc>
        <w:tc>
          <w:tcPr>
            <w:tcW w:w="3227" w:type="dxa"/>
            <w:vMerge/>
            <w:shd w:val="clear" w:color="auto" w:fill="FFFFFF" w:themeFill="background1"/>
          </w:tcPr>
          <w:p w:rsidR="00FF37A9" w:rsidRPr="009D519D" w:rsidRDefault="00FF37A9" w:rsidP="00FF37A9">
            <w:pPr>
              <w:adjustRightInd w:val="0"/>
              <w:snapToGrid w:val="0"/>
              <w:spacing w:afterLines="50" w:after="180" w:line="400" w:lineRule="exact"/>
              <w:jc w:val="both"/>
              <w:rPr>
                <w:rFonts w:ascii="標楷體" w:eastAsia="標楷體" w:hAnsi="標楷體" w:cs="Times New Roman"/>
                <w:szCs w:val="24"/>
              </w:rPr>
            </w:pPr>
          </w:p>
        </w:tc>
      </w:tr>
      <w:tr w:rsidR="009D519D" w:rsidRPr="009D519D" w:rsidTr="00720289">
        <w:tc>
          <w:tcPr>
            <w:tcW w:w="3227" w:type="dxa"/>
            <w:shd w:val="clear" w:color="auto" w:fill="FFFFFF" w:themeFill="background1"/>
          </w:tcPr>
          <w:p w:rsidR="00C11EF6" w:rsidRPr="009D519D" w:rsidRDefault="007F5F80" w:rsidP="00990AA4">
            <w:pPr>
              <w:adjustRightInd w:val="0"/>
              <w:snapToGrid w:val="0"/>
              <w:spacing w:afterLines="50" w:after="180" w:line="400" w:lineRule="exact"/>
              <w:jc w:val="both"/>
              <w:rPr>
                <w:rFonts w:ascii="標楷體" w:eastAsia="標楷體" w:hAnsi="標楷體" w:cs="Times New Roman"/>
                <w:szCs w:val="24"/>
              </w:rPr>
            </w:pPr>
            <w:r w:rsidRPr="009D519D">
              <w:rPr>
                <w:rFonts w:ascii="標楷體" w:eastAsia="標楷體" w:hAnsi="標楷體" w:cs="Times New Roman" w:hint="eastAsia"/>
                <w:szCs w:val="24"/>
              </w:rPr>
              <w:lastRenderedPageBreak/>
              <w:t>三、</w:t>
            </w:r>
            <w:r w:rsidR="00C11EF6" w:rsidRPr="009D519D">
              <w:rPr>
                <w:rFonts w:ascii="標楷體" w:eastAsia="標楷體" w:hAnsi="標楷體" w:cs="Times New Roman" w:hint="eastAsia"/>
                <w:szCs w:val="24"/>
              </w:rPr>
              <w:t>依據本施行要點第三條第</w:t>
            </w:r>
            <w:r w:rsidR="008F1C51" w:rsidRPr="009D519D">
              <w:rPr>
                <w:rFonts w:ascii="標楷體" w:eastAsia="標楷體" w:hAnsi="標楷體" w:cs="Times New Roman" w:hint="eastAsia"/>
                <w:szCs w:val="24"/>
              </w:rPr>
              <w:t>(2</w:t>
            </w:r>
            <w:r w:rsidR="00C11EF6" w:rsidRPr="009D519D">
              <w:rPr>
                <w:rFonts w:ascii="標楷體" w:eastAsia="標楷體" w:hAnsi="標楷體" w:cs="Times New Roman" w:hint="eastAsia"/>
                <w:szCs w:val="24"/>
              </w:rPr>
              <w:t>)點</w:t>
            </w:r>
            <w:r w:rsidR="008F1C51" w:rsidRPr="009D519D">
              <w:rPr>
                <w:rFonts w:ascii="標楷體" w:eastAsia="標楷體" w:hAnsi="標楷體" w:cs="Times New Roman" w:hint="eastAsia"/>
                <w:szCs w:val="24"/>
              </w:rPr>
              <w:t>經理</w:t>
            </w:r>
            <w:r w:rsidR="00C11EF6" w:rsidRPr="009D519D">
              <w:rPr>
                <w:rFonts w:ascii="標楷體" w:eastAsia="標楷體" w:hAnsi="標楷體" w:cs="Times New Roman" w:hint="eastAsia"/>
                <w:szCs w:val="24"/>
              </w:rPr>
              <w:t>費分成</w:t>
            </w:r>
            <w:r w:rsidR="008F1C51" w:rsidRPr="009D519D">
              <w:rPr>
                <w:rFonts w:ascii="標楷體" w:eastAsia="標楷體" w:hAnsi="標楷體" w:cs="Times New Roman" w:hint="eastAsia"/>
                <w:szCs w:val="24"/>
              </w:rPr>
              <w:t>應如何適用？</w:t>
            </w:r>
          </w:p>
          <w:p w:rsidR="005F7553" w:rsidRPr="009D519D" w:rsidRDefault="00F01BF6" w:rsidP="00990AA4">
            <w:pPr>
              <w:adjustRightInd w:val="0"/>
              <w:snapToGrid w:val="0"/>
              <w:spacing w:afterLines="50" w:after="180" w:line="400" w:lineRule="exact"/>
              <w:jc w:val="both"/>
              <w:rPr>
                <w:rFonts w:ascii="標楷體" w:eastAsia="標楷體" w:hAnsi="標楷體" w:cs="Times New Roman"/>
                <w:szCs w:val="24"/>
              </w:rPr>
            </w:pPr>
            <w:r w:rsidRPr="009D519D">
              <w:rPr>
                <w:rFonts w:ascii="標楷體" w:eastAsia="標楷體" w:hAnsi="標楷體" w:cs="Times New Roman" w:hint="eastAsia"/>
                <w:szCs w:val="24"/>
              </w:rPr>
              <w:t>說明：</w:t>
            </w:r>
            <w:r w:rsidR="005F7553" w:rsidRPr="009D519D">
              <w:rPr>
                <w:rFonts w:ascii="標楷體" w:eastAsia="標楷體" w:hAnsi="標楷體" w:cs="Times New Roman" w:hint="eastAsia"/>
                <w:szCs w:val="24"/>
              </w:rPr>
              <w:t>本施行要點第三條第(2)點訂定，經理費分成為依投資人持有期間及持有受益憑證金額，取得經理費收入、經銷費（Distribution Fee、</w:t>
            </w:r>
            <w:proofErr w:type="spellStart"/>
            <w:r w:rsidR="005F7553" w:rsidRPr="009D519D">
              <w:rPr>
                <w:rFonts w:ascii="標楷體" w:eastAsia="標楷體" w:hAnsi="標楷體" w:cs="Times New Roman" w:hint="eastAsia"/>
                <w:szCs w:val="24"/>
              </w:rPr>
              <w:t>12b</w:t>
            </w:r>
            <w:proofErr w:type="spellEnd"/>
            <w:r w:rsidR="005F7553" w:rsidRPr="009D519D">
              <w:rPr>
                <w:rFonts w:ascii="標楷體" w:eastAsia="標楷體" w:hAnsi="標楷體" w:cs="Times New Roman" w:hint="eastAsia"/>
                <w:szCs w:val="24"/>
              </w:rPr>
              <w:t>-1 fee等）的分成比率，故於揭露本基金經理費收入年率時應加計經銷費。</w:t>
            </w:r>
          </w:p>
          <w:p w:rsidR="007F5F80" w:rsidRPr="009D519D" w:rsidRDefault="005F7553" w:rsidP="00990AA4">
            <w:pPr>
              <w:adjustRightInd w:val="0"/>
              <w:snapToGrid w:val="0"/>
              <w:spacing w:afterLines="50" w:after="180" w:line="400" w:lineRule="exact"/>
              <w:jc w:val="both"/>
              <w:rPr>
                <w:rFonts w:ascii="標楷體" w:eastAsia="標楷體" w:hAnsi="標楷體" w:cs="Times New Roman"/>
                <w:szCs w:val="24"/>
              </w:rPr>
            </w:pPr>
            <w:r w:rsidRPr="009D519D">
              <w:rPr>
                <w:rFonts w:ascii="標楷體" w:eastAsia="標楷體" w:hAnsi="標楷體" w:cs="Times New Roman" w:hint="eastAsia"/>
                <w:szCs w:val="24"/>
              </w:rPr>
              <w:t>又，</w:t>
            </w:r>
            <w:r w:rsidR="003F3E4D" w:rsidRPr="009D519D">
              <w:rPr>
                <w:rFonts w:ascii="標楷體" w:eastAsia="標楷體" w:hAnsi="標楷體" w:cs="Times New Roman" w:hint="eastAsia"/>
                <w:szCs w:val="24"/>
              </w:rPr>
              <w:t>各國家規範不同，</w:t>
            </w:r>
            <w:r w:rsidR="00BB12E9" w:rsidRPr="009D519D">
              <w:rPr>
                <w:rFonts w:ascii="標楷體" w:eastAsia="標楷體" w:hAnsi="標楷體" w:cs="Times New Roman" w:hint="eastAsia"/>
                <w:szCs w:val="24"/>
              </w:rPr>
              <w:t>其分成名目為</w:t>
            </w:r>
            <w:r w:rsidR="003F3E4D" w:rsidRPr="009D519D">
              <w:rPr>
                <w:rFonts w:ascii="標楷體" w:eastAsia="標楷體" w:hAnsi="標楷體" w:cs="Times New Roman" w:hint="eastAsia"/>
                <w:szCs w:val="24"/>
              </w:rPr>
              <w:t>經理費</w:t>
            </w:r>
            <w:r w:rsidR="00BB12E9" w:rsidRPr="009D519D">
              <w:rPr>
                <w:rFonts w:ascii="標楷體" w:eastAsia="標楷體" w:hAnsi="標楷體" w:cs="Times New Roman" w:hint="eastAsia"/>
                <w:szCs w:val="24"/>
              </w:rPr>
              <w:t>分成、</w:t>
            </w:r>
            <w:r w:rsidR="003F3E4D" w:rsidRPr="009D519D">
              <w:rPr>
                <w:rFonts w:ascii="標楷體" w:eastAsia="標楷體" w:hAnsi="標楷體" w:cs="Times New Roman" w:hint="eastAsia"/>
                <w:szCs w:val="24"/>
              </w:rPr>
              <w:t>管理費</w:t>
            </w:r>
            <w:r w:rsidR="00BB12E9" w:rsidRPr="009D519D">
              <w:rPr>
                <w:rFonts w:ascii="標楷體" w:eastAsia="標楷體" w:hAnsi="標楷體" w:cs="Times New Roman" w:hint="eastAsia"/>
                <w:szCs w:val="24"/>
              </w:rPr>
              <w:t>分成、經銷費分成或分銷費分成</w:t>
            </w:r>
            <w:r w:rsidRPr="009D519D">
              <w:rPr>
                <w:rFonts w:ascii="標楷體" w:eastAsia="標楷體" w:hAnsi="標楷體" w:cs="Times New Roman" w:hint="eastAsia"/>
                <w:szCs w:val="24"/>
              </w:rPr>
              <w:t>等</w:t>
            </w:r>
            <w:r w:rsidR="003F3E4D" w:rsidRPr="009D519D">
              <w:rPr>
                <w:rFonts w:ascii="標楷體" w:eastAsia="標楷體" w:hAnsi="標楷體" w:cs="Times New Roman" w:hint="eastAsia"/>
                <w:szCs w:val="24"/>
              </w:rPr>
              <w:t>，</w:t>
            </w:r>
            <w:r w:rsidR="00BB12E9" w:rsidRPr="009D519D">
              <w:rPr>
                <w:rFonts w:ascii="標楷體" w:eastAsia="標楷體" w:hAnsi="標楷體" w:cs="Times New Roman" w:hint="eastAsia"/>
                <w:szCs w:val="24"/>
              </w:rPr>
              <w:t>皆須併入本</w:t>
            </w:r>
            <w:r w:rsidR="003F3E4D" w:rsidRPr="009D519D">
              <w:rPr>
                <w:rFonts w:ascii="標楷體" w:eastAsia="標楷體" w:hAnsi="標楷體" w:cs="Times New Roman" w:hint="eastAsia"/>
                <w:szCs w:val="24"/>
              </w:rPr>
              <w:t>施行要點經理費分成</w:t>
            </w:r>
            <w:r w:rsidR="005F5ADA" w:rsidRPr="009D519D">
              <w:rPr>
                <w:rFonts w:ascii="標楷體" w:eastAsia="標楷體" w:hAnsi="標楷體" w:cs="Times New Roman" w:hint="eastAsia"/>
                <w:szCs w:val="24"/>
              </w:rPr>
              <w:t>中加計</w:t>
            </w:r>
            <w:r w:rsidR="003F3E4D" w:rsidRPr="009D519D">
              <w:rPr>
                <w:rFonts w:ascii="標楷體" w:eastAsia="標楷體" w:hAnsi="標楷體" w:cs="Times New Roman" w:hint="eastAsia"/>
                <w:szCs w:val="24"/>
              </w:rPr>
              <w:t>。</w:t>
            </w:r>
          </w:p>
        </w:tc>
        <w:tc>
          <w:tcPr>
            <w:tcW w:w="3227" w:type="dxa"/>
            <w:shd w:val="clear" w:color="auto" w:fill="FFFFFF" w:themeFill="background1"/>
          </w:tcPr>
          <w:p w:rsidR="007F5F80" w:rsidRPr="009D519D" w:rsidRDefault="008F1C51" w:rsidP="00990AA4">
            <w:pPr>
              <w:adjustRightInd w:val="0"/>
              <w:snapToGrid w:val="0"/>
              <w:spacing w:afterLines="50" w:after="180" w:line="400" w:lineRule="exact"/>
              <w:jc w:val="both"/>
              <w:rPr>
                <w:rFonts w:ascii="標楷體" w:eastAsia="標楷體" w:hAnsi="標楷體" w:cs="Times New Roman"/>
                <w:szCs w:val="24"/>
              </w:rPr>
            </w:pPr>
            <w:r w:rsidRPr="009D519D">
              <w:rPr>
                <w:rFonts w:ascii="標楷體" w:eastAsia="標楷體" w:hAnsi="標楷體" w:cs="Times New Roman" w:hint="eastAsia"/>
                <w:szCs w:val="24"/>
              </w:rPr>
              <w:t>新增</w:t>
            </w:r>
            <w:r w:rsidR="00091B77" w:rsidRPr="009D519D">
              <w:rPr>
                <w:rFonts w:ascii="標楷體" w:eastAsia="標楷體" w:hAnsi="標楷體" w:cs="Times New Roman" w:hint="eastAsia"/>
                <w:szCs w:val="24"/>
              </w:rPr>
              <w:t>。</w:t>
            </w:r>
          </w:p>
        </w:tc>
        <w:tc>
          <w:tcPr>
            <w:tcW w:w="3227" w:type="dxa"/>
            <w:shd w:val="clear" w:color="auto" w:fill="FFFFFF" w:themeFill="background1"/>
          </w:tcPr>
          <w:p w:rsidR="002D6FDF" w:rsidRPr="009D519D" w:rsidRDefault="00806F31" w:rsidP="008959B7">
            <w:pPr>
              <w:pStyle w:val="a9"/>
              <w:numPr>
                <w:ilvl w:val="0"/>
                <w:numId w:val="8"/>
              </w:numPr>
              <w:adjustRightInd w:val="0"/>
              <w:snapToGrid w:val="0"/>
              <w:spacing w:afterLines="50" w:after="180" w:line="400" w:lineRule="exact"/>
              <w:ind w:leftChars="0"/>
              <w:jc w:val="both"/>
              <w:rPr>
                <w:rFonts w:ascii="標楷體" w:eastAsia="標楷體" w:hAnsi="標楷體" w:cs="Times New Roman"/>
                <w:szCs w:val="24"/>
              </w:rPr>
            </w:pPr>
            <w:r w:rsidRPr="009D519D">
              <w:rPr>
                <w:rFonts w:ascii="標楷體" w:eastAsia="標楷體" w:hAnsi="標楷體" w:cs="Times New Roman" w:hint="eastAsia"/>
                <w:szCs w:val="24"/>
              </w:rPr>
              <w:t>將現行</w:t>
            </w:r>
            <w:r w:rsidR="00960941" w:rsidRPr="009D519D">
              <w:rPr>
                <w:rFonts w:ascii="標楷體" w:eastAsia="標楷體" w:hAnsi="標楷體" w:cs="Times New Roman" w:hint="eastAsia"/>
                <w:szCs w:val="24"/>
              </w:rPr>
              <w:t>第三</w:t>
            </w:r>
            <w:r w:rsidR="002A3AA0" w:rsidRPr="009D519D">
              <w:rPr>
                <w:rFonts w:ascii="標楷體" w:eastAsia="標楷體" w:hAnsi="標楷體" w:cs="Times New Roman" w:hint="eastAsia"/>
                <w:szCs w:val="24"/>
              </w:rPr>
              <w:t>題之說明(二)移</w:t>
            </w:r>
            <w:r w:rsidR="008959B7" w:rsidRPr="009D519D">
              <w:rPr>
                <w:rFonts w:ascii="標楷體" w:eastAsia="標楷體" w:hAnsi="標楷體" w:cs="Times New Roman" w:hint="eastAsia"/>
                <w:szCs w:val="24"/>
              </w:rPr>
              <w:t>至</w:t>
            </w:r>
            <w:r w:rsidRPr="009D519D">
              <w:rPr>
                <w:rFonts w:ascii="標楷體" w:eastAsia="標楷體" w:hAnsi="標楷體" w:cs="Times New Roman" w:hint="eastAsia"/>
                <w:szCs w:val="24"/>
              </w:rPr>
              <w:t>修正</w:t>
            </w:r>
            <w:r w:rsidR="00614CC3" w:rsidRPr="009D519D">
              <w:rPr>
                <w:rFonts w:ascii="標楷體" w:eastAsia="標楷體" w:hAnsi="標楷體" w:cs="Times New Roman" w:hint="eastAsia"/>
                <w:szCs w:val="24"/>
              </w:rPr>
              <w:t>條文</w:t>
            </w:r>
            <w:r w:rsidRPr="009D519D">
              <w:rPr>
                <w:rFonts w:ascii="標楷體" w:eastAsia="標楷體" w:hAnsi="標楷體" w:cs="Times New Roman" w:hint="eastAsia"/>
                <w:szCs w:val="24"/>
              </w:rPr>
              <w:t>第三</w:t>
            </w:r>
            <w:r w:rsidR="004D59C2" w:rsidRPr="009D519D">
              <w:rPr>
                <w:rFonts w:ascii="標楷體" w:eastAsia="標楷體" w:hAnsi="標楷體" w:cs="Times New Roman" w:hint="eastAsia"/>
                <w:szCs w:val="24"/>
              </w:rPr>
              <w:t>題</w:t>
            </w:r>
            <w:r w:rsidR="00C6220F" w:rsidRPr="009D519D">
              <w:rPr>
                <w:rFonts w:ascii="標楷體" w:eastAsia="標楷體" w:hAnsi="標楷體" w:cs="Times New Roman" w:hint="eastAsia"/>
                <w:szCs w:val="24"/>
              </w:rPr>
              <w:t>並</w:t>
            </w:r>
            <w:r w:rsidR="008959B7" w:rsidRPr="009D519D">
              <w:rPr>
                <w:rFonts w:ascii="標楷體" w:eastAsia="標楷體" w:hAnsi="標楷體" w:cs="Times New Roman" w:hint="eastAsia"/>
                <w:szCs w:val="24"/>
              </w:rPr>
              <w:t>調整文字</w:t>
            </w:r>
            <w:r w:rsidR="002D6FDF" w:rsidRPr="009D519D">
              <w:rPr>
                <w:rFonts w:ascii="標楷體" w:eastAsia="標楷體" w:hAnsi="標楷體" w:cs="Times New Roman" w:hint="eastAsia"/>
                <w:szCs w:val="24"/>
              </w:rPr>
              <w:t>。</w:t>
            </w:r>
            <w:proofErr w:type="gramStart"/>
            <w:r w:rsidR="00F22307" w:rsidRPr="009D519D">
              <w:rPr>
                <w:rFonts w:ascii="標楷體" w:eastAsia="標楷體" w:hAnsi="標楷體" w:cs="Times New Roman" w:hint="eastAsia"/>
                <w:szCs w:val="24"/>
              </w:rPr>
              <w:t>餘題次</w:t>
            </w:r>
            <w:proofErr w:type="gramEnd"/>
            <w:r w:rsidR="00F22307" w:rsidRPr="009D519D">
              <w:rPr>
                <w:rFonts w:ascii="標楷體" w:eastAsia="標楷體" w:hAnsi="標楷體" w:cs="Times New Roman" w:hint="eastAsia"/>
                <w:szCs w:val="24"/>
              </w:rPr>
              <w:t>順延。</w:t>
            </w:r>
          </w:p>
          <w:p w:rsidR="005F5ADA" w:rsidRPr="009D519D" w:rsidRDefault="002D6FDF" w:rsidP="002D6FDF">
            <w:pPr>
              <w:pStyle w:val="a9"/>
              <w:numPr>
                <w:ilvl w:val="0"/>
                <w:numId w:val="8"/>
              </w:numPr>
              <w:adjustRightInd w:val="0"/>
              <w:snapToGrid w:val="0"/>
              <w:spacing w:afterLines="50" w:after="180" w:line="400" w:lineRule="exact"/>
              <w:ind w:leftChars="0"/>
              <w:jc w:val="both"/>
              <w:rPr>
                <w:rFonts w:ascii="標楷體" w:eastAsia="標楷體" w:hAnsi="標楷體" w:cs="Times New Roman"/>
                <w:szCs w:val="24"/>
              </w:rPr>
            </w:pPr>
            <w:r w:rsidRPr="009D519D">
              <w:rPr>
                <w:rFonts w:ascii="標楷體" w:eastAsia="標楷體" w:hAnsi="標楷體" w:cs="Times New Roman" w:hint="eastAsia"/>
                <w:szCs w:val="24"/>
              </w:rPr>
              <w:t>依</w:t>
            </w:r>
            <w:r w:rsidR="008A7962" w:rsidRPr="009D519D">
              <w:rPr>
                <w:rFonts w:ascii="標楷體" w:eastAsia="標楷體" w:hAnsi="標楷體" w:cs="Times New Roman" w:hint="eastAsia"/>
                <w:szCs w:val="24"/>
              </w:rPr>
              <w:t>本施行要點第三條規定增加</w:t>
            </w:r>
            <w:r w:rsidR="00680DB0" w:rsidRPr="009D519D">
              <w:rPr>
                <w:rFonts w:ascii="標楷體" w:eastAsia="標楷體" w:hAnsi="標楷體" w:cs="Times New Roman" w:hint="eastAsia"/>
                <w:szCs w:val="24"/>
              </w:rPr>
              <w:t>經理費分成</w:t>
            </w:r>
            <w:r w:rsidR="008A7962" w:rsidRPr="009D519D">
              <w:rPr>
                <w:rFonts w:ascii="標楷體" w:eastAsia="標楷體" w:hAnsi="標楷體" w:cs="Times New Roman" w:hint="eastAsia"/>
                <w:szCs w:val="24"/>
              </w:rPr>
              <w:t>之</w:t>
            </w:r>
            <w:r w:rsidR="00680DB0" w:rsidRPr="009D519D">
              <w:rPr>
                <w:rFonts w:ascii="標楷體" w:eastAsia="標楷體" w:hAnsi="標楷體" w:cs="Times New Roman" w:hint="eastAsia"/>
                <w:szCs w:val="24"/>
              </w:rPr>
              <w:t>定義</w:t>
            </w:r>
            <w:r w:rsidR="008A7962" w:rsidRPr="009D519D">
              <w:rPr>
                <w:rFonts w:ascii="標楷體" w:eastAsia="標楷體" w:hAnsi="標楷體" w:cs="Times New Roman" w:hint="eastAsia"/>
                <w:szCs w:val="24"/>
              </w:rPr>
              <w:t>；及調整基金若收取經銷費者應</w:t>
            </w:r>
            <w:r w:rsidR="00680DB0" w:rsidRPr="009D519D">
              <w:rPr>
                <w:rFonts w:ascii="標楷體" w:eastAsia="標楷體" w:hAnsi="標楷體" w:cs="Times New Roman" w:hint="eastAsia"/>
                <w:szCs w:val="24"/>
              </w:rPr>
              <w:t>於揭露基金經理費收入年率時加計經銷費</w:t>
            </w:r>
            <w:r w:rsidR="008A7962" w:rsidRPr="009D519D">
              <w:rPr>
                <w:rFonts w:ascii="標楷體" w:eastAsia="標楷體" w:hAnsi="標楷體" w:cs="Times New Roman" w:hint="eastAsia"/>
                <w:szCs w:val="24"/>
              </w:rPr>
              <w:t>等相關文字</w:t>
            </w:r>
            <w:r w:rsidR="00680DB0" w:rsidRPr="009D519D">
              <w:rPr>
                <w:rFonts w:ascii="標楷體" w:eastAsia="標楷體" w:hAnsi="標楷體" w:cs="Times New Roman" w:hint="eastAsia"/>
                <w:szCs w:val="24"/>
              </w:rPr>
              <w:t>。</w:t>
            </w:r>
          </w:p>
          <w:p w:rsidR="007F5F80" w:rsidRPr="009D519D" w:rsidRDefault="007F5F80" w:rsidP="00C6220F">
            <w:pPr>
              <w:adjustRightInd w:val="0"/>
              <w:snapToGrid w:val="0"/>
              <w:spacing w:afterLines="50" w:after="180" w:line="400" w:lineRule="exact"/>
              <w:jc w:val="both"/>
              <w:rPr>
                <w:rFonts w:ascii="標楷體" w:eastAsia="標楷體" w:hAnsi="標楷體" w:cs="Times New Roman"/>
                <w:szCs w:val="24"/>
              </w:rPr>
            </w:pPr>
          </w:p>
        </w:tc>
      </w:tr>
      <w:tr w:rsidR="009D519D" w:rsidRPr="009D519D" w:rsidTr="00720289">
        <w:trPr>
          <w:trHeight w:val="900"/>
        </w:trPr>
        <w:tc>
          <w:tcPr>
            <w:tcW w:w="3227" w:type="dxa"/>
            <w:tcBorders>
              <w:bottom w:val="single" w:sz="4" w:space="0" w:color="auto"/>
            </w:tcBorders>
          </w:tcPr>
          <w:p w:rsidR="00E77784" w:rsidRPr="009D519D" w:rsidRDefault="003F3E4D" w:rsidP="00990AA4">
            <w:pPr>
              <w:adjustRightInd w:val="0"/>
              <w:snapToGrid w:val="0"/>
              <w:spacing w:afterLines="50" w:after="180" w:line="400" w:lineRule="exact"/>
              <w:jc w:val="both"/>
              <w:rPr>
                <w:rFonts w:ascii="標楷體" w:eastAsia="標楷體" w:hAnsi="標楷體" w:cs="Times New Roman"/>
                <w:szCs w:val="24"/>
              </w:rPr>
            </w:pPr>
            <w:r w:rsidRPr="009D519D">
              <w:rPr>
                <w:rFonts w:ascii="標楷體" w:eastAsia="標楷體" w:hAnsi="標楷體" w:cs="Times New Roman" w:hint="eastAsia"/>
                <w:szCs w:val="24"/>
                <w:u w:val="single"/>
              </w:rPr>
              <w:lastRenderedPageBreak/>
              <w:t>四</w:t>
            </w:r>
            <w:r w:rsidR="00E77784" w:rsidRPr="009D519D">
              <w:rPr>
                <w:rFonts w:ascii="標楷體" w:eastAsia="標楷體" w:hAnsi="標楷體" w:cs="Times New Roman" w:hint="eastAsia"/>
                <w:szCs w:val="24"/>
              </w:rPr>
              <w:t>、</w:t>
            </w:r>
            <w:r w:rsidR="00926FEE" w:rsidRPr="009D519D">
              <w:rPr>
                <w:rFonts w:ascii="標楷體" w:eastAsia="標楷體" w:hAnsi="標楷體" w:cs="Times New Roman" w:hint="eastAsia"/>
                <w:szCs w:val="24"/>
                <w:u w:val="single"/>
              </w:rPr>
              <w:t>有關</w:t>
            </w:r>
            <w:r w:rsidR="00E77784" w:rsidRPr="009D519D">
              <w:rPr>
                <w:rFonts w:ascii="標楷體" w:eastAsia="標楷體" w:hAnsi="標楷體" w:cs="Times New Roman" w:hint="eastAsia"/>
                <w:szCs w:val="24"/>
              </w:rPr>
              <w:t>本施行要點第三條第</w:t>
            </w:r>
            <w:r w:rsidR="00E77784" w:rsidRPr="009D519D">
              <w:rPr>
                <w:rFonts w:ascii="標楷體" w:eastAsia="標楷體" w:hAnsi="標楷體" w:cs="Times New Roman" w:hint="eastAsia"/>
                <w:szCs w:val="24"/>
                <w:u w:val="single"/>
              </w:rPr>
              <w:t>(4)</w:t>
            </w:r>
            <w:r w:rsidR="00E77784" w:rsidRPr="009D519D">
              <w:rPr>
                <w:rFonts w:ascii="標楷體" w:eastAsia="標楷體" w:hAnsi="標楷體" w:cs="Times New Roman" w:hint="eastAsia"/>
                <w:szCs w:val="24"/>
              </w:rPr>
              <w:t>點</w:t>
            </w:r>
            <w:r w:rsidR="0092073D" w:rsidRPr="009D519D">
              <w:rPr>
                <w:rFonts w:ascii="標楷體" w:eastAsia="標楷體" w:hAnsi="標楷體" w:cs="Times New Roman" w:hint="eastAsia"/>
                <w:szCs w:val="24"/>
                <w:u w:val="single"/>
              </w:rPr>
              <w:t>1.</w:t>
            </w:r>
            <w:r w:rsidR="002D6035" w:rsidRPr="009D519D">
              <w:rPr>
                <w:rFonts w:ascii="標楷體" w:eastAsia="標楷體" w:hAnsi="標楷體" w:cs="Times New Roman" w:hint="eastAsia"/>
                <w:szCs w:val="24"/>
                <w:u w:val="single"/>
              </w:rPr>
              <w:t>之其他報酬部分</w:t>
            </w:r>
            <w:r w:rsidR="00755101" w:rsidRPr="009D519D">
              <w:rPr>
                <w:rFonts w:ascii="標楷體" w:eastAsia="標楷體" w:hAnsi="標楷體" w:cs="Times New Roman" w:hint="eastAsia"/>
                <w:szCs w:val="24"/>
              </w:rPr>
              <w:t>應</w:t>
            </w:r>
            <w:r w:rsidR="00FB16F8" w:rsidRPr="009D519D">
              <w:rPr>
                <w:rFonts w:ascii="標楷體" w:eastAsia="標楷體" w:hAnsi="標楷體" w:cs="Times New Roman" w:hint="eastAsia"/>
                <w:szCs w:val="24"/>
              </w:rPr>
              <w:t>如何適用</w:t>
            </w:r>
            <w:r w:rsidR="00E77784" w:rsidRPr="009D519D">
              <w:rPr>
                <w:rFonts w:ascii="標楷體" w:eastAsia="標楷體" w:hAnsi="標楷體" w:cs="Times New Roman" w:hint="eastAsia"/>
                <w:szCs w:val="24"/>
              </w:rPr>
              <w:t>？</w:t>
            </w:r>
          </w:p>
          <w:p w:rsidR="00E606A0" w:rsidRPr="009D519D" w:rsidRDefault="00E606A0" w:rsidP="00E606A0">
            <w:pPr>
              <w:adjustRightInd w:val="0"/>
              <w:snapToGrid w:val="0"/>
              <w:spacing w:line="400" w:lineRule="exact"/>
              <w:jc w:val="both"/>
              <w:rPr>
                <w:rFonts w:ascii="標楷體" w:eastAsia="標楷體" w:hAnsi="標楷體" w:cs="Times New Roman"/>
                <w:szCs w:val="24"/>
              </w:rPr>
            </w:pPr>
          </w:p>
          <w:p w:rsidR="00E77784" w:rsidRPr="009D519D" w:rsidRDefault="00E77784" w:rsidP="00990AA4">
            <w:pPr>
              <w:adjustRightInd w:val="0"/>
              <w:snapToGrid w:val="0"/>
              <w:spacing w:afterLines="50" w:after="180" w:line="400" w:lineRule="exact"/>
              <w:jc w:val="both"/>
              <w:rPr>
                <w:rFonts w:ascii="標楷體" w:eastAsia="標楷體" w:hAnsi="標楷體" w:cs="Times New Roman"/>
                <w:szCs w:val="24"/>
              </w:rPr>
            </w:pPr>
            <w:r w:rsidRPr="009D519D">
              <w:rPr>
                <w:rFonts w:ascii="標楷體" w:eastAsia="標楷體" w:hAnsi="標楷體" w:cs="Times New Roman" w:hint="eastAsia"/>
                <w:szCs w:val="24"/>
              </w:rPr>
              <w:t>說明：</w:t>
            </w:r>
          </w:p>
          <w:p w:rsidR="0064336B" w:rsidRPr="009D519D" w:rsidRDefault="0064336B" w:rsidP="0064336B">
            <w:pPr>
              <w:adjustRightInd w:val="0"/>
              <w:snapToGrid w:val="0"/>
              <w:spacing w:afterLines="50" w:after="180" w:line="400" w:lineRule="exact"/>
              <w:jc w:val="both"/>
              <w:rPr>
                <w:rFonts w:ascii="標楷體" w:eastAsia="標楷體" w:hAnsi="標楷體" w:cs="Times New Roman"/>
                <w:szCs w:val="24"/>
              </w:rPr>
            </w:pPr>
          </w:p>
          <w:p w:rsidR="0064336B" w:rsidRPr="009D519D" w:rsidRDefault="00CC65A9" w:rsidP="0064336B">
            <w:pPr>
              <w:adjustRightInd w:val="0"/>
              <w:snapToGrid w:val="0"/>
              <w:spacing w:afterLines="50" w:after="180" w:line="400" w:lineRule="exact"/>
              <w:jc w:val="both"/>
              <w:rPr>
                <w:rFonts w:ascii="標楷體" w:eastAsia="標楷體" w:hAnsi="標楷體" w:cs="Times New Roman"/>
                <w:szCs w:val="24"/>
              </w:rPr>
            </w:pPr>
            <w:r w:rsidRPr="009D519D">
              <w:rPr>
                <w:rFonts w:ascii="標楷體" w:eastAsia="標楷體" w:hAnsi="標楷體" w:cs="Times New Roman" w:hint="eastAsia"/>
                <w:szCs w:val="24"/>
              </w:rPr>
              <w:t>刪除。</w:t>
            </w:r>
          </w:p>
          <w:p w:rsidR="0064336B" w:rsidRPr="009D519D" w:rsidRDefault="0064336B" w:rsidP="0064336B">
            <w:pPr>
              <w:adjustRightInd w:val="0"/>
              <w:snapToGrid w:val="0"/>
              <w:spacing w:afterLines="50" w:after="180" w:line="400" w:lineRule="exact"/>
              <w:jc w:val="both"/>
              <w:rPr>
                <w:rFonts w:ascii="標楷體" w:eastAsia="標楷體" w:hAnsi="標楷體" w:cs="Times New Roman"/>
                <w:szCs w:val="24"/>
              </w:rPr>
            </w:pPr>
          </w:p>
          <w:p w:rsidR="0064336B" w:rsidRPr="009D519D" w:rsidRDefault="0064336B" w:rsidP="0064336B">
            <w:pPr>
              <w:adjustRightInd w:val="0"/>
              <w:snapToGrid w:val="0"/>
              <w:spacing w:afterLines="50" w:after="180" w:line="400" w:lineRule="exact"/>
              <w:jc w:val="both"/>
              <w:rPr>
                <w:rFonts w:ascii="標楷體" w:eastAsia="標楷體" w:hAnsi="標楷體" w:cs="Times New Roman"/>
                <w:szCs w:val="24"/>
              </w:rPr>
            </w:pPr>
          </w:p>
          <w:p w:rsidR="0064336B" w:rsidRPr="009D519D" w:rsidRDefault="0064336B" w:rsidP="0064336B">
            <w:pPr>
              <w:adjustRightInd w:val="0"/>
              <w:snapToGrid w:val="0"/>
              <w:spacing w:afterLines="50" w:after="180" w:line="400" w:lineRule="exact"/>
              <w:jc w:val="both"/>
              <w:rPr>
                <w:rFonts w:ascii="標楷體" w:eastAsia="標楷體" w:hAnsi="標楷體" w:cs="Times New Roman"/>
                <w:szCs w:val="24"/>
              </w:rPr>
            </w:pPr>
          </w:p>
          <w:p w:rsidR="0064336B" w:rsidRPr="009D519D" w:rsidRDefault="0064336B" w:rsidP="0064336B">
            <w:pPr>
              <w:adjustRightInd w:val="0"/>
              <w:snapToGrid w:val="0"/>
              <w:spacing w:afterLines="50" w:after="180" w:line="400" w:lineRule="exact"/>
              <w:jc w:val="both"/>
              <w:rPr>
                <w:rFonts w:ascii="標楷體" w:eastAsia="標楷體" w:hAnsi="標楷體" w:cs="Times New Roman"/>
                <w:szCs w:val="24"/>
              </w:rPr>
            </w:pPr>
          </w:p>
          <w:p w:rsidR="0064336B" w:rsidRPr="009D519D" w:rsidRDefault="0064336B" w:rsidP="0064336B">
            <w:pPr>
              <w:adjustRightInd w:val="0"/>
              <w:snapToGrid w:val="0"/>
              <w:spacing w:afterLines="50" w:after="180" w:line="400" w:lineRule="exact"/>
              <w:jc w:val="both"/>
              <w:rPr>
                <w:rFonts w:ascii="標楷體" w:eastAsia="標楷體" w:hAnsi="標楷體" w:cs="Times New Roman"/>
                <w:szCs w:val="24"/>
              </w:rPr>
            </w:pPr>
          </w:p>
          <w:p w:rsidR="002D6035" w:rsidRPr="009D519D" w:rsidRDefault="002D6035" w:rsidP="002D6035">
            <w:pPr>
              <w:spacing w:afterLines="100" w:after="360" w:line="400" w:lineRule="exact"/>
              <w:jc w:val="both"/>
              <w:rPr>
                <w:rFonts w:ascii="標楷體" w:eastAsia="標楷體" w:hAnsi="標楷體" w:cs="Times New Roman"/>
                <w:szCs w:val="24"/>
                <w:u w:val="single"/>
              </w:rPr>
            </w:pPr>
            <w:r w:rsidRPr="009D519D">
              <w:rPr>
                <w:rFonts w:ascii="標楷體" w:eastAsia="標楷體" w:hAnsi="標楷體" w:cs="Times New Roman" w:hint="eastAsia"/>
                <w:szCs w:val="24"/>
                <w:u w:val="single"/>
              </w:rPr>
              <w:t>(</w:t>
            </w:r>
            <w:proofErr w:type="gramStart"/>
            <w:r w:rsidRPr="009D519D">
              <w:rPr>
                <w:rFonts w:ascii="標楷體" w:eastAsia="標楷體" w:hAnsi="標楷體" w:cs="Times New Roman" w:hint="eastAsia"/>
                <w:szCs w:val="24"/>
                <w:u w:val="single"/>
              </w:rPr>
              <w:t>一</w:t>
            </w:r>
            <w:proofErr w:type="gramEnd"/>
            <w:r w:rsidRPr="009D519D">
              <w:rPr>
                <w:rFonts w:ascii="標楷體" w:eastAsia="標楷體" w:hAnsi="標楷體" w:cs="Times New Roman" w:hint="eastAsia"/>
                <w:szCs w:val="24"/>
                <w:u w:val="single"/>
              </w:rPr>
              <w:t>)</w:t>
            </w:r>
            <w:r w:rsidR="005C07AE" w:rsidRPr="009D519D">
              <w:rPr>
                <w:rFonts w:ascii="標楷體" w:eastAsia="標楷體" w:hAnsi="標楷體" w:cs="Times New Roman" w:hint="eastAsia"/>
                <w:szCs w:val="24"/>
                <w:u w:val="single"/>
              </w:rPr>
              <w:t>與銷售機構共同合作對投資人進行基金推廣</w:t>
            </w:r>
            <w:proofErr w:type="gramStart"/>
            <w:r w:rsidR="005C07AE" w:rsidRPr="009D519D">
              <w:rPr>
                <w:rFonts w:ascii="標楷體" w:eastAsia="標楷體" w:hAnsi="標楷體" w:cs="Times New Roman" w:hint="eastAsia"/>
                <w:szCs w:val="24"/>
                <w:u w:val="single"/>
              </w:rPr>
              <w:t>所生文宣</w:t>
            </w:r>
            <w:proofErr w:type="gramEnd"/>
            <w:r w:rsidR="005C07AE" w:rsidRPr="009D519D">
              <w:rPr>
                <w:rFonts w:ascii="標楷體" w:eastAsia="標楷體" w:hAnsi="標楷體" w:cs="Times New Roman" w:hint="eastAsia"/>
                <w:szCs w:val="24"/>
                <w:u w:val="single"/>
              </w:rPr>
              <w:t>廣告、投資月刊或專刊</w:t>
            </w:r>
            <w:r w:rsidR="0052041F" w:rsidRPr="009D519D">
              <w:rPr>
                <w:rFonts w:ascii="標楷體" w:eastAsia="標楷體" w:hAnsi="標楷體" w:cs="Times New Roman" w:hint="eastAsia"/>
                <w:szCs w:val="24"/>
                <w:u w:val="single"/>
              </w:rPr>
              <w:t>、</w:t>
            </w:r>
            <w:r w:rsidR="005C07AE" w:rsidRPr="009D519D">
              <w:rPr>
                <w:rFonts w:ascii="標楷體" w:eastAsia="標楷體" w:hAnsi="標楷體" w:cs="Times New Roman" w:hint="eastAsia"/>
                <w:szCs w:val="24"/>
                <w:u w:val="single"/>
              </w:rPr>
              <w:t>產品說明會活動之相關費用</w:t>
            </w:r>
            <w:r w:rsidR="003F3E4D" w:rsidRPr="009D519D">
              <w:rPr>
                <w:rFonts w:ascii="標楷體" w:eastAsia="標楷體" w:hAnsi="標楷體" w:cs="Times New Roman" w:hint="eastAsia"/>
                <w:szCs w:val="24"/>
                <w:u w:val="single"/>
              </w:rPr>
              <w:t>為其他報酬</w:t>
            </w:r>
            <w:r w:rsidR="006C1D30" w:rsidRPr="009D519D">
              <w:rPr>
                <w:rFonts w:ascii="標楷體" w:eastAsia="標楷體" w:hAnsi="標楷體" w:cs="Times New Roman" w:hint="eastAsia"/>
                <w:szCs w:val="24"/>
                <w:u w:val="single"/>
              </w:rPr>
              <w:t>可支付</w:t>
            </w:r>
            <w:r w:rsidR="003F3E4D" w:rsidRPr="009D519D">
              <w:rPr>
                <w:rFonts w:ascii="標楷體" w:eastAsia="標楷體" w:hAnsi="標楷體" w:cs="Times New Roman" w:hint="eastAsia"/>
                <w:szCs w:val="24"/>
                <w:u w:val="single"/>
              </w:rPr>
              <w:t>之項目</w:t>
            </w:r>
            <w:r w:rsidR="005C07AE" w:rsidRPr="009D519D">
              <w:rPr>
                <w:rFonts w:ascii="標楷體" w:eastAsia="標楷體" w:hAnsi="標楷體" w:cs="Times New Roman" w:hint="eastAsia"/>
                <w:szCs w:val="24"/>
                <w:u w:val="single"/>
              </w:rPr>
              <w:t>。有關</w:t>
            </w:r>
            <w:r w:rsidR="0064603A" w:rsidRPr="009D519D">
              <w:rPr>
                <w:rFonts w:ascii="標楷體" w:eastAsia="標楷體" w:hAnsi="標楷體" w:cs="Times New Roman" w:hint="eastAsia"/>
                <w:szCs w:val="24"/>
                <w:u w:val="single"/>
              </w:rPr>
              <w:t>文宣廣告</w:t>
            </w:r>
            <w:r w:rsidR="005C07AE" w:rsidRPr="009D519D">
              <w:rPr>
                <w:rFonts w:ascii="標楷體" w:eastAsia="標楷體" w:hAnsi="標楷體" w:cs="Times New Roman" w:hint="eastAsia"/>
                <w:szCs w:val="24"/>
                <w:u w:val="single"/>
              </w:rPr>
              <w:t>，包括但不限於媒體廣告</w:t>
            </w:r>
            <w:r w:rsidR="00771590" w:rsidRPr="009D519D">
              <w:rPr>
                <w:rFonts w:ascii="標楷體" w:eastAsia="標楷體" w:hAnsi="標楷體" w:cs="Times New Roman" w:hint="eastAsia"/>
                <w:szCs w:val="24"/>
                <w:u w:val="single"/>
              </w:rPr>
              <w:t>、舉辦記者會</w:t>
            </w:r>
            <w:r w:rsidR="00BF74DD" w:rsidRPr="009D519D">
              <w:rPr>
                <w:rFonts w:ascii="標楷體" w:eastAsia="標楷體" w:hAnsi="標楷體" w:cs="Times New Roman" w:hint="eastAsia"/>
                <w:szCs w:val="24"/>
                <w:u w:val="single"/>
              </w:rPr>
              <w:t>、</w:t>
            </w:r>
            <w:r w:rsidR="00771590" w:rsidRPr="009D519D">
              <w:rPr>
                <w:rFonts w:ascii="標楷體" w:eastAsia="標楷體" w:hAnsi="標楷體" w:cs="Times New Roman" w:hint="eastAsia"/>
                <w:szCs w:val="24"/>
                <w:u w:val="single"/>
              </w:rPr>
              <w:t>電子網頁/</w:t>
            </w:r>
            <w:r w:rsidR="00BF74DD" w:rsidRPr="009D519D">
              <w:rPr>
                <w:rFonts w:ascii="標楷體" w:eastAsia="標楷體" w:hAnsi="標楷體" w:cs="Times New Roman" w:hint="eastAsia"/>
                <w:szCs w:val="24"/>
                <w:u w:val="single"/>
              </w:rPr>
              <w:t>網站設計製作或</w:t>
            </w:r>
            <w:r w:rsidR="00771590" w:rsidRPr="009D519D">
              <w:rPr>
                <w:rFonts w:ascii="標楷體" w:eastAsia="標楷體" w:hAnsi="標楷體" w:cs="Times New Roman" w:hint="eastAsia"/>
                <w:szCs w:val="24"/>
                <w:u w:val="single"/>
              </w:rPr>
              <w:t>電郵推廣(EDM)</w:t>
            </w:r>
            <w:r w:rsidR="005C07AE" w:rsidRPr="009D519D">
              <w:rPr>
                <w:rFonts w:ascii="標楷體" w:eastAsia="標楷體" w:hAnsi="標楷體" w:cs="Times New Roman" w:hint="eastAsia"/>
                <w:szCs w:val="24"/>
                <w:u w:val="single"/>
              </w:rPr>
              <w:t>等</w:t>
            </w:r>
            <w:r w:rsidR="00771590" w:rsidRPr="009D519D">
              <w:rPr>
                <w:rFonts w:ascii="標楷體" w:eastAsia="標楷體" w:hAnsi="標楷體" w:cs="Times New Roman" w:hint="eastAsia"/>
                <w:szCs w:val="24"/>
                <w:u w:val="single"/>
              </w:rPr>
              <w:t>活動</w:t>
            </w:r>
            <w:r w:rsidR="005C07AE" w:rsidRPr="009D519D">
              <w:rPr>
                <w:rFonts w:ascii="標楷體" w:eastAsia="標楷體" w:hAnsi="標楷體" w:cs="Times New Roman" w:hint="eastAsia"/>
                <w:szCs w:val="24"/>
                <w:u w:val="single"/>
              </w:rPr>
              <w:t>。</w:t>
            </w:r>
          </w:p>
          <w:p w:rsidR="002D6035" w:rsidRPr="009D519D" w:rsidRDefault="002D6035" w:rsidP="00D27013">
            <w:pPr>
              <w:spacing w:afterLines="100" w:after="360" w:line="400" w:lineRule="exact"/>
              <w:jc w:val="both"/>
              <w:rPr>
                <w:rFonts w:ascii="標楷體" w:eastAsia="標楷體" w:hAnsi="標楷體" w:cs="Times New Roman"/>
                <w:szCs w:val="24"/>
                <w:u w:val="single"/>
              </w:rPr>
            </w:pPr>
            <w:r w:rsidRPr="009D519D">
              <w:rPr>
                <w:rFonts w:ascii="標楷體" w:eastAsia="標楷體" w:hAnsi="標楷體" w:cs="Times New Roman" w:hint="eastAsia"/>
                <w:szCs w:val="24"/>
                <w:u w:val="single"/>
              </w:rPr>
              <w:t>(二)前述（一）之其他報酬，不包括</w:t>
            </w:r>
            <w:r w:rsidR="00D719CE" w:rsidRPr="009D519D">
              <w:rPr>
                <w:rFonts w:ascii="標楷體" w:eastAsia="標楷體" w:hAnsi="標楷體" w:cs="Times New Roman" w:hint="eastAsia"/>
                <w:szCs w:val="24"/>
                <w:u w:val="single"/>
              </w:rPr>
              <w:t>提供予</w:t>
            </w:r>
            <w:r w:rsidRPr="009D519D">
              <w:rPr>
                <w:rFonts w:ascii="標楷體" w:eastAsia="標楷體" w:hAnsi="標楷體" w:cs="Times New Roman" w:hint="eastAsia"/>
                <w:szCs w:val="24"/>
                <w:u w:val="single"/>
              </w:rPr>
              <w:t>投資人之文具、年曆、筆記本或其他單價2百元以下之贈品</w:t>
            </w:r>
            <w:r w:rsidR="002D01F1" w:rsidRPr="009D519D">
              <w:rPr>
                <w:rFonts w:ascii="標楷體" w:eastAsia="標楷體" w:hAnsi="標楷體" w:cs="Times New Roman" w:hint="eastAsia"/>
                <w:szCs w:val="24"/>
                <w:u w:val="single"/>
              </w:rPr>
              <w:t>；</w:t>
            </w:r>
            <w:r w:rsidR="00D27013" w:rsidRPr="009D519D">
              <w:rPr>
                <w:rFonts w:ascii="標楷體" w:eastAsia="標楷體" w:hAnsi="標楷體" w:cs="Times New Roman" w:hint="eastAsia"/>
                <w:szCs w:val="24"/>
                <w:u w:val="single"/>
              </w:rPr>
              <w:t>但專為與銷售機構共同合作對投資人進行基金推廣所贊助或提供之相關贈品，則須列入其他報酬。</w:t>
            </w:r>
          </w:p>
          <w:p w:rsidR="00EE4221" w:rsidRPr="009D519D" w:rsidRDefault="00EE4221" w:rsidP="00960CAD">
            <w:pPr>
              <w:adjustRightInd w:val="0"/>
              <w:snapToGrid w:val="0"/>
              <w:spacing w:afterLines="50" w:after="180" w:line="400" w:lineRule="exact"/>
              <w:jc w:val="both"/>
              <w:rPr>
                <w:rFonts w:ascii="標楷體" w:eastAsia="標楷體" w:hAnsi="標楷體" w:cs="Times New Roman"/>
                <w:szCs w:val="24"/>
              </w:rPr>
            </w:pPr>
          </w:p>
          <w:p w:rsidR="00960CAD" w:rsidRPr="009D519D" w:rsidRDefault="00960CAD" w:rsidP="00960CAD">
            <w:pPr>
              <w:adjustRightInd w:val="0"/>
              <w:snapToGrid w:val="0"/>
              <w:spacing w:afterLines="50" w:after="180" w:line="400" w:lineRule="exact"/>
              <w:jc w:val="both"/>
              <w:rPr>
                <w:rFonts w:ascii="標楷體" w:eastAsia="標楷體" w:hAnsi="標楷體" w:cs="Times New Roman"/>
                <w:szCs w:val="24"/>
              </w:rPr>
            </w:pPr>
            <w:r w:rsidRPr="009D519D">
              <w:rPr>
                <w:rFonts w:ascii="標楷體" w:eastAsia="標楷體" w:hAnsi="標楷體" w:cs="Times New Roman" w:hint="eastAsia"/>
                <w:szCs w:val="24"/>
              </w:rPr>
              <w:t>刪除。</w:t>
            </w:r>
          </w:p>
          <w:p w:rsidR="00884A50" w:rsidRPr="009D519D" w:rsidRDefault="00884A50" w:rsidP="00884A50">
            <w:pPr>
              <w:adjustRightInd w:val="0"/>
              <w:snapToGrid w:val="0"/>
              <w:spacing w:afterLines="50" w:after="180" w:line="400" w:lineRule="exact"/>
              <w:jc w:val="both"/>
              <w:rPr>
                <w:rFonts w:ascii="標楷體" w:eastAsia="標楷體" w:hAnsi="標楷體" w:cs="Times New Roman"/>
                <w:szCs w:val="24"/>
              </w:rPr>
            </w:pPr>
          </w:p>
          <w:p w:rsidR="008F1C51" w:rsidRPr="009D519D" w:rsidRDefault="008F1C51" w:rsidP="00990AA4">
            <w:pPr>
              <w:adjustRightInd w:val="0"/>
              <w:snapToGrid w:val="0"/>
              <w:spacing w:afterLines="50" w:after="180" w:line="400" w:lineRule="exact"/>
              <w:jc w:val="both"/>
              <w:rPr>
                <w:rFonts w:ascii="標楷體" w:eastAsia="標楷體" w:hAnsi="標楷體" w:cs="Times New Roman"/>
                <w:szCs w:val="24"/>
                <w:u w:val="single"/>
              </w:rPr>
            </w:pPr>
          </w:p>
          <w:p w:rsidR="008F1C51" w:rsidRPr="009D519D" w:rsidRDefault="008F1C51" w:rsidP="00990AA4">
            <w:pPr>
              <w:adjustRightInd w:val="0"/>
              <w:snapToGrid w:val="0"/>
              <w:spacing w:afterLines="50" w:after="180" w:line="400" w:lineRule="exact"/>
              <w:jc w:val="both"/>
              <w:rPr>
                <w:rFonts w:ascii="標楷體" w:eastAsia="標楷體" w:hAnsi="標楷體" w:cs="Times New Roman"/>
                <w:szCs w:val="24"/>
                <w:u w:val="single"/>
              </w:rPr>
            </w:pPr>
          </w:p>
          <w:p w:rsidR="005105DA" w:rsidRPr="009D519D" w:rsidRDefault="005105DA" w:rsidP="00990AA4">
            <w:pPr>
              <w:adjustRightInd w:val="0"/>
              <w:snapToGrid w:val="0"/>
              <w:spacing w:afterLines="50" w:after="180" w:line="400" w:lineRule="exact"/>
              <w:jc w:val="both"/>
              <w:rPr>
                <w:rFonts w:ascii="標楷體" w:eastAsia="標楷體" w:hAnsi="標楷體" w:cs="Times New Roman"/>
                <w:szCs w:val="24"/>
                <w:u w:val="single"/>
              </w:rPr>
            </w:pPr>
          </w:p>
          <w:p w:rsidR="00DB52A0" w:rsidRPr="009D519D" w:rsidRDefault="00DB52A0" w:rsidP="00990AA4">
            <w:pPr>
              <w:adjustRightInd w:val="0"/>
              <w:snapToGrid w:val="0"/>
              <w:spacing w:afterLines="50" w:after="180" w:line="400" w:lineRule="exact"/>
              <w:jc w:val="both"/>
              <w:rPr>
                <w:rFonts w:ascii="標楷體" w:eastAsia="標楷體" w:hAnsi="標楷體" w:cs="Times New Roman"/>
                <w:szCs w:val="24"/>
                <w:u w:val="single"/>
              </w:rPr>
            </w:pPr>
          </w:p>
          <w:p w:rsidR="00DB52A0" w:rsidRPr="009D519D" w:rsidRDefault="00DB52A0" w:rsidP="00990AA4">
            <w:pPr>
              <w:adjustRightInd w:val="0"/>
              <w:snapToGrid w:val="0"/>
              <w:spacing w:afterLines="50" w:after="180" w:line="400" w:lineRule="exact"/>
              <w:jc w:val="both"/>
              <w:rPr>
                <w:rFonts w:ascii="標楷體" w:eastAsia="標楷體" w:hAnsi="標楷體" w:cs="Times New Roman"/>
                <w:szCs w:val="24"/>
                <w:u w:val="single"/>
              </w:rPr>
            </w:pPr>
          </w:p>
          <w:p w:rsidR="00DB52A0" w:rsidRPr="009D519D" w:rsidRDefault="00DB52A0" w:rsidP="00990AA4">
            <w:pPr>
              <w:adjustRightInd w:val="0"/>
              <w:snapToGrid w:val="0"/>
              <w:spacing w:afterLines="50" w:after="180" w:line="400" w:lineRule="exact"/>
              <w:jc w:val="both"/>
              <w:rPr>
                <w:rFonts w:ascii="標楷體" w:eastAsia="標楷體" w:hAnsi="標楷體" w:cs="Times New Roman"/>
                <w:szCs w:val="24"/>
                <w:u w:val="single"/>
              </w:rPr>
            </w:pPr>
          </w:p>
          <w:p w:rsidR="00DB52A0" w:rsidRPr="009D519D" w:rsidRDefault="00DB52A0" w:rsidP="00990AA4">
            <w:pPr>
              <w:adjustRightInd w:val="0"/>
              <w:snapToGrid w:val="0"/>
              <w:spacing w:afterLines="50" w:after="180" w:line="400" w:lineRule="exact"/>
              <w:jc w:val="both"/>
              <w:rPr>
                <w:rFonts w:ascii="標楷體" w:eastAsia="標楷體" w:hAnsi="標楷體" w:cs="Times New Roman"/>
                <w:szCs w:val="24"/>
                <w:u w:val="single"/>
              </w:rPr>
            </w:pPr>
          </w:p>
          <w:p w:rsidR="00DB52A0" w:rsidRPr="009D519D" w:rsidRDefault="00DB52A0" w:rsidP="00990AA4">
            <w:pPr>
              <w:adjustRightInd w:val="0"/>
              <w:snapToGrid w:val="0"/>
              <w:spacing w:afterLines="50" w:after="180" w:line="400" w:lineRule="exact"/>
              <w:jc w:val="both"/>
              <w:rPr>
                <w:rFonts w:ascii="標楷體" w:eastAsia="標楷體" w:hAnsi="標楷體" w:cs="Times New Roman"/>
                <w:szCs w:val="24"/>
                <w:u w:val="single"/>
              </w:rPr>
            </w:pPr>
          </w:p>
          <w:p w:rsidR="00DB52A0" w:rsidRPr="009D519D" w:rsidRDefault="00DB52A0" w:rsidP="00990AA4">
            <w:pPr>
              <w:adjustRightInd w:val="0"/>
              <w:snapToGrid w:val="0"/>
              <w:spacing w:afterLines="50" w:after="180" w:line="400" w:lineRule="exact"/>
              <w:jc w:val="both"/>
              <w:rPr>
                <w:rFonts w:ascii="標楷體" w:eastAsia="標楷體" w:hAnsi="標楷體" w:cs="Times New Roman"/>
                <w:szCs w:val="24"/>
                <w:u w:val="single"/>
              </w:rPr>
            </w:pPr>
          </w:p>
          <w:p w:rsidR="00960CAD" w:rsidRPr="009D519D" w:rsidRDefault="00960CAD" w:rsidP="00960CAD">
            <w:pPr>
              <w:adjustRightInd w:val="0"/>
              <w:snapToGrid w:val="0"/>
              <w:spacing w:afterLines="50" w:after="180" w:line="400" w:lineRule="exact"/>
              <w:jc w:val="both"/>
              <w:rPr>
                <w:rFonts w:ascii="標楷體" w:eastAsia="標楷體" w:hAnsi="標楷體" w:cs="Times New Roman"/>
                <w:szCs w:val="24"/>
              </w:rPr>
            </w:pPr>
            <w:r w:rsidRPr="009D519D">
              <w:rPr>
                <w:rFonts w:ascii="標楷體" w:eastAsia="標楷體" w:hAnsi="標楷體" w:cs="Times New Roman" w:hint="eastAsia"/>
                <w:szCs w:val="24"/>
              </w:rPr>
              <w:t>刪除。</w:t>
            </w:r>
          </w:p>
          <w:p w:rsidR="008D4EB4" w:rsidRPr="009D519D" w:rsidRDefault="008D4EB4" w:rsidP="008D4EB4">
            <w:pPr>
              <w:adjustRightInd w:val="0"/>
              <w:snapToGrid w:val="0"/>
              <w:spacing w:afterLines="50" w:after="180" w:line="400" w:lineRule="exact"/>
              <w:jc w:val="both"/>
              <w:rPr>
                <w:rFonts w:ascii="標楷體" w:eastAsia="標楷體" w:hAnsi="標楷體" w:cs="Times New Roman"/>
                <w:szCs w:val="24"/>
              </w:rPr>
            </w:pPr>
          </w:p>
          <w:p w:rsidR="00513295" w:rsidRPr="009D519D" w:rsidRDefault="00513295" w:rsidP="00990AA4">
            <w:pPr>
              <w:adjustRightInd w:val="0"/>
              <w:snapToGrid w:val="0"/>
              <w:spacing w:afterLines="50" w:after="180" w:line="400" w:lineRule="exact"/>
              <w:jc w:val="both"/>
              <w:rPr>
                <w:rFonts w:ascii="標楷體" w:eastAsia="標楷體" w:hAnsi="標楷體" w:cs="Times New Roman"/>
                <w:szCs w:val="24"/>
              </w:rPr>
            </w:pPr>
          </w:p>
          <w:p w:rsidR="00E2670C" w:rsidRPr="009D519D" w:rsidRDefault="00E2670C" w:rsidP="00990AA4">
            <w:pPr>
              <w:adjustRightInd w:val="0"/>
              <w:snapToGrid w:val="0"/>
              <w:spacing w:afterLines="50" w:after="180" w:line="400" w:lineRule="exact"/>
              <w:jc w:val="both"/>
              <w:rPr>
                <w:rFonts w:ascii="標楷體" w:eastAsia="標楷體" w:hAnsi="標楷體" w:cs="Times New Roman"/>
                <w:szCs w:val="24"/>
              </w:rPr>
            </w:pPr>
          </w:p>
          <w:p w:rsidR="00E2670C" w:rsidRPr="009D519D" w:rsidRDefault="00E2670C" w:rsidP="00990AA4">
            <w:pPr>
              <w:adjustRightInd w:val="0"/>
              <w:snapToGrid w:val="0"/>
              <w:spacing w:afterLines="50" w:after="180" w:line="400" w:lineRule="exact"/>
              <w:jc w:val="both"/>
              <w:rPr>
                <w:rFonts w:ascii="標楷體" w:eastAsia="標楷體" w:hAnsi="標楷體" w:cs="Times New Roman"/>
                <w:szCs w:val="24"/>
              </w:rPr>
            </w:pPr>
          </w:p>
          <w:p w:rsidR="00E2670C" w:rsidRPr="009D519D" w:rsidRDefault="00E2670C" w:rsidP="00990AA4">
            <w:pPr>
              <w:adjustRightInd w:val="0"/>
              <w:snapToGrid w:val="0"/>
              <w:spacing w:afterLines="50" w:after="180" w:line="400" w:lineRule="exact"/>
              <w:jc w:val="both"/>
              <w:rPr>
                <w:rFonts w:ascii="標楷體" w:eastAsia="標楷體" w:hAnsi="標楷體" w:cs="Times New Roman"/>
                <w:szCs w:val="24"/>
              </w:rPr>
            </w:pPr>
          </w:p>
          <w:p w:rsidR="00E2670C" w:rsidRPr="009D519D" w:rsidRDefault="00E2670C" w:rsidP="00990AA4">
            <w:pPr>
              <w:adjustRightInd w:val="0"/>
              <w:snapToGrid w:val="0"/>
              <w:spacing w:afterLines="50" w:after="180" w:line="400" w:lineRule="exact"/>
              <w:jc w:val="both"/>
              <w:rPr>
                <w:rFonts w:ascii="標楷體" w:eastAsia="標楷體" w:hAnsi="標楷體" w:cs="Times New Roman"/>
                <w:szCs w:val="24"/>
              </w:rPr>
            </w:pPr>
          </w:p>
          <w:p w:rsidR="00E2670C" w:rsidRPr="009D519D" w:rsidRDefault="00E2670C" w:rsidP="00990AA4">
            <w:pPr>
              <w:adjustRightInd w:val="0"/>
              <w:snapToGrid w:val="0"/>
              <w:spacing w:afterLines="50" w:after="180" w:line="400" w:lineRule="exact"/>
              <w:jc w:val="both"/>
              <w:rPr>
                <w:rFonts w:ascii="標楷體" w:eastAsia="標楷體" w:hAnsi="標楷體" w:cs="Times New Roman"/>
                <w:szCs w:val="24"/>
              </w:rPr>
            </w:pPr>
          </w:p>
          <w:p w:rsidR="00E2670C" w:rsidRPr="009D519D" w:rsidRDefault="00E2670C" w:rsidP="00990AA4">
            <w:pPr>
              <w:adjustRightInd w:val="0"/>
              <w:snapToGrid w:val="0"/>
              <w:spacing w:afterLines="50" w:after="180" w:line="400" w:lineRule="exact"/>
              <w:jc w:val="both"/>
              <w:rPr>
                <w:rFonts w:ascii="標楷體" w:eastAsia="標楷體" w:hAnsi="標楷體" w:cs="Times New Roman"/>
                <w:szCs w:val="24"/>
              </w:rPr>
            </w:pPr>
          </w:p>
          <w:p w:rsidR="00E2670C" w:rsidRPr="009D519D" w:rsidRDefault="00E2670C" w:rsidP="00990AA4">
            <w:pPr>
              <w:adjustRightInd w:val="0"/>
              <w:snapToGrid w:val="0"/>
              <w:spacing w:afterLines="50" w:after="180" w:line="400" w:lineRule="exact"/>
              <w:jc w:val="both"/>
              <w:rPr>
                <w:rFonts w:ascii="標楷體" w:eastAsia="標楷體" w:hAnsi="標楷體" w:cs="Times New Roman"/>
                <w:szCs w:val="24"/>
              </w:rPr>
            </w:pPr>
          </w:p>
          <w:p w:rsidR="00E2670C" w:rsidRPr="009D519D" w:rsidRDefault="00E2670C" w:rsidP="00990AA4">
            <w:pPr>
              <w:adjustRightInd w:val="0"/>
              <w:snapToGrid w:val="0"/>
              <w:spacing w:afterLines="50" w:after="180" w:line="400" w:lineRule="exact"/>
              <w:jc w:val="both"/>
              <w:rPr>
                <w:rFonts w:ascii="標楷體" w:eastAsia="標楷體" w:hAnsi="標楷體" w:cs="Times New Roman"/>
                <w:szCs w:val="24"/>
              </w:rPr>
            </w:pPr>
          </w:p>
          <w:p w:rsidR="00E2670C" w:rsidRPr="009D519D" w:rsidRDefault="00E2670C" w:rsidP="00990AA4">
            <w:pPr>
              <w:adjustRightInd w:val="0"/>
              <w:snapToGrid w:val="0"/>
              <w:spacing w:afterLines="50" w:after="180" w:line="400" w:lineRule="exact"/>
              <w:jc w:val="both"/>
              <w:rPr>
                <w:rFonts w:ascii="標楷體" w:eastAsia="標楷體" w:hAnsi="標楷體" w:cs="Times New Roman"/>
                <w:szCs w:val="24"/>
              </w:rPr>
            </w:pPr>
          </w:p>
          <w:p w:rsidR="00E2670C" w:rsidRPr="009D519D" w:rsidRDefault="00E2670C" w:rsidP="00990AA4">
            <w:pPr>
              <w:adjustRightInd w:val="0"/>
              <w:snapToGrid w:val="0"/>
              <w:spacing w:afterLines="50" w:after="180" w:line="400" w:lineRule="exact"/>
              <w:jc w:val="both"/>
              <w:rPr>
                <w:rFonts w:ascii="標楷體" w:eastAsia="標楷體" w:hAnsi="標楷體" w:cs="Times New Roman"/>
                <w:szCs w:val="24"/>
              </w:rPr>
            </w:pPr>
          </w:p>
          <w:p w:rsidR="00E2670C" w:rsidRPr="009D519D" w:rsidRDefault="00E2670C" w:rsidP="00990AA4">
            <w:pPr>
              <w:adjustRightInd w:val="0"/>
              <w:snapToGrid w:val="0"/>
              <w:spacing w:afterLines="50" w:after="180" w:line="400" w:lineRule="exact"/>
              <w:jc w:val="both"/>
              <w:rPr>
                <w:rFonts w:ascii="標楷體" w:eastAsia="標楷體" w:hAnsi="標楷體" w:cs="Times New Roman"/>
                <w:szCs w:val="24"/>
              </w:rPr>
            </w:pPr>
          </w:p>
          <w:p w:rsidR="00E2670C" w:rsidRPr="009D519D" w:rsidRDefault="00E2670C" w:rsidP="00990AA4">
            <w:pPr>
              <w:adjustRightInd w:val="0"/>
              <w:snapToGrid w:val="0"/>
              <w:spacing w:afterLines="50" w:after="180" w:line="400" w:lineRule="exact"/>
              <w:jc w:val="both"/>
              <w:rPr>
                <w:rFonts w:ascii="標楷體" w:eastAsia="標楷體" w:hAnsi="標楷體" w:cs="Times New Roman"/>
                <w:szCs w:val="24"/>
              </w:rPr>
            </w:pPr>
          </w:p>
          <w:p w:rsidR="00E2670C" w:rsidRPr="009D519D" w:rsidRDefault="00E2670C" w:rsidP="00990AA4">
            <w:pPr>
              <w:adjustRightInd w:val="0"/>
              <w:snapToGrid w:val="0"/>
              <w:spacing w:afterLines="50" w:after="180" w:line="400" w:lineRule="exact"/>
              <w:jc w:val="both"/>
              <w:rPr>
                <w:rFonts w:ascii="標楷體" w:eastAsia="標楷體" w:hAnsi="標楷體" w:cs="Times New Roman"/>
                <w:szCs w:val="24"/>
              </w:rPr>
            </w:pPr>
            <w:r w:rsidRPr="009D519D">
              <w:rPr>
                <w:rFonts w:ascii="標楷體" w:eastAsia="標楷體" w:hAnsi="標楷體" w:cs="Times New Roman" w:hint="eastAsia"/>
                <w:szCs w:val="24"/>
              </w:rPr>
              <w:t>刪除。</w:t>
            </w:r>
          </w:p>
        </w:tc>
        <w:tc>
          <w:tcPr>
            <w:tcW w:w="3227" w:type="dxa"/>
            <w:tcBorders>
              <w:bottom w:val="single" w:sz="4" w:space="0" w:color="auto"/>
            </w:tcBorders>
          </w:tcPr>
          <w:p w:rsidR="00E77784" w:rsidRPr="009D519D" w:rsidRDefault="00E77784" w:rsidP="00990AA4">
            <w:pPr>
              <w:adjustRightInd w:val="0"/>
              <w:snapToGrid w:val="0"/>
              <w:spacing w:afterLines="50" w:after="180" w:line="400" w:lineRule="exact"/>
              <w:jc w:val="both"/>
              <w:rPr>
                <w:rFonts w:ascii="標楷體" w:eastAsia="標楷體" w:hAnsi="標楷體" w:cs="Times New Roman"/>
                <w:szCs w:val="24"/>
              </w:rPr>
            </w:pPr>
            <w:r w:rsidRPr="009D519D">
              <w:rPr>
                <w:rFonts w:ascii="標楷體" w:eastAsia="標楷體" w:hAnsi="標楷體" w:cs="Times New Roman" w:hint="eastAsia"/>
                <w:szCs w:val="24"/>
                <w:u w:val="single"/>
              </w:rPr>
              <w:lastRenderedPageBreak/>
              <w:t>三</w:t>
            </w:r>
            <w:r w:rsidRPr="009D519D">
              <w:rPr>
                <w:rFonts w:ascii="標楷體" w:eastAsia="標楷體" w:hAnsi="標楷體" w:cs="Times New Roman" w:hint="eastAsia"/>
                <w:szCs w:val="24"/>
              </w:rPr>
              <w:t>、</w:t>
            </w:r>
            <w:r w:rsidRPr="009D519D">
              <w:rPr>
                <w:rFonts w:ascii="標楷體" w:eastAsia="標楷體" w:hAnsi="標楷體" w:cs="Times New Roman" w:hint="eastAsia"/>
                <w:szCs w:val="24"/>
                <w:u w:val="single"/>
              </w:rPr>
              <w:t>依據</w:t>
            </w:r>
            <w:r w:rsidRPr="009D519D">
              <w:rPr>
                <w:rFonts w:ascii="標楷體" w:eastAsia="標楷體" w:hAnsi="標楷體" w:cs="Times New Roman" w:hint="eastAsia"/>
                <w:szCs w:val="24"/>
              </w:rPr>
              <w:t>本施行要點第三條第</w:t>
            </w:r>
            <w:r w:rsidRPr="009D519D">
              <w:rPr>
                <w:rFonts w:ascii="標楷體" w:eastAsia="標楷體" w:hAnsi="標楷體" w:cs="Times New Roman" w:hint="eastAsia"/>
                <w:szCs w:val="24"/>
                <w:u w:val="single"/>
              </w:rPr>
              <w:t>(5)</w:t>
            </w:r>
            <w:r w:rsidRPr="009D519D">
              <w:rPr>
                <w:rFonts w:ascii="標楷體" w:eastAsia="標楷體" w:hAnsi="標楷體" w:cs="Times New Roman" w:hint="eastAsia"/>
                <w:szCs w:val="24"/>
              </w:rPr>
              <w:t>點其他報酬應如何適用</w:t>
            </w:r>
            <w:r w:rsidRPr="009D519D">
              <w:rPr>
                <w:rFonts w:ascii="標楷體" w:eastAsia="標楷體" w:hAnsi="標楷體" w:cs="Times New Roman" w:hint="eastAsia"/>
                <w:szCs w:val="24"/>
                <w:u w:val="single"/>
              </w:rPr>
              <w:t>及揭露</w:t>
            </w:r>
            <w:r w:rsidRPr="009D519D">
              <w:rPr>
                <w:rFonts w:ascii="標楷體" w:eastAsia="標楷體" w:hAnsi="標楷體" w:cs="Times New Roman" w:hint="eastAsia"/>
                <w:szCs w:val="24"/>
              </w:rPr>
              <w:t>？</w:t>
            </w:r>
          </w:p>
          <w:p w:rsidR="0052041F" w:rsidRPr="009D519D" w:rsidRDefault="0052041F" w:rsidP="00990AA4">
            <w:pPr>
              <w:adjustRightInd w:val="0"/>
              <w:snapToGrid w:val="0"/>
              <w:spacing w:afterLines="50" w:after="180" w:line="400" w:lineRule="exact"/>
              <w:jc w:val="both"/>
              <w:rPr>
                <w:rFonts w:ascii="標楷體" w:eastAsia="標楷體" w:hAnsi="標楷體" w:cs="Times New Roman"/>
                <w:szCs w:val="24"/>
              </w:rPr>
            </w:pPr>
          </w:p>
          <w:p w:rsidR="00E77784" w:rsidRPr="009D519D" w:rsidRDefault="00E77784" w:rsidP="00990AA4">
            <w:pPr>
              <w:adjustRightInd w:val="0"/>
              <w:snapToGrid w:val="0"/>
              <w:spacing w:afterLines="50" w:after="180" w:line="400" w:lineRule="exact"/>
              <w:jc w:val="both"/>
              <w:rPr>
                <w:rFonts w:ascii="標楷體" w:eastAsia="標楷體" w:hAnsi="標楷體" w:cs="Times New Roman"/>
                <w:szCs w:val="24"/>
              </w:rPr>
            </w:pPr>
            <w:r w:rsidRPr="009D519D">
              <w:rPr>
                <w:rFonts w:ascii="標楷體" w:eastAsia="標楷體" w:hAnsi="標楷體" w:cs="Times New Roman" w:hint="eastAsia"/>
                <w:szCs w:val="24"/>
              </w:rPr>
              <w:t>說明：</w:t>
            </w:r>
          </w:p>
          <w:p w:rsidR="00E77784" w:rsidRPr="009D519D" w:rsidRDefault="00E77784" w:rsidP="0064336B">
            <w:pPr>
              <w:adjustRightInd w:val="0"/>
              <w:snapToGrid w:val="0"/>
              <w:spacing w:afterLines="50" w:after="180" w:line="400" w:lineRule="exact"/>
              <w:jc w:val="both"/>
              <w:rPr>
                <w:rFonts w:ascii="標楷體" w:eastAsia="標楷體" w:hAnsi="標楷體" w:cs="Times New Roman"/>
                <w:szCs w:val="24"/>
                <w:u w:val="single"/>
              </w:rPr>
            </w:pPr>
            <w:r w:rsidRPr="009D519D">
              <w:rPr>
                <w:rFonts w:ascii="標楷體" w:eastAsia="標楷體" w:hAnsi="標楷體" w:cs="Times New Roman" w:hint="eastAsia"/>
                <w:szCs w:val="24"/>
                <w:u w:val="single"/>
              </w:rPr>
              <w:t>（一）其他報酬：總代理人自每一境外基金機構所獲得之其他報酬，或基金銷售機構分別自每一境外基金機構、總代理人或證券投資信託事業獲得之其他報酬，應按事業主體分別計算總數，並於每一會計年度各達揭露門檻新臺幣1百萬元時分別予以揭露。</w:t>
            </w:r>
          </w:p>
          <w:p w:rsidR="008F1C51" w:rsidRPr="009D519D" w:rsidRDefault="008F1C51" w:rsidP="0064336B">
            <w:pPr>
              <w:adjustRightInd w:val="0"/>
              <w:snapToGrid w:val="0"/>
              <w:spacing w:afterLines="50" w:after="180" w:line="400" w:lineRule="exact"/>
              <w:jc w:val="both"/>
              <w:rPr>
                <w:rFonts w:ascii="標楷體" w:eastAsia="標楷體" w:hAnsi="標楷體" w:cs="Times New Roman"/>
                <w:szCs w:val="24"/>
                <w:u w:val="single"/>
              </w:rPr>
            </w:pPr>
          </w:p>
          <w:p w:rsidR="000A028D" w:rsidRPr="009D519D" w:rsidRDefault="000A028D" w:rsidP="0064336B">
            <w:pPr>
              <w:adjustRightInd w:val="0"/>
              <w:snapToGrid w:val="0"/>
              <w:spacing w:afterLines="50" w:after="180" w:line="400" w:lineRule="exact"/>
              <w:jc w:val="both"/>
              <w:rPr>
                <w:rFonts w:ascii="標楷體" w:eastAsia="標楷體" w:hAnsi="標楷體" w:cs="Times New Roman"/>
                <w:szCs w:val="24"/>
                <w:u w:val="single"/>
              </w:rPr>
            </w:pPr>
          </w:p>
          <w:p w:rsidR="00717652" w:rsidRPr="009D519D" w:rsidRDefault="00717652" w:rsidP="0064336B">
            <w:pPr>
              <w:adjustRightInd w:val="0"/>
              <w:snapToGrid w:val="0"/>
              <w:spacing w:afterLines="50" w:after="180" w:line="400" w:lineRule="exact"/>
              <w:jc w:val="both"/>
              <w:rPr>
                <w:rFonts w:ascii="標楷體" w:eastAsia="標楷體" w:hAnsi="標楷體" w:cs="Times New Roman"/>
                <w:szCs w:val="24"/>
                <w:u w:val="single"/>
              </w:rPr>
            </w:pPr>
          </w:p>
          <w:p w:rsidR="00717652" w:rsidRPr="009D519D" w:rsidRDefault="00717652" w:rsidP="0064336B">
            <w:pPr>
              <w:adjustRightInd w:val="0"/>
              <w:snapToGrid w:val="0"/>
              <w:spacing w:afterLines="50" w:after="180" w:line="400" w:lineRule="exact"/>
              <w:jc w:val="both"/>
              <w:rPr>
                <w:rFonts w:ascii="標楷體" w:eastAsia="標楷體" w:hAnsi="標楷體" w:cs="Times New Roman"/>
                <w:szCs w:val="24"/>
                <w:u w:val="single"/>
              </w:rPr>
            </w:pPr>
          </w:p>
          <w:p w:rsidR="0064336B" w:rsidRPr="009D519D" w:rsidRDefault="0064336B" w:rsidP="0064336B">
            <w:pPr>
              <w:adjustRightInd w:val="0"/>
              <w:snapToGrid w:val="0"/>
              <w:spacing w:afterLines="50" w:after="180" w:line="400" w:lineRule="exact"/>
              <w:jc w:val="both"/>
              <w:rPr>
                <w:rFonts w:ascii="標楷體" w:eastAsia="標楷體" w:hAnsi="標楷體" w:cs="Times New Roman"/>
                <w:szCs w:val="24"/>
                <w:u w:val="single"/>
              </w:rPr>
            </w:pPr>
          </w:p>
          <w:p w:rsidR="0064336B" w:rsidRPr="009D519D" w:rsidRDefault="0064336B" w:rsidP="0064336B">
            <w:pPr>
              <w:adjustRightInd w:val="0"/>
              <w:snapToGrid w:val="0"/>
              <w:spacing w:afterLines="50" w:after="180" w:line="400" w:lineRule="exact"/>
              <w:jc w:val="both"/>
              <w:rPr>
                <w:rFonts w:ascii="標楷體" w:eastAsia="標楷體" w:hAnsi="標楷體" w:cs="Times New Roman"/>
                <w:szCs w:val="24"/>
                <w:u w:val="single"/>
              </w:rPr>
            </w:pPr>
          </w:p>
          <w:p w:rsidR="0064336B" w:rsidRPr="009D519D" w:rsidRDefault="0064336B" w:rsidP="0064336B">
            <w:pPr>
              <w:adjustRightInd w:val="0"/>
              <w:snapToGrid w:val="0"/>
              <w:spacing w:afterLines="50" w:after="180" w:line="400" w:lineRule="exact"/>
              <w:jc w:val="both"/>
              <w:rPr>
                <w:rFonts w:ascii="標楷體" w:eastAsia="標楷體" w:hAnsi="標楷體" w:cs="Times New Roman"/>
                <w:szCs w:val="24"/>
                <w:u w:val="single"/>
              </w:rPr>
            </w:pPr>
          </w:p>
          <w:p w:rsidR="0064336B" w:rsidRPr="009D519D" w:rsidRDefault="0064336B" w:rsidP="0064336B">
            <w:pPr>
              <w:adjustRightInd w:val="0"/>
              <w:snapToGrid w:val="0"/>
              <w:spacing w:afterLines="50" w:after="180" w:line="400" w:lineRule="exact"/>
              <w:jc w:val="both"/>
              <w:rPr>
                <w:rFonts w:ascii="標楷體" w:eastAsia="標楷體" w:hAnsi="標楷體" w:cs="Times New Roman"/>
                <w:szCs w:val="24"/>
                <w:u w:val="single"/>
              </w:rPr>
            </w:pPr>
          </w:p>
          <w:p w:rsidR="0064336B" w:rsidRPr="009D519D" w:rsidRDefault="0064336B" w:rsidP="0064336B">
            <w:pPr>
              <w:adjustRightInd w:val="0"/>
              <w:snapToGrid w:val="0"/>
              <w:spacing w:afterLines="50" w:after="180" w:line="400" w:lineRule="exact"/>
              <w:jc w:val="both"/>
              <w:rPr>
                <w:rFonts w:ascii="標楷體" w:eastAsia="標楷體" w:hAnsi="標楷體" w:cs="Times New Roman"/>
                <w:szCs w:val="24"/>
                <w:u w:val="single"/>
              </w:rPr>
            </w:pPr>
          </w:p>
          <w:p w:rsidR="0064336B" w:rsidRPr="009D519D" w:rsidRDefault="0064336B" w:rsidP="0064336B">
            <w:pPr>
              <w:adjustRightInd w:val="0"/>
              <w:snapToGrid w:val="0"/>
              <w:spacing w:afterLines="50" w:after="180" w:line="400" w:lineRule="exact"/>
              <w:jc w:val="both"/>
              <w:rPr>
                <w:rFonts w:ascii="標楷體" w:eastAsia="標楷體" w:hAnsi="標楷體" w:cs="Times New Roman"/>
                <w:szCs w:val="24"/>
                <w:u w:val="single"/>
              </w:rPr>
            </w:pPr>
          </w:p>
          <w:p w:rsidR="0064336B" w:rsidRPr="009D519D" w:rsidRDefault="0064336B" w:rsidP="0064336B">
            <w:pPr>
              <w:adjustRightInd w:val="0"/>
              <w:snapToGrid w:val="0"/>
              <w:spacing w:afterLines="50" w:after="180" w:line="400" w:lineRule="exact"/>
              <w:jc w:val="both"/>
              <w:rPr>
                <w:rFonts w:ascii="標楷體" w:eastAsia="標楷體" w:hAnsi="標楷體" w:cs="Times New Roman"/>
                <w:szCs w:val="24"/>
                <w:u w:val="single"/>
              </w:rPr>
            </w:pPr>
          </w:p>
          <w:p w:rsidR="002D6035" w:rsidRPr="009D519D" w:rsidRDefault="002D6035" w:rsidP="0064336B">
            <w:pPr>
              <w:adjustRightInd w:val="0"/>
              <w:snapToGrid w:val="0"/>
              <w:spacing w:afterLines="50" w:after="180" w:line="400" w:lineRule="exact"/>
              <w:jc w:val="both"/>
              <w:rPr>
                <w:rFonts w:ascii="標楷體" w:eastAsia="標楷體" w:hAnsi="標楷體" w:cs="Times New Roman"/>
                <w:szCs w:val="24"/>
                <w:u w:val="single"/>
              </w:rPr>
            </w:pPr>
          </w:p>
          <w:p w:rsidR="002D6035" w:rsidRPr="009D519D" w:rsidRDefault="002D6035" w:rsidP="0064336B">
            <w:pPr>
              <w:adjustRightInd w:val="0"/>
              <w:snapToGrid w:val="0"/>
              <w:spacing w:afterLines="50" w:after="180" w:line="400" w:lineRule="exact"/>
              <w:jc w:val="both"/>
              <w:rPr>
                <w:rFonts w:ascii="標楷體" w:eastAsia="標楷體" w:hAnsi="標楷體" w:cs="Times New Roman"/>
                <w:szCs w:val="24"/>
                <w:u w:val="single"/>
              </w:rPr>
            </w:pPr>
          </w:p>
          <w:p w:rsidR="00EE4221" w:rsidRPr="009D519D" w:rsidRDefault="00EE4221" w:rsidP="001103CA">
            <w:pPr>
              <w:adjustRightInd w:val="0"/>
              <w:snapToGrid w:val="0"/>
              <w:spacing w:afterLines="100" w:after="360" w:line="400" w:lineRule="exact"/>
              <w:jc w:val="both"/>
              <w:rPr>
                <w:rFonts w:ascii="標楷體" w:eastAsia="標楷體" w:hAnsi="標楷體" w:cs="Times New Roman"/>
                <w:szCs w:val="24"/>
                <w:u w:val="single"/>
              </w:rPr>
            </w:pPr>
          </w:p>
          <w:p w:rsidR="00E77784" w:rsidRPr="009D519D" w:rsidRDefault="00E77784" w:rsidP="001103CA">
            <w:pPr>
              <w:adjustRightInd w:val="0"/>
              <w:snapToGrid w:val="0"/>
              <w:spacing w:afterLines="100" w:after="360" w:line="400" w:lineRule="exact"/>
              <w:jc w:val="both"/>
              <w:rPr>
                <w:rFonts w:ascii="標楷體" w:eastAsia="標楷體" w:hAnsi="標楷體" w:cs="Times New Roman"/>
                <w:szCs w:val="24"/>
                <w:u w:val="single"/>
              </w:rPr>
            </w:pPr>
            <w:r w:rsidRPr="009D519D">
              <w:rPr>
                <w:rFonts w:ascii="標楷體" w:eastAsia="標楷體" w:hAnsi="標楷體" w:cs="Times New Roman" w:hint="eastAsia"/>
                <w:szCs w:val="24"/>
                <w:u w:val="single"/>
              </w:rPr>
              <w:t>(二)有關經銷費(Distribution Fee、</w:t>
            </w:r>
            <w:proofErr w:type="spellStart"/>
            <w:r w:rsidRPr="009D519D">
              <w:rPr>
                <w:rFonts w:ascii="標楷體" w:eastAsia="標楷體" w:hAnsi="標楷體" w:cs="Times New Roman" w:hint="eastAsia"/>
                <w:szCs w:val="24"/>
                <w:u w:val="single"/>
              </w:rPr>
              <w:t>12b</w:t>
            </w:r>
            <w:proofErr w:type="spellEnd"/>
            <w:r w:rsidRPr="009D519D">
              <w:rPr>
                <w:rFonts w:ascii="標楷體" w:eastAsia="標楷體" w:hAnsi="標楷體" w:cs="Times New Roman" w:hint="eastAsia"/>
                <w:szCs w:val="24"/>
                <w:u w:val="single"/>
              </w:rPr>
              <w:t>-1 fee等)，其境外基金公司分潤銷售機構之基礎，仍是以投資人持有期間及持有受益憑證金額為</w:t>
            </w:r>
            <w:proofErr w:type="gramStart"/>
            <w:r w:rsidRPr="009D519D">
              <w:rPr>
                <w:rFonts w:ascii="標楷體" w:eastAsia="標楷體" w:hAnsi="標楷體" w:cs="Times New Roman" w:hint="eastAsia"/>
                <w:szCs w:val="24"/>
                <w:u w:val="single"/>
              </w:rPr>
              <w:t>準</w:t>
            </w:r>
            <w:proofErr w:type="gramEnd"/>
            <w:r w:rsidRPr="009D519D">
              <w:rPr>
                <w:rFonts w:ascii="標楷體" w:eastAsia="標楷體" w:hAnsi="標楷體" w:cs="Times New Roman" w:hint="eastAsia"/>
                <w:szCs w:val="24"/>
                <w:u w:val="single"/>
              </w:rPr>
              <w:t>，僅因各國家規範不同，而不得或不限以經理費/管理費名目分潤，故就經銷費之揭露方式，可以本施行要點經理費分成之方式說明及揭露並併入「經理費分成」項目中，毋須再行計算總金額，並於暫行措施施行期間立即實行。</w:t>
            </w:r>
          </w:p>
          <w:p w:rsidR="00E77784" w:rsidRPr="009D519D" w:rsidRDefault="00E77784" w:rsidP="001103CA">
            <w:pPr>
              <w:adjustRightInd w:val="0"/>
              <w:snapToGrid w:val="0"/>
              <w:spacing w:afterLines="100" w:after="360" w:line="400" w:lineRule="exact"/>
              <w:jc w:val="both"/>
              <w:rPr>
                <w:rFonts w:ascii="標楷體" w:eastAsia="標楷體" w:hAnsi="標楷體" w:cs="Times New Roman"/>
                <w:szCs w:val="24"/>
                <w:u w:val="single"/>
              </w:rPr>
            </w:pPr>
            <w:r w:rsidRPr="009D519D">
              <w:rPr>
                <w:rFonts w:ascii="標楷體" w:eastAsia="標楷體" w:hAnsi="標楷體" w:cs="Times New Roman" w:hint="eastAsia"/>
                <w:szCs w:val="24"/>
                <w:u w:val="single"/>
              </w:rPr>
              <w:t>(三)有關非屬銷售獎勵之行銷贊助，係指性質上非屬申購手續費分成、以投資人持有期間及持有受益憑證金額為</w:t>
            </w:r>
            <w:proofErr w:type="gramStart"/>
            <w:r w:rsidRPr="009D519D">
              <w:rPr>
                <w:rFonts w:ascii="標楷體" w:eastAsia="標楷體" w:hAnsi="標楷體" w:cs="Times New Roman" w:hint="eastAsia"/>
                <w:szCs w:val="24"/>
                <w:u w:val="single"/>
              </w:rPr>
              <w:t>準</w:t>
            </w:r>
            <w:proofErr w:type="gramEnd"/>
            <w:r w:rsidRPr="009D519D">
              <w:rPr>
                <w:rFonts w:ascii="標楷體" w:eastAsia="標楷體" w:hAnsi="標楷體" w:cs="Times New Roman" w:hint="eastAsia"/>
                <w:szCs w:val="24"/>
                <w:u w:val="single"/>
              </w:rPr>
              <w:t>之經理費分成、與績效有關之銷售獎勵金或贊助或提供產品說明會及員工教育訓練報酬。故若屬公司對公司(B to B)之行銷補助，且減少銷售機構端原應有之支出及成本或增加其他利益者，皆屬本施行要點之其他報酬</w:t>
            </w:r>
            <w:proofErr w:type="gramStart"/>
            <w:r w:rsidRPr="009D519D">
              <w:rPr>
                <w:rFonts w:ascii="標楷體" w:eastAsia="標楷體" w:hAnsi="標楷體" w:cs="Times New Roman" w:hint="eastAsia"/>
                <w:szCs w:val="24"/>
                <w:u w:val="single"/>
              </w:rPr>
              <w:t>（</w:t>
            </w:r>
            <w:proofErr w:type="gramEnd"/>
            <w:r w:rsidRPr="009D519D">
              <w:rPr>
                <w:rFonts w:ascii="標楷體" w:eastAsia="標楷體" w:hAnsi="標楷體" w:cs="Times New Roman" w:hint="eastAsia"/>
                <w:szCs w:val="24"/>
                <w:u w:val="single"/>
              </w:rPr>
              <w:t>如：印製銷售機構對</w:t>
            </w:r>
            <w:proofErr w:type="gramStart"/>
            <w:r w:rsidRPr="009D519D">
              <w:rPr>
                <w:rFonts w:ascii="標楷體" w:eastAsia="標楷體" w:hAnsi="標楷體" w:cs="Times New Roman" w:hint="eastAsia"/>
                <w:szCs w:val="24"/>
                <w:u w:val="single"/>
              </w:rPr>
              <w:t>帳單</w:t>
            </w:r>
            <w:proofErr w:type="gramEnd"/>
            <w:r w:rsidRPr="009D519D">
              <w:rPr>
                <w:rFonts w:ascii="標楷體" w:eastAsia="標楷體" w:hAnsi="標楷體" w:cs="Times New Roman" w:hint="eastAsia"/>
                <w:szCs w:val="24"/>
                <w:u w:val="single"/>
              </w:rPr>
              <w:t>、信封、投資月刊、理財專刊或銷售機構依法規或契約代為印製或</w:t>
            </w:r>
            <w:proofErr w:type="gramStart"/>
            <w:r w:rsidRPr="009D519D">
              <w:rPr>
                <w:rFonts w:ascii="標楷體" w:eastAsia="標楷體" w:hAnsi="標楷體" w:cs="Times New Roman" w:hint="eastAsia"/>
                <w:szCs w:val="24"/>
                <w:u w:val="single"/>
              </w:rPr>
              <w:t>寄送向其</w:t>
            </w:r>
            <w:proofErr w:type="gramEnd"/>
            <w:r w:rsidRPr="009D519D">
              <w:rPr>
                <w:rFonts w:ascii="標楷體" w:eastAsia="標楷體" w:hAnsi="標楷體" w:cs="Times New Roman" w:hint="eastAsia"/>
                <w:szCs w:val="24"/>
                <w:u w:val="single"/>
              </w:rPr>
              <w:t>客戶通知之支出等</w:t>
            </w:r>
            <w:proofErr w:type="gramStart"/>
            <w:r w:rsidRPr="009D519D">
              <w:rPr>
                <w:rFonts w:ascii="標楷體" w:eastAsia="標楷體" w:hAnsi="標楷體" w:cs="Times New Roman" w:hint="eastAsia"/>
                <w:szCs w:val="24"/>
                <w:u w:val="single"/>
              </w:rPr>
              <w:t>）</w:t>
            </w:r>
            <w:proofErr w:type="gramEnd"/>
            <w:r w:rsidRPr="009D519D">
              <w:rPr>
                <w:rFonts w:ascii="標楷體" w:eastAsia="標楷體" w:hAnsi="標楷體" w:cs="Times New Roman" w:hint="eastAsia"/>
                <w:szCs w:val="24"/>
                <w:u w:val="single"/>
              </w:rPr>
              <w:t>，惟不包含銷售通路無償寄送證券投資信託事業、總代理人或境</w:t>
            </w:r>
            <w:r w:rsidRPr="009D519D">
              <w:rPr>
                <w:rFonts w:ascii="標楷體" w:eastAsia="標楷體" w:hAnsi="標楷體" w:cs="Times New Roman" w:hint="eastAsia"/>
                <w:szCs w:val="24"/>
                <w:u w:val="single"/>
              </w:rPr>
              <w:lastRenderedPageBreak/>
              <w:t>外基金機構自行因推廣業務所需而印製之DM及文宣等資料。</w:t>
            </w:r>
          </w:p>
          <w:p w:rsidR="00246210" w:rsidRPr="009D519D" w:rsidRDefault="00E77784" w:rsidP="00990AA4">
            <w:pPr>
              <w:adjustRightInd w:val="0"/>
              <w:snapToGrid w:val="0"/>
              <w:spacing w:afterLines="50" w:after="180" w:line="400" w:lineRule="exact"/>
              <w:jc w:val="both"/>
              <w:rPr>
                <w:rFonts w:ascii="標楷體" w:eastAsia="標楷體" w:hAnsi="標楷體" w:cs="Times New Roman"/>
                <w:szCs w:val="24"/>
                <w:u w:val="single"/>
              </w:rPr>
            </w:pPr>
            <w:r w:rsidRPr="009D519D">
              <w:rPr>
                <w:rFonts w:ascii="標楷體" w:eastAsia="標楷體" w:hAnsi="標楷體" w:cs="Times New Roman" w:hint="eastAsia"/>
                <w:szCs w:val="24"/>
                <w:u w:val="single"/>
              </w:rPr>
              <w:t>(四)有關非屬銷售獎勵之行銷贊助，不包括對投資人之文具、年曆、筆記本、或其他單價2百元以下之贈品（詳金管會於100年1月18日金管證投字第0990074116號函）；但如相關贈品是專為通路活動而贊助，則需列入其他報酬。</w:t>
            </w:r>
          </w:p>
        </w:tc>
        <w:tc>
          <w:tcPr>
            <w:tcW w:w="3227" w:type="dxa"/>
            <w:tcBorders>
              <w:bottom w:val="single" w:sz="4" w:space="0" w:color="auto"/>
            </w:tcBorders>
          </w:tcPr>
          <w:p w:rsidR="00374328" w:rsidRPr="009D519D" w:rsidRDefault="002A3AA0" w:rsidP="00990AA4">
            <w:pPr>
              <w:adjustRightInd w:val="0"/>
              <w:snapToGrid w:val="0"/>
              <w:spacing w:afterLines="50" w:after="180" w:line="400" w:lineRule="exact"/>
              <w:jc w:val="both"/>
              <w:rPr>
                <w:rFonts w:ascii="標楷體" w:eastAsia="標楷體" w:hAnsi="標楷體" w:cs="Times New Roman"/>
                <w:szCs w:val="24"/>
              </w:rPr>
            </w:pPr>
            <w:proofErr w:type="gramStart"/>
            <w:r w:rsidRPr="009D519D">
              <w:rPr>
                <w:rFonts w:ascii="標楷體" w:eastAsia="標楷體" w:hAnsi="標楷體" w:cs="Times New Roman" w:hint="eastAsia"/>
                <w:szCs w:val="24"/>
              </w:rPr>
              <w:lastRenderedPageBreak/>
              <w:t>題次</w:t>
            </w:r>
            <w:r w:rsidR="00E606A0" w:rsidRPr="009D519D">
              <w:rPr>
                <w:rFonts w:ascii="標楷體" w:eastAsia="標楷體" w:hAnsi="標楷體" w:cs="Times New Roman" w:hint="eastAsia"/>
                <w:szCs w:val="24"/>
              </w:rPr>
              <w:t>及</w:t>
            </w:r>
            <w:proofErr w:type="gramEnd"/>
            <w:r w:rsidR="00E606A0" w:rsidRPr="009D519D">
              <w:rPr>
                <w:rFonts w:ascii="標楷體" w:eastAsia="標楷體" w:hAnsi="標楷體" w:cs="Times New Roman" w:hint="eastAsia"/>
                <w:szCs w:val="24"/>
              </w:rPr>
              <w:t>文字</w:t>
            </w:r>
            <w:r w:rsidRPr="009D519D">
              <w:rPr>
                <w:rFonts w:ascii="標楷體" w:eastAsia="標楷體" w:hAnsi="標楷體" w:cs="Times New Roman" w:hint="eastAsia"/>
                <w:szCs w:val="24"/>
              </w:rPr>
              <w:t>調整。</w:t>
            </w:r>
          </w:p>
          <w:p w:rsidR="006C1D30" w:rsidRPr="009D519D" w:rsidRDefault="006C1D30" w:rsidP="00990AA4">
            <w:pPr>
              <w:adjustRightInd w:val="0"/>
              <w:snapToGrid w:val="0"/>
              <w:spacing w:afterLines="50" w:after="180" w:line="400" w:lineRule="exact"/>
              <w:jc w:val="both"/>
              <w:rPr>
                <w:rFonts w:ascii="標楷體" w:eastAsia="標楷體" w:hAnsi="標楷體" w:cs="Times New Roman"/>
                <w:szCs w:val="24"/>
              </w:rPr>
            </w:pPr>
          </w:p>
          <w:p w:rsidR="00717652" w:rsidRPr="009D519D" w:rsidRDefault="00717652" w:rsidP="00177FED">
            <w:pPr>
              <w:adjustRightInd w:val="0"/>
              <w:snapToGrid w:val="0"/>
              <w:spacing w:afterLines="100" w:after="360" w:line="400" w:lineRule="exact"/>
              <w:jc w:val="both"/>
              <w:rPr>
                <w:rFonts w:ascii="標楷體" w:eastAsia="標楷體" w:hAnsi="標楷體" w:cs="Times New Roman"/>
                <w:szCs w:val="24"/>
              </w:rPr>
            </w:pPr>
          </w:p>
          <w:p w:rsidR="00735CEB" w:rsidRPr="009D519D" w:rsidRDefault="00735CEB" w:rsidP="00177FED">
            <w:pPr>
              <w:adjustRightInd w:val="0"/>
              <w:snapToGrid w:val="0"/>
              <w:spacing w:afterLines="100" w:after="360" w:line="400" w:lineRule="exact"/>
              <w:jc w:val="both"/>
              <w:rPr>
                <w:rFonts w:ascii="標楷體" w:eastAsia="標楷體" w:hAnsi="標楷體" w:cs="Times New Roman"/>
                <w:szCs w:val="24"/>
              </w:rPr>
            </w:pPr>
          </w:p>
          <w:p w:rsidR="00101FD8" w:rsidRPr="009D519D" w:rsidRDefault="00806F31" w:rsidP="009B7FD6">
            <w:pPr>
              <w:adjustRightInd w:val="0"/>
              <w:snapToGrid w:val="0"/>
              <w:spacing w:afterLines="50" w:after="180" w:line="400" w:lineRule="exact"/>
              <w:jc w:val="both"/>
              <w:rPr>
                <w:rFonts w:ascii="標楷體" w:eastAsia="標楷體" w:hAnsi="標楷體" w:cs="Times New Roman"/>
                <w:szCs w:val="24"/>
              </w:rPr>
            </w:pPr>
            <w:r w:rsidRPr="009D519D">
              <w:rPr>
                <w:rFonts w:ascii="標楷體" w:eastAsia="標楷體" w:hAnsi="標楷體" w:cs="Times New Roman" w:hint="eastAsia"/>
                <w:szCs w:val="24"/>
              </w:rPr>
              <w:t>現行</w:t>
            </w:r>
            <w:r w:rsidR="00614CC3" w:rsidRPr="009D519D">
              <w:rPr>
                <w:rFonts w:ascii="標楷體" w:eastAsia="標楷體" w:hAnsi="標楷體" w:cs="Times New Roman" w:hint="eastAsia"/>
                <w:szCs w:val="24"/>
              </w:rPr>
              <w:t>第三題</w:t>
            </w:r>
            <w:r w:rsidR="006C1D30" w:rsidRPr="009D519D">
              <w:rPr>
                <w:rFonts w:ascii="標楷體" w:eastAsia="標楷體" w:hAnsi="標楷體" w:cs="Times New Roman" w:hint="eastAsia"/>
                <w:szCs w:val="24"/>
              </w:rPr>
              <w:t>說明（一）移至</w:t>
            </w:r>
            <w:r w:rsidR="00693C68" w:rsidRPr="009D519D">
              <w:rPr>
                <w:rFonts w:ascii="標楷體" w:eastAsia="標楷體" w:hAnsi="標楷體" w:cs="Times New Roman" w:hint="eastAsia"/>
                <w:szCs w:val="24"/>
              </w:rPr>
              <w:t>通路報酬揭露格式範本之填寫說明中規範</w:t>
            </w:r>
            <w:r w:rsidR="00CC65A9" w:rsidRPr="009D519D">
              <w:rPr>
                <w:rFonts w:ascii="標楷體" w:eastAsia="標楷體" w:hAnsi="標楷體" w:cs="Times New Roman" w:hint="eastAsia"/>
                <w:szCs w:val="24"/>
              </w:rPr>
              <w:t>，</w:t>
            </w:r>
            <w:proofErr w:type="gramStart"/>
            <w:r w:rsidR="00CC65A9" w:rsidRPr="009D519D">
              <w:rPr>
                <w:rFonts w:ascii="標楷體" w:eastAsia="標楷體" w:hAnsi="標楷體" w:cs="Times New Roman" w:hint="eastAsia"/>
                <w:szCs w:val="24"/>
              </w:rPr>
              <w:t>爰</w:t>
            </w:r>
            <w:proofErr w:type="gramEnd"/>
            <w:r w:rsidR="00CC65A9" w:rsidRPr="009D519D">
              <w:rPr>
                <w:rFonts w:ascii="標楷體" w:eastAsia="標楷體" w:hAnsi="標楷體" w:cs="Times New Roman" w:hint="eastAsia"/>
                <w:szCs w:val="24"/>
              </w:rPr>
              <w:t>刪除之</w:t>
            </w:r>
            <w:r w:rsidR="006C1D30" w:rsidRPr="009D519D">
              <w:rPr>
                <w:rFonts w:ascii="標楷體" w:eastAsia="標楷體" w:hAnsi="標楷體" w:cs="Times New Roman" w:hint="eastAsia"/>
                <w:szCs w:val="24"/>
              </w:rPr>
              <w:t>。</w:t>
            </w:r>
          </w:p>
          <w:p w:rsidR="0064336B" w:rsidRPr="009D519D" w:rsidRDefault="0064336B" w:rsidP="0064336B">
            <w:pPr>
              <w:adjustRightInd w:val="0"/>
              <w:snapToGrid w:val="0"/>
              <w:spacing w:afterLines="50" w:after="180" w:line="400" w:lineRule="exact"/>
              <w:jc w:val="both"/>
              <w:rPr>
                <w:rFonts w:ascii="標楷體" w:eastAsia="標楷體" w:hAnsi="標楷體" w:cs="Times New Roman"/>
                <w:szCs w:val="24"/>
              </w:rPr>
            </w:pPr>
          </w:p>
          <w:p w:rsidR="0064336B" w:rsidRPr="009D519D" w:rsidRDefault="0064336B" w:rsidP="0064336B">
            <w:pPr>
              <w:adjustRightInd w:val="0"/>
              <w:snapToGrid w:val="0"/>
              <w:spacing w:afterLines="50" w:after="180" w:line="400" w:lineRule="exact"/>
              <w:jc w:val="both"/>
              <w:rPr>
                <w:rFonts w:ascii="標楷體" w:eastAsia="標楷體" w:hAnsi="標楷體" w:cs="Times New Roman"/>
                <w:szCs w:val="24"/>
              </w:rPr>
            </w:pPr>
          </w:p>
          <w:p w:rsidR="0064336B" w:rsidRPr="009D519D" w:rsidRDefault="0064336B" w:rsidP="0064336B">
            <w:pPr>
              <w:adjustRightInd w:val="0"/>
              <w:snapToGrid w:val="0"/>
              <w:spacing w:afterLines="50" w:after="180" w:line="400" w:lineRule="exact"/>
              <w:jc w:val="both"/>
              <w:rPr>
                <w:rFonts w:ascii="標楷體" w:eastAsia="標楷體" w:hAnsi="標楷體" w:cs="Times New Roman"/>
                <w:szCs w:val="24"/>
              </w:rPr>
            </w:pPr>
          </w:p>
          <w:p w:rsidR="0064336B" w:rsidRPr="009D519D" w:rsidRDefault="0064336B" w:rsidP="0064336B">
            <w:pPr>
              <w:adjustRightInd w:val="0"/>
              <w:snapToGrid w:val="0"/>
              <w:spacing w:afterLines="50" w:after="180" w:line="400" w:lineRule="exact"/>
              <w:jc w:val="both"/>
              <w:rPr>
                <w:rFonts w:ascii="標楷體" w:eastAsia="標楷體" w:hAnsi="標楷體" w:cs="Times New Roman"/>
                <w:szCs w:val="24"/>
              </w:rPr>
            </w:pPr>
          </w:p>
          <w:p w:rsidR="00926FEE" w:rsidRPr="009D519D" w:rsidRDefault="00926FEE" w:rsidP="009B7FD6">
            <w:pPr>
              <w:adjustRightInd w:val="0"/>
              <w:snapToGrid w:val="0"/>
              <w:spacing w:afterLines="50" w:after="180" w:line="400" w:lineRule="exact"/>
              <w:jc w:val="both"/>
              <w:rPr>
                <w:rFonts w:ascii="標楷體" w:eastAsia="標楷體" w:hAnsi="標楷體" w:cs="Times New Roman"/>
                <w:szCs w:val="24"/>
              </w:rPr>
            </w:pPr>
          </w:p>
          <w:p w:rsidR="008E386C" w:rsidRPr="009D519D" w:rsidRDefault="008E386C" w:rsidP="009B7FD6">
            <w:pPr>
              <w:adjustRightInd w:val="0"/>
              <w:snapToGrid w:val="0"/>
              <w:spacing w:afterLines="50" w:after="180" w:line="400" w:lineRule="exact"/>
              <w:jc w:val="both"/>
              <w:rPr>
                <w:rFonts w:ascii="標楷體" w:eastAsia="標楷體" w:hAnsi="標楷體" w:cs="Times New Roman"/>
                <w:szCs w:val="24"/>
              </w:rPr>
            </w:pPr>
          </w:p>
          <w:p w:rsidR="008E386C" w:rsidRPr="009D519D" w:rsidRDefault="008E386C" w:rsidP="009B7FD6">
            <w:pPr>
              <w:adjustRightInd w:val="0"/>
              <w:snapToGrid w:val="0"/>
              <w:spacing w:afterLines="50" w:after="180" w:line="400" w:lineRule="exact"/>
              <w:jc w:val="both"/>
              <w:rPr>
                <w:rFonts w:ascii="標楷體" w:eastAsia="標楷體" w:hAnsi="標楷體" w:cs="Times New Roman"/>
                <w:szCs w:val="24"/>
              </w:rPr>
            </w:pPr>
          </w:p>
          <w:p w:rsidR="008E386C" w:rsidRPr="009D519D" w:rsidRDefault="008E386C" w:rsidP="009B7FD6">
            <w:pPr>
              <w:adjustRightInd w:val="0"/>
              <w:snapToGrid w:val="0"/>
              <w:spacing w:afterLines="50" w:after="180" w:line="400" w:lineRule="exact"/>
              <w:jc w:val="both"/>
              <w:rPr>
                <w:rFonts w:ascii="標楷體" w:eastAsia="標楷體" w:hAnsi="標楷體" w:cs="Times New Roman"/>
                <w:szCs w:val="24"/>
              </w:rPr>
            </w:pPr>
          </w:p>
          <w:p w:rsidR="008E386C" w:rsidRPr="009D519D" w:rsidRDefault="008E386C" w:rsidP="009B7FD6">
            <w:pPr>
              <w:adjustRightInd w:val="0"/>
              <w:snapToGrid w:val="0"/>
              <w:spacing w:afterLines="50" w:after="180" w:line="400" w:lineRule="exact"/>
              <w:jc w:val="both"/>
              <w:rPr>
                <w:rFonts w:ascii="標楷體" w:eastAsia="標楷體" w:hAnsi="標楷體" w:cs="Times New Roman"/>
                <w:szCs w:val="24"/>
              </w:rPr>
            </w:pPr>
          </w:p>
          <w:p w:rsidR="008E386C" w:rsidRPr="009D519D" w:rsidRDefault="008E386C" w:rsidP="009B7FD6">
            <w:pPr>
              <w:adjustRightInd w:val="0"/>
              <w:snapToGrid w:val="0"/>
              <w:spacing w:afterLines="50" w:after="180" w:line="400" w:lineRule="exact"/>
              <w:jc w:val="both"/>
              <w:rPr>
                <w:rFonts w:ascii="標楷體" w:eastAsia="標楷體" w:hAnsi="標楷體" w:cs="Times New Roman"/>
                <w:szCs w:val="24"/>
              </w:rPr>
            </w:pPr>
          </w:p>
          <w:p w:rsidR="008E386C" w:rsidRPr="009D519D" w:rsidRDefault="008E386C" w:rsidP="009B7FD6">
            <w:pPr>
              <w:adjustRightInd w:val="0"/>
              <w:snapToGrid w:val="0"/>
              <w:spacing w:afterLines="50" w:after="180" w:line="400" w:lineRule="exact"/>
              <w:jc w:val="both"/>
              <w:rPr>
                <w:rFonts w:ascii="標楷體" w:eastAsia="標楷體" w:hAnsi="標楷體" w:cs="Times New Roman"/>
                <w:szCs w:val="24"/>
              </w:rPr>
            </w:pPr>
          </w:p>
          <w:p w:rsidR="008E386C" w:rsidRDefault="008E386C" w:rsidP="009B7FD6">
            <w:pPr>
              <w:adjustRightInd w:val="0"/>
              <w:snapToGrid w:val="0"/>
              <w:spacing w:afterLines="50" w:after="180" w:line="400" w:lineRule="exact"/>
              <w:jc w:val="both"/>
              <w:rPr>
                <w:rFonts w:ascii="標楷體" w:eastAsia="標楷體" w:hAnsi="標楷體" w:cs="Times New Roman"/>
                <w:szCs w:val="24"/>
              </w:rPr>
            </w:pPr>
          </w:p>
          <w:p w:rsidR="00CB1DC7" w:rsidRDefault="00CB1DC7" w:rsidP="009B7FD6">
            <w:pPr>
              <w:adjustRightInd w:val="0"/>
              <w:snapToGrid w:val="0"/>
              <w:spacing w:afterLines="50" w:after="180" w:line="400" w:lineRule="exact"/>
              <w:jc w:val="both"/>
              <w:rPr>
                <w:rFonts w:ascii="標楷體" w:eastAsia="標楷體" w:hAnsi="標楷體" w:cs="Times New Roman"/>
                <w:szCs w:val="24"/>
              </w:rPr>
            </w:pPr>
          </w:p>
          <w:p w:rsidR="00CB1DC7" w:rsidRDefault="00CB1DC7" w:rsidP="009B7FD6">
            <w:pPr>
              <w:adjustRightInd w:val="0"/>
              <w:snapToGrid w:val="0"/>
              <w:spacing w:afterLines="50" w:after="180" w:line="400" w:lineRule="exact"/>
              <w:jc w:val="both"/>
              <w:rPr>
                <w:rFonts w:ascii="標楷體" w:eastAsia="標楷體" w:hAnsi="標楷體" w:cs="Times New Roman"/>
                <w:szCs w:val="24"/>
              </w:rPr>
            </w:pPr>
          </w:p>
          <w:p w:rsidR="00CB1DC7" w:rsidRDefault="00CB1DC7" w:rsidP="009B7FD6">
            <w:pPr>
              <w:adjustRightInd w:val="0"/>
              <w:snapToGrid w:val="0"/>
              <w:spacing w:afterLines="50" w:after="180" w:line="400" w:lineRule="exact"/>
              <w:jc w:val="both"/>
              <w:rPr>
                <w:rFonts w:ascii="標楷體" w:eastAsia="標楷體" w:hAnsi="標楷體" w:cs="Times New Roman"/>
                <w:szCs w:val="24"/>
              </w:rPr>
            </w:pPr>
          </w:p>
          <w:p w:rsidR="00CB1DC7" w:rsidRPr="009D519D" w:rsidRDefault="00CB1DC7" w:rsidP="009B7FD6">
            <w:pPr>
              <w:adjustRightInd w:val="0"/>
              <w:snapToGrid w:val="0"/>
              <w:spacing w:afterLines="50" w:after="180" w:line="400" w:lineRule="exact"/>
              <w:jc w:val="both"/>
              <w:rPr>
                <w:rFonts w:ascii="標楷體" w:eastAsia="標楷體" w:hAnsi="標楷體" w:cs="Times New Roman"/>
                <w:szCs w:val="24"/>
              </w:rPr>
            </w:pPr>
          </w:p>
          <w:p w:rsidR="008E386C" w:rsidRPr="009D519D" w:rsidRDefault="008E386C" w:rsidP="009B7FD6">
            <w:pPr>
              <w:adjustRightInd w:val="0"/>
              <w:snapToGrid w:val="0"/>
              <w:spacing w:afterLines="50" w:after="180" w:line="400" w:lineRule="exact"/>
              <w:jc w:val="both"/>
              <w:rPr>
                <w:rFonts w:ascii="標楷體" w:eastAsia="標楷體" w:hAnsi="標楷體" w:cs="Times New Roman"/>
                <w:szCs w:val="24"/>
              </w:rPr>
            </w:pPr>
          </w:p>
          <w:p w:rsidR="008E386C" w:rsidRPr="009D519D" w:rsidRDefault="008E386C" w:rsidP="009B7FD6">
            <w:pPr>
              <w:adjustRightInd w:val="0"/>
              <w:snapToGrid w:val="0"/>
              <w:spacing w:afterLines="50" w:after="180" w:line="400" w:lineRule="exact"/>
              <w:jc w:val="both"/>
              <w:rPr>
                <w:rFonts w:ascii="標楷體" w:eastAsia="標楷體" w:hAnsi="標楷體" w:cs="Times New Roman"/>
                <w:szCs w:val="24"/>
              </w:rPr>
            </w:pPr>
          </w:p>
          <w:p w:rsidR="00EE4221" w:rsidRPr="009D519D" w:rsidRDefault="00EE4221" w:rsidP="009B7FD6">
            <w:pPr>
              <w:adjustRightInd w:val="0"/>
              <w:snapToGrid w:val="0"/>
              <w:spacing w:afterLines="50" w:after="180" w:line="400" w:lineRule="exact"/>
              <w:jc w:val="both"/>
              <w:rPr>
                <w:rFonts w:ascii="標楷體" w:eastAsia="標楷體" w:hAnsi="標楷體" w:cs="Times New Roman"/>
                <w:szCs w:val="24"/>
              </w:rPr>
            </w:pPr>
          </w:p>
          <w:p w:rsidR="00A82DAE" w:rsidRPr="009D519D" w:rsidRDefault="00806F31" w:rsidP="009B7FD6">
            <w:pPr>
              <w:adjustRightInd w:val="0"/>
              <w:snapToGrid w:val="0"/>
              <w:spacing w:afterLines="50" w:after="180" w:line="400" w:lineRule="exact"/>
              <w:jc w:val="both"/>
              <w:rPr>
                <w:rFonts w:ascii="標楷體" w:eastAsia="標楷體" w:hAnsi="標楷體" w:cs="Times New Roman"/>
                <w:szCs w:val="24"/>
              </w:rPr>
            </w:pPr>
            <w:r w:rsidRPr="009D519D">
              <w:rPr>
                <w:rFonts w:ascii="標楷體" w:eastAsia="標楷體" w:hAnsi="標楷體" w:cs="Times New Roman" w:hint="eastAsia"/>
                <w:szCs w:val="24"/>
              </w:rPr>
              <w:t>現行</w:t>
            </w:r>
            <w:r w:rsidR="0008572C" w:rsidRPr="009D519D">
              <w:rPr>
                <w:rFonts w:ascii="標楷體" w:eastAsia="標楷體" w:hAnsi="標楷體" w:cs="Times New Roman" w:hint="eastAsia"/>
                <w:szCs w:val="24"/>
              </w:rPr>
              <w:t>第三題</w:t>
            </w:r>
            <w:r w:rsidR="008C4D28" w:rsidRPr="009D519D">
              <w:rPr>
                <w:rFonts w:ascii="標楷體" w:eastAsia="標楷體" w:hAnsi="標楷體" w:cs="Times New Roman" w:hint="eastAsia"/>
                <w:szCs w:val="24"/>
              </w:rPr>
              <w:t>說明（二）部分</w:t>
            </w:r>
            <w:r w:rsidR="00C6220F" w:rsidRPr="009D519D">
              <w:rPr>
                <w:rFonts w:ascii="標楷體" w:eastAsia="標楷體" w:hAnsi="標楷體" w:cs="Times New Roman" w:hint="eastAsia"/>
                <w:szCs w:val="24"/>
              </w:rPr>
              <w:t>移至</w:t>
            </w:r>
            <w:r w:rsidR="0008572C" w:rsidRPr="009D519D">
              <w:rPr>
                <w:rFonts w:ascii="標楷體" w:eastAsia="標楷體" w:hAnsi="標楷體" w:cs="Times New Roman" w:hint="eastAsia"/>
                <w:szCs w:val="24"/>
              </w:rPr>
              <w:t>修正條文</w:t>
            </w:r>
            <w:r w:rsidR="00C6220F" w:rsidRPr="009D519D">
              <w:rPr>
                <w:rFonts w:ascii="標楷體" w:eastAsia="標楷體" w:hAnsi="標楷體" w:cs="Times New Roman" w:hint="eastAsia"/>
                <w:szCs w:val="24"/>
              </w:rPr>
              <w:t>第三題</w:t>
            </w:r>
            <w:r w:rsidR="00175A99" w:rsidRPr="009D519D">
              <w:rPr>
                <w:rFonts w:ascii="標楷體" w:eastAsia="標楷體" w:hAnsi="標楷體" w:cs="Times New Roman" w:hint="eastAsia"/>
                <w:szCs w:val="24"/>
              </w:rPr>
              <w:t>並調整文字</w:t>
            </w:r>
            <w:r w:rsidR="00CC65A9" w:rsidRPr="009D519D">
              <w:rPr>
                <w:rFonts w:ascii="標楷體" w:eastAsia="標楷體" w:hAnsi="標楷體" w:cs="Times New Roman" w:hint="eastAsia"/>
                <w:szCs w:val="24"/>
              </w:rPr>
              <w:t>，</w:t>
            </w:r>
            <w:proofErr w:type="gramStart"/>
            <w:r w:rsidR="00CC65A9" w:rsidRPr="009D519D">
              <w:rPr>
                <w:rFonts w:ascii="標楷體" w:eastAsia="標楷體" w:hAnsi="標楷體" w:cs="Times New Roman" w:hint="eastAsia"/>
                <w:szCs w:val="24"/>
              </w:rPr>
              <w:t>爰</w:t>
            </w:r>
            <w:proofErr w:type="gramEnd"/>
            <w:r w:rsidR="00CC65A9" w:rsidRPr="009D519D">
              <w:rPr>
                <w:rFonts w:ascii="標楷體" w:eastAsia="標楷體" w:hAnsi="標楷體" w:cs="Times New Roman" w:hint="eastAsia"/>
                <w:szCs w:val="24"/>
              </w:rPr>
              <w:t>刪除之</w:t>
            </w:r>
            <w:r w:rsidR="0008572C" w:rsidRPr="009D519D">
              <w:rPr>
                <w:rFonts w:ascii="標楷體" w:eastAsia="標楷體" w:hAnsi="標楷體" w:cs="Times New Roman" w:hint="eastAsia"/>
                <w:szCs w:val="24"/>
              </w:rPr>
              <w:t>。</w:t>
            </w:r>
          </w:p>
          <w:p w:rsidR="00A82DAE" w:rsidRPr="009D519D" w:rsidRDefault="00A82DAE" w:rsidP="00990AA4">
            <w:pPr>
              <w:adjustRightInd w:val="0"/>
              <w:snapToGrid w:val="0"/>
              <w:spacing w:afterLines="50" w:after="180" w:line="400" w:lineRule="exact"/>
              <w:jc w:val="both"/>
              <w:rPr>
                <w:rFonts w:ascii="標楷體" w:eastAsia="標楷體" w:hAnsi="標楷體" w:cs="Times New Roman"/>
                <w:szCs w:val="24"/>
              </w:rPr>
            </w:pPr>
          </w:p>
          <w:p w:rsidR="00A96CBC" w:rsidRPr="009D519D" w:rsidRDefault="00A96CBC" w:rsidP="00990AA4">
            <w:pPr>
              <w:adjustRightInd w:val="0"/>
              <w:snapToGrid w:val="0"/>
              <w:spacing w:afterLines="50" w:after="180" w:line="400" w:lineRule="exact"/>
              <w:jc w:val="both"/>
              <w:rPr>
                <w:rFonts w:ascii="標楷體" w:eastAsia="標楷體" w:hAnsi="標楷體" w:cs="Times New Roman"/>
                <w:szCs w:val="24"/>
              </w:rPr>
            </w:pPr>
          </w:p>
          <w:p w:rsidR="00DB52A0" w:rsidRPr="009D519D" w:rsidRDefault="00DB52A0" w:rsidP="00990AA4">
            <w:pPr>
              <w:adjustRightInd w:val="0"/>
              <w:snapToGrid w:val="0"/>
              <w:spacing w:afterLines="50" w:after="180" w:line="400" w:lineRule="exact"/>
              <w:jc w:val="both"/>
              <w:rPr>
                <w:rFonts w:ascii="標楷體" w:eastAsia="標楷體" w:hAnsi="標楷體" w:cs="Times New Roman"/>
                <w:szCs w:val="24"/>
              </w:rPr>
            </w:pPr>
          </w:p>
          <w:p w:rsidR="00DB52A0" w:rsidRPr="009D519D" w:rsidRDefault="00DB52A0" w:rsidP="00990AA4">
            <w:pPr>
              <w:adjustRightInd w:val="0"/>
              <w:snapToGrid w:val="0"/>
              <w:spacing w:afterLines="50" w:after="180" w:line="400" w:lineRule="exact"/>
              <w:jc w:val="both"/>
              <w:rPr>
                <w:rFonts w:ascii="標楷體" w:eastAsia="標楷體" w:hAnsi="標楷體" w:cs="Times New Roman"/>
                <w:szCs w:val="24"/>
              </w:rPr>
            </w:pPr>
          </w:p>
          <w:p w:rsidR="00277B75" w:rsidRPr="009D519D" w:rsidRDefault="00277B75" w:rsidP="00990AA4">
            <w:pPr>
              <w:adjustRightInd w:val="0"/>
              <w:snapToGrid w:val="0"/>
              <w:spacing w:afterLines="50" w:after="180" w:line="400" w:lineRule="exact"/>
              <w:jc w:val="both"/>
              <w:rPr>
                <w:rFonts w:ascii="標楷體" w:eastAsia="標楷體" w:hAnsi="標楷體" w:cs="Times New Roman"/>
                <w:szCs w:val="24"/>
              </w:rPr>
            </w:pPr>
          </w:p>
          <w:p w:rsidR="00277B75" w:rsidRPr="009D519D" w:rsidRDefault="00277B75" w:rsidP="00990AA4">
            <w:pPr>
              <w:adjustRightInd w:val="0"/>
              <w:snapToGrid w:val="0"/>
              <w:spacing w:afterLines="50" w:after="180" w:line="400" w:lineRule="exact"/>
              <w:jc w:val="both"/>
              <w:rPr>
                <w:rFonts w:ascii="標楷體" w:eastAsia="標楷體" w:hAnsi="標楷體" w:cs="Times New Roman"/>
                <w:szCs w:val="24"/>
              </w:rPr>
            </w:pPr>
          </w:p>
          <w:p w:rsidR="00E2670C" w:rsidRPr="009D519D" w:rsidRDefault="00E2670C" w:rsidP="00990AA4">
            <w:pPr>
              <w:adjustRightInd w:val="0"/>
              <w:snapToGrid w:val="0"/>
              <w:spacing w:afterLines="50" w:after="180" w:line="400" w:lineRule="exact"/>
              <w:jc w:val="both"/>
              <w:rPr>
                <w:rFonts w:ascii="標楷體" w:eastAsia="標楷體" w:hAnsi="標楷體" w:cs="Times New Roman"/>
                <w:szCs w:val="24"/>
              </w:rPr>
            </w:pPr>
          </w:p>
          <w:p w:rsidR="00E2670C" w:rsidRPr="009D519D" w:rsidRDefault="00E2670C" w:rsidP="00990AA4">
            <w:pPr>
              <w:adjustRightInd w:val="0"/>
              <w:snapToGrid w:val="0"/>
              <w:spacing w:afterLines="50" w:after="180" w:line="400" w:lineRule="exact"/>
              <w:jc w:val="both"/>
              <w:rPr>
                <w:rFonts w:ascii="標楷體" w:eastAsia="標楷體" w:hAnsi="標楷體" w:cs="Times New Roman"/>
                <w:szCs w:val="24"/>
              </w:rPr>
            </w:pPr>
          </w:p>
          <w:p w:rsidR="00277B75" w:rsidRPr="009D519D" w:rsidRDefault="00277B75" w:rsidP="00277B75">
            <w:pPr>
              <w:adjustRightInd w:val="0"/>
              <w:snapToGrid w:val="0"/>
              <w:spacing w:line="400" w:lineRule="exact"/>
              <w:jc w:val="both"/>
              <w:rPr>
                <w:rFonts w:ascii="標楷體" w:eastAsia="標楷體" w:hAnsi="標楷體" w:cs="Times New Roman"/>
                <w:szCs w:val="24"/>
              </w:rPr>
            </w:pPr>
          </w:p>
          <w:p w:rsidR="005F2FEC" w:rsidRPr="009D519D" w:rsidRDefault="00CC4394" w:rsidP="00BE5E72">
            <w:pPr>
              <w:adjustRightInd w:val="0"/>
              <w:snapToGrid w:val="0"/>
              <w:spacing w:afterLines="50" w:after="180" w:line="400" w:lineRule="exact"/>
              <w:jc w:val="both"/>
              <w:rPr>
                <w:rFonts w:ascii="標楷體" w:eastAsia="標楷體" w:hAnsi="標楷體" w:cs="Times New Roman"/>
                <w:szCs w:val="24"/>
              </w:rPr>
            </w:pPr>
            <w:r w:rsidRPr="009D519D">
              <w:rPr>
                <w:rFonts w:ascii="標楷體" w:eastAsia="標楷體" w:hAnsi="標楷體" w:cs="Times New Roman" w:hint="eastAsia"/>
                <w:szCs w:val="24"/>
              </w:rPr>
              <w:t>依本施行要點第</w:t>
            </w:r>
            <w:r w:rsidR="00987523" w:rsidRPr="009D519D">
              <w:rPr>
                <w:rFonts w:ascii="標楷體" w:eastAsia="標楷體" w:hAnsi="標楷體" w:cs="Times New Roman" w:hint="eastAsia"/>
                <w:szCs w:val="24"/>
              </w:rPr>
              <w:t>三</w:t>
            </w:r>
            <w:r w:rsidRPr="009D519D">
              <w:rPr>
                <w:rFonts w:ascii="標楷體" w:eastAsia="標楷體" w:hAnsi="標楷體" w:cs="Times New Roman" w:hint="eastAsia"/>
                <w:szCs w:val="24"/>
              </w:rPr>
              <w:t>條(4)，其他報酬僅包含兩項目，</w:t>
            </w:r>
            <w:r w:rsidR="00CC3CF1" w:rsidRPr="009D519D">
              <w:rPr>
                <w:rFonts w:ascii="標楷體" w:eastAsia="標楷體" w:hAnsi="標楷體" w:cs="Times New Roman" w:hint="eastAsia"/>
                <w:szCs w:val="24"/>
              </w:rPr>
              <w:t>故刪除</w:t>
            </w:r>
            <w:r w:rsidR="00C76F38" w:rsidRPr="009D519D">
              <w:rPr>
                <w:rFonts w:ascii="標楷體" w:eastAsia="標楷體" w:hAnsi="標楷體" w:cs="Times New Roman" w:hint="eastAsia"/>
                <w:szCs w:val="24"/>
              </w:rPr>
              <w:t>現行</w:t>
            </w:r>
            <w:r w:rsidR="00614CC3" w:rsidRPr="009D519D">
              <w:rPr>
                <w:rFonts w:ascii="標楷體" w:eastAsia="標楷體" w:hAnsi="標楷體" w:cs="Times New Roman" w:hint="eastAsia"/>
                <w:szCs w:val="24"/>
              </w:rPr>
              <w:t>第三題</w:t>
            </w:r>
            <w:r w:rsidR="00C76F38" w:rsidRPr="009D519D">
              <w:rPr>
                <w:rFonts w:ascii="標楷體" w:eastAsia="標楷體" w:hAnsi="標楷體" w:cs="Times New Roman" w:hint="eastAsia"/>
                <w:szCs w:val="24"/>
              </w:rPr>
              <w:t>說明(三)</w:t>
            </w:r>
            <w:r w:rsidR="00CA5365" w:rsidRPr="009D519D">
              <w:rPr>
                <w:rFonts w:ascii="標楷體" w:eastAsia="標楷體" w:hAnsi="標楷體" w:cs="Times New Roman" w:hint="eastAsia"/>
                <w:szCs w:val="24"/>
              </w:rPr>
              <w:t>。</w:t>
            </w:r>
          </w:p>
          <w:p w:rsidR="005105DA" w:rsidRPr="009D519D" w:rsidRDefault="005105DA" w:rsidP="00990AA4">
            <w:pPr>
              <w:adjustRightInd w:val="0"/>
              <w:snapToGrid w:val="0"/>
              <w:spacing w:afterLines="50" w:after="180" w:line="400" w:lineRule="exact"/>
              <w:jc w:val="both"/>
              <w:rPr>
                <w:rFonts w:ascii="標楷體" w:eastAsia="標楷體" w:hAnsi="標楷體" w:cs="Times New Roman"/>
                <w:szCs w:val="24"/>
              </w:rPr>
            </w:pPr>
          </w:p>
          <w:p w:rsidR="005105DA" w:rsidRPr="009D519D" w:rsidRDefault="005105DA" w:rsidP="00990AA4">
            <w:pPr>
              <w:adjustRightInd w:val="0"/>
              <w:snapToGrid w:val="0"/>
              <w:spacing w:afterLines="50" w:after="180" w:line="400" w:lineRule="exact"/>
              <w:jc w:val="both"/>
              <w:rPr>
                <w:rFonts w:ascii="標楷體" w:eastAsia="標楷體" w:hAnsi="標楷體" w:cs="Times New Roman"/>
                <w:szCs w:val="24"/>
              </w:rPr>
            </w:pPr>
          </w:p>
          <w:p w:rsidR="005105DA" w:rsidRPr="009D519D" w:rsidRDefault="005105DA" w:rsidP="00990AA4">
            <w:pPr>
              <w:adjustRightInd w:val="0"/>
              <w:snapToGrid w:val="0"/>
              <w:spacing w:afterLines="50" w:after="180" w:line="400" w:lineRule="exact"/>
              <w:jc w:val="both"/>
              <w:rPr>
                <w:rFonts w:ascii="標楷體" w:eastAsia="標楷體" w:hAnsi="標楷體" w:cs="Times New Roman"/>
                <w:szCs w:val="24"/>
              </w:rPr>
            </w:pPr>
          </w:p>
          <w:p w:rsidR="005105DA" w:rsidRPr="009D519D" w:rsidRDefault="005105DA" w:rsidP="00990AA4">
            <w:pPr>
              <w:adjustRightInd w:val="0"/>
              <w:snapToGrid w:val="0"/>
              <w:spacing w:afterLines="50" w:after="180" w:line="400" w:lineRule="exact"/>
              <w:jc w:val="both"/>
              <w:rPr>
                <w:rFonts w:ascii="標楷體" w:eastAsia="標楷體" w:hAnsi="標楷體" w:cs="Times New Roman"/>
                <w:szCs w:val="24"/>
              </w:rPr>
            </w:pPr>
          </w:p>
          <w:p w:rsidR="00227DAD" w:rsidRPr="009D519D" w:rsidRDefault="00227DAD" w:rsidP="00990AA4">
            <w:pPr>
              <w:adjustRightInd w:val="0"/>
              <w:snapToGrid w:val="0"/>
              <w:spacing w:afterLines="50" w:after="180" w:line="400" w:lineRule="exact"/>
              <w:jc w:val="both"/>
              <w:rPr>
                <w:rFonts w:ascii="標楷體" w:eastAsia="標楷體" w:hAnsi="標楷體" w:cs="Times New Roman"/>
                <w:szCs w:val="24"/>
              </w:rPr>
            </w:pPr>
          </w:p>
          <w:p w:rsidR="00DB52A0" w:rsidRPr="009D519D" w:rsidRDefault="00DB52A0" w:rsidP="00990AA4">
            <w:pPr>
              <w:adjustRightInd w:val="0"/>
              <w:snapToGrid w:val="0"/>
              <w:spacing w:afterLines="50" w:after="180" w:line="400" w:lineRule="exact"/>
              <w:jc w:val="both"/>
              <w:rPr>
                <w:rFonts w:ascii="標楷體" w:eastAsia="標楷體" w:hAnsi="標楷體" w:cs="Times New Roman"/>
                <w:szCs w:val="24"/>
              </w:rPr>
            </w:pPr>
          </w:p>
          <w:p w:rsidR="00BE5E72" w:rsidRPr="009D519D" w:rsidRDefault="00BE5E72" w:rsidP="00BE5E72">
            <w:pPr>
              <w:adjustRightInd w:val="0"/>
              <w:snapToGrid w:val="0"/>
              <w:spacing w:afterLines="50" w:after="180" w:line="400" w:lineRule="exact"/>
              <w:jc w:val="both"/>
              <w:rPr>
                <w:rFonts w:ascii="標楷體" w:eastAsia="標楷體" w:hAnsi="標楷體" w:cs="Times New Roman"/>
                <w:szCs w:val="24"/>
              </w:rPr>
            </w:pPr>
          </w:p>
          <w:p w:rsidR="00BE5E72" w:rsidRPr="009D519D" w:rsidRDefault="00BE5E72" w:rsidP="00BE5E72">
            <w:pPr>
              <w:adjustRightInd w:val="0"/>
              <w:snapToGrid w:val="0"/>
              <w:spacing w:afterLines="50" w:after="180" w:line="400" w:lineRule="exact"/>
              <w:jc w:val="both"/>
              <w:rPr>
                <w:rFonts w:ascii="標楷體" w:eastAsia="標楷體" w:hAnsi="標楷體" w:cs="Times New Roman"/>
                <w:szCs w:val="24"/>
              </w:rPr>
            </w:pPr>
          </w:p>
          <w:p w:rsidR="00BE5E72" w:rsidRPr="009D519D" w:rsidRDefault="00BE5E72" w:rsidP="00BE5E72">
            <w:pPr>
              <w:adjustRightInd w:val="0"/>
              <w:snapToGrid w:val="0"/>
              <w:spacing w:afterLines="50" w:after="180" w:line="400" w:lineRule="exact"/>
              <w:jc w:val="both"/>
              <w:rPr>
                <w:rFonts w:ascii="標楷體" w:eastAsia="標楷體" w:hAnsi="標楷體" w:cs="Times New Roman"/>
                <w:szCs w:val="24"/>
              </w:rPr>
            </w:pPr>
          </w:p>
          <w:p w:rsidR="00BE5E72" w:rsidRPr="009D519D" w:rsidRDefault="00BE5E72" w:rsidP="00BE5E72">
            <w:pPr>
              <w:adjustRightInd w:val="0"/>
              <w:snapToGrid w:val="0"/>
              <w:spacing w:afterLines="50" w:after="180" w:line="400" w:lineRule="exact"/>
              <w:jc w:val="both"/>
              <w:rPr>
                <w:rFonts w:ascii="標楷體" w:eastAsia="標楷體" w:hAnsi="標楷體" w:cs="Times New Roman"/>
                <w:szCs w:val="24"/>
              </w:rPr>
            </w:pPr>
          </w:p>
          <w:p w:rsidR="00BE5E72" w:rsidRPr="009D519D" w:rsidRDefault="00BE5E72" w:rsidP="00BE5E72">
            <w:pPr>
              <w:adjustRightInd w:val="0"/>
              <w:snapToGrid w:val="0"/>
              <w:spacing w:afterLines="50" w:after="180" w:line="400" w:lineRule="exact"/>
              <w:jc w:val="both"/>
              <w:rPr>
                <w:rFonts w:ascii="標楷體" w:eastAsia="標楷體" w:hAnsi="標楷體" w:cs="Times New Roman"/>
                <w:szCs w:val="24"/>
              </w:rPr>
            </w:pPr>
          </w:p>
          <w:p w:rsidR="00BE5E72" w:rsidRPr="009D519D" w:rsidRDefault="00BE5E72" w:rsidP="00BE5E72">
            <w:pPr>
              <w:adjustRightInd w:val="0"/>
              <w:snapToGrid w:val="0"/>
              <w:spacing w:afterLines="50" w:after="180" w:line="400" w:lineRule="exact"/>
              <w:jc w:val="both"/>
              <w:rPr>
                <w:rFonts w:ascii="標楷體" w:eastAsia="標楷體" w:hAnsi="標楷體" w:cs="Times New Roman"/>
                <w:szCs w:val="24"/>
              </w:rPr>
            </w:pPr>
          </w:p>
          <w:p w:rsidR="00A82DAE" w:rsidRPr="009D519D" w:rsidRDefault="00F1571E" w:rsidP="003871BC">
            <w:pPr>
              <w:adjustRightInd w:val="0"/>
              <w:snapToGrid w:val="0"/>
              <w:spacing w:afterLines="50" w:after="180" w:line="400" w:lineRule="exact"/>
              <w:jc w:val="both"/>
              <w:rPr>
                <w:rFonts w:ascii="標楷體" w:eastAsia="標楷體" w:hAnsi="標楷體" w:cs="Times New Roman"/>
                <w:szCs w:val="24"/>
              </w:rPr>
            </w:pPr>
            <w:r w:rsidRPr="009D519D">
              <w:rPr>
                <w:rFonts w:ascii="標楷體" w:eastAsia="標楷體" w:hAnsi="標楷體" w:cs="Times New Roman" w:hint="eastAsia"/>
                <w:szCs w:val="24"/>
              </w:rPr>
              <w:t>刪除</w:t>
            </w:r>
            <w:r w:rsidR="00460EEE" w:rsidRPr="009D519D">
              <w:rPr>
                <w:rFonts w:ascii="標楷體" w:eastAsia="標楷體" w:hAnsi="標楷體" w:cs="Times New Roman" w:hint="eastAsia"/>
                <w:szCs w:val="24"/>
              </w:rPr>
              <w:t>現行第三題說明(四)</w:t>
            </w:r>
            <w:r w:rsidR="003871BC" w:rsidRPr="009D519D">
              <w:rPr>
                <w:rFonts w:ascii="標楷體" w:eastAsia="標楷體" w:hAnsi="標楷體" w:cs="Times New Roman" w:hint="eastAsia"/>
                <w:szCs w:val="24"/>
              </w:rPr>
              <w:t>。</w:t>
            </w:r>
            <w:r w:rsidR="002D01F1" w:rsidRPr="009D519D">
              <w:rPr>
                <w:rFonts w:ascii="標楷體" w:eastAsia="標楷體" w:hAnsi="標楷體" w:cs="Times New Roman" w:hint="eastAsia"/>
                <w:szCs w:val="24"/>
              </w:rPr>
              <w:t>文字調整後移至修正條文第四題說明(二)中規範。</w:t>
            </w:r>
          </w:p>
        </w:tc>
      </w:tr>
      <w:tr w:rsidR="009D519D" w:rsidRPr="009D519D" w:rsidTr="00720289">
        <w:trPr>
          <w:trHeight w:val="900"/>
        </w:trPr>
        <w:tc>
          <w:tcPr>
            <w:tcW w:w="3227" w:type="dxa"/>
            <w:tcBorders>
              <w:bottom w:val="single" w:sz="4" w:space="0" w:color="auto"/>
            </w:tcBorders>
          </w:tcPr>
          <w:p w:rsidR="003D0494" w:rsidRPr="009D519D" w:rsidRDefault="003D0494" w:rsidP="003D0494">
            <w:pPr>
              <w:adjustRightInd w:val="0"/>
              <w:snapToGrid w:val="0"/>
              <w:spacing w:afterLines="50" w:after="180" w:line="400" w:lineRule="exact"/>
              <w:jc w:val="both"/>
              <w:rPr>
                <w:rFonts w:ascii="標楷體" w:eastAsia="標楷體" w:hAnsi="標楷體" w:cs="Times New Roman"/>
                <w:szCs w:val="24"/>
              </w:rPr>
            </w:pPr>
            <w:r w:rsidRPr="009D519D">
              <w:rPr>
                <w:rFonts w:ascii="標楷體" w:eastAsia="標楷體" w:hAnsi="標楷體" w:cs="Times New Roman" w:hint="eastAsia"/>
                <w:szCs w:val="24"/>
                <w:u w:val="single"/>
              </w:rPr>
              <w:lastRenderedPageBreak/>
              <w:t>五</w:t>
            </w:r>
            <w:r w:rsidRPr="009D519D">
              <w:rPr>
                <w:rFonts w:ascii="標楷體" w:eastAsia="標楷體" w:hAnsi="標楷體" w:cs="Times New Roman" w:hint="eastAsia"/>
                <w:szCs w:val="24"/>
              </w:rPr>
              <w:t>、</w:t>
            </w:r>
            <w:r w:rsidRPr="009D519D">
              <w:rPr>
                <w:rFonts w:ascii="標楷體" w:eastAsia="標楷體" w:hAnsi="標楷體" w:cs="Times New Roman" w:hint="eastAsia"/>
                <w:szCs w:val="24"/>
                <w:u w:val="single"/>
              </w:rPr>
              <w:t>有關</w:t>
            </w:r>
            <w:r w:rsidRPr="009D519D">
              <w:rPr>
                <w:rFonts w:ascii="標楷體" w:eastAsia="標楷體" w:hAnsi="標楷體" w:cs="Times New Roman" w:hint="eastAsia"/>
                <w:szCs w:val="24"/>
              </w:rPr>
              <w:t>第四條揭露格式及原則，實務上應如何適用？</w:t>
            </w:r>
          </w:p>
          <w:p w:rsidR="003D0494" w:rsidRPr="009D519D" w:rsidRDefault="003D0494" w:rsidP="003D0494">
            <w:pPr>
              <w:adjustRightInd w:val="0"/>
              <w:snapToGrid w:val="0"/>
              <w:spacing w:afterLines="50" w:after="180" w:line="400" w:lineRule="exact"/>
              <w:jc w:val="both"/>
              <w:rPr>
                <w:rFonts w:ascii="標楷體" w:eastAsia="標楷體" w:hAnsi="標楷體" w:cs="Times New Roman"/>
                <w:szCs w:val="24"/>
              </w:rPr>
            </w:pPr>
            <w:r w:rsidRPr="009D519D">
              <w:rPr>
                <w:rFonts w:ascii="標楷體" w:eastAsia="標楷體" w:hAnsi="標楷體" w:cs="Times New Roman" w:hint="eastAsia"/>
                <w:szCs w:val="24"/>
              </w:rPr>
              <w:t>說明：</w:t>
            </w:r>
          </w:p>
          <w:p w:rsidR="003D0494" w:rsidRPr="009D519D" w:rsidRDefault="00C7626F" w:rsidP="00DB50B9">
            <w:pPr>
              <w:adjustRightInd w:val="0"/>
              <w:snapToGrid w:val="0"/>
              <w:spacing w:afterLines="50" w:after="180" w:line="400" w:lineRule="exact"/>
              <w:jc w:val="both"/>
              <w:rPr>
                <w:rFonts w:ascii="標楷體" w:eastAsia="標楷體" w:hAnsi="標楷體" w:cs="Times New Roman"/>
                <w:szCs w:val="24"/>
              </w:rPr>
            </w:pPr>
            <w:r w:rsidRPr="009D519D">
              <w:rPr>
                <w:rFonts w:ascii="標楷體" w:eastAsia="標楷體" w:hAnsi="標楷體" w:cs="Times New Roman" w:hint="eastAsia"/>
                <w:szCs w:val="24"/>
              </w:rPr>
              <w:t>(</w:t>
            </w:r>
            <w:proofErr w:type="gramStart"/>
            <w:r w:rsidRPr="009D519D">
              <w:rPr>
                <w:rFonts w:ascii="標楷體" w:eastAsia="標楷體" w:hAnsi="標楷體" w:cs="Times New Roman" w:hint="eastAsia"/>
                <w:szCs w:val="24"/>
              </w:rPr>
              <w:t>一</w:t>
            </w:r>
            <w:proofErr w:type="gramEnd"/>
            <w:r w:rsidRPr="009D519D">
              <w:rPr>
                <w:rFonts w:ascii="標楷體" w:eastAsia="標楷體" w:hAnsi="標楷體" w:cs="Times New Roman" w:hint="eastAsia"/>
                <w:szCs w:val="24"/>
              </w:rPr>
              <w:t>)</w:t>
            </w:r>
            <w:r w:rsidR="003D0494" w:rsidRPr="009D519D">
              <w:rPr>
                <w:rFonts w:ascii="標楷體" w:eastAsia="標楷體" w:hAnsi="標楷體" w:cs="Times New Roman" w:hint="eastAsia"/>
                <w:szCs w:val="24"/>
              </w:rPr>
              <w:t>以基金別揭露；但</w:t>
            </w:r>
            <w:r w:rsidR="00A937D5" w:rsidRPr="009D519D">
              <w:rPr>
                <w:rFonts w:ascii="標楷體" w:eastAsia="標楷體" w:hAnsi="標楷體" w:cs="Times New Roman" w:hint="eastAsia"/>
                <w:szCs w:val="24"/>
                <w:u w:val="single"/>
              </w:rPr>
              <w:t>同一證券投資信託事業或境外基金機構及總代理人，通路報酬費率相同之基金，</w:t>
            </w:r>
            <w:r w:rsidR="003D0494" w:rsidRPr="009D519D">
              <w:rPr>
                <w:rFonts w:ascii="標楷體" w:eastAsia="標楷體" w:hAnsi="標楷體" w:cs="Times New Roman" w:hint="eastAsia"/>
                <w:szCs w:val="24"/>
                <w:u w:val="single"/>
              </w:rPr>
              <w:t>銷售機構可選擇</w:t>
            </w:r>
            <w:r w:rsidR="00192324" w:rsidRPr="009D519D">
              <w:rPr>
                <w:rFonts w:ascii="標楷體" w:eastAsia="標楷體" w:hAnsi="標楷體" w:cs="Times New Roman" w:hint="eastAsia"/>
                <w:szCs w:val="24"/>
                <w:u w:val="single"/>
              </w:rPr>
              <w:t>詳列於</w:t>
            </w:r>
            <w:r w:rsidR="00B416AC" w:rsidRPr="009D519D">
              <w:rPr>
                <w:rFonts w:ascii="標楷體" w:eastAsia="標楷體" w:hAnsi="標楷體" w:cs="Times New Roman" w:hint="eastAsia"/>
                <w:szCs w:val="24"/>
                <w:u w:val="single"/>
              </w:rPr>
              <w:t>附註列表之方式</w:t>
            </w:r>
            <w:r w:rsidR="00A937D5" w:rsidRPr="009D519D">
              <w:rPr>
                <w:rFonts w:ascii="標楷體" w:eastAsia="標楷體" w:hAnsi="標楷體" w:cs="Times New Roman" w:hint="eastAsia"/>
                <w:szCs w:val="24"/>
                <w:u w:val="single"/>
              </w:rPr>
              <w:t>共用一份</w:t>
            </w:r>
            <w:r w:rsidR="00F6601F" w:rsidRPr="009D519D">
              <w:rPr>
                <w:rFonts w:ascii="標楷體" w:eastAsia="標楷體" w:hAnsi="標楷體" w:cs="Times New Roman" w:hint="eastAsia"/>
                <w:szCs w:val="24"/>
                <w:u w:val="single"/>
              </w:rPr>
              <w:t>揭露文件</w:t>
            </w:r>
            <w:r w:rsidR="00A937D5" w:rsidRPr="009D519D">
              <w:rPr>
                <w:rFonts w:ascii="標楷體" w:eastAsia="標楷體" w:hAnsi="標楷體" w:cs="Times New Roman" w:hint="eastAsia"/>
                <w:szCs w:val="24"/>
                <w:u w:val="single"/>
              </w:rPr>
              <w:t>，或於網路頁面或語音播放一起詳列及說明</w:t>
            </w:r>
            <w:r w:rsidR="00140216" w:rsidRPr="009D519D">
              <w:rPr>
                <w:rFonts w:ascii="標楷體" w:eastAsia="標楷體" w:hAnsi="標楷體" w:cs="Times New Roman" w:hint="eastAsia"/>
                <w:szCs w:val="24"/>
                <w:u w:val="single"/>
              </w:rPr>
              <w:t>。</w:t>
            </w:r>
            <w:r w:rsidRPr="009D519D">
              <w:rPr>
                <w:rFonts w:ascii="標楷體" w:eastAsia="標楷體" w:hAnsi="標楷體" w:cs="Times New Roman" w:hint="eastAsia"/>
                <w:szCs w:val="24"/>
                <w:u w:val="single"/>
              </w:rPr>
              <w:t>投資人於同次交易</w:t>
            </w:r>
            <w:r w:rsidR="00B416AC" w:rsidRPr="009D519D">
              <w:rPr>
                <w:rFonts w:ascii="標楷體" w:eastAsia="標楷體" w:hAnsi="標楷體" w:cs="Times New Roman" w:hint="eastAsia"/>
                <w:szCs w:val="24"/>
                <w:u w:val="single"/>
              </w:rPr>
              <w:t>，</w:t>
            </w:r>
            <w:r w:rsidRPr="009D519D">
              <w:rPr>
                <w:rFonts w:ascii="標楷體" w:eastAsia="標楷體" w:hAnsi="標楷體" w:cs="Times New Roman" w:hint="eastAsia"/>
                <w:szCs w:val="24"/>
                <w:u w:val="single"/>
              </w:rPr>
              <w:t>申購</w:t>
            </w:r>
            <w:r w:rsidR="00B416AC" w:rsidRPr="009D519D">
              <w:rPr>
                <w:rFonts w:ascii="標楷體" w:eastAsia="標楷體" w:hAnsi="標楷體" w:cs="Times New Roman" w:hint="eastAsia"/>
                <w:szCs w:val="24"/>
                <w:u w:val="single"/>
              </w:rPr>
              <w:t>一起詳列及說明之基金</w:t>
            </w:r>
            <w:r w:rsidRPr="009D519D">
              <w:rPr>
                <w:rFonts w:ascii="標楷體" w:eastAsia="標楷體" w:hAnsi="標楷體" w:cs="Times New Roman" w:hint="eastAsia"/>
                <w:szCs w:val="24"/>
                <w:u w:val="single"/>
              </w:rPr>
              <w:t>，不用重行簽署</w:t>
            </w:r>
            <w:r w:rsidR="00B416AC" w:rsidRPr="009D519D">
              <w:rPr>
                <w:rFonts w:ascii="標楷體" w:eastAsia="標楷體" w:hAnsi="標楷體" w:cs="Times New Roman" w:hint="eastAsia"/>
                <w:szCs w:val="24"/>
                <w:u w:val="single"/>
              </w:rPr>
              <w:t>或確認</w:t>
            </w:r>
            <w:r w:rsidRPr="009D519D">
              <w:rPr>
                <w:rFonts w:ascii="標楷體" w:eastAsia="標楷體" w:hAnsi="標楷體" w:cs="Times New Roman" w:hint="eastAsia"/>
                <w:szCs w:val="24"/>
              </w:rPr>
              <w:t>。</w:t>
            </w:r>
          </w:p>
        </w:tc>
        <w:tc>
          <w:tcPr>
            <w:tcW w:w="3227" w:type="dxa"/>
            <w:tcBorders>
              <w:bottom w:val="single" w:sz="4" w:space="0" w:color="auto"/>
            </w:tcBorders>
          </w:tcPr>
          <w:p w:rsidR="003D0494" w:rsidRPr="009D519D" w:rsidRDefault="003D0494" w:rsidP="003D0494">
            <w:pPr>
              <w:adjustRightInd w:val="0"/>
              <w:snapToGrid w:val="0"/>
              <w:spacing w:afterLines="50" w:after="180" w:line="400" w:lineRule="exact"/>
              <w:jc w:val="both"/>
              <w:rPr>
                <w:rFonts w:ascii="標楷體" w:eastAsia="標楷體" w:hAnsi="標楷體" w:cs="Times New Roman"/>
                <w:szCs w:val="24"/>
              </w:rPr>
            </w:pPr>
            <w:r w:rsidRPr="009D519D">
              <w:rPr>
                <w:rFonts w:ascii="標楷體" w:eastAsia="標楷體" w:hAnsi="標楷體" w:cs="Times New Roman" w:hint="eastAsia"/>
                <w:szCs w:val="24"/>
                <w:u w:val="single"/>
              </w:rPr>
              <w:t>四</w:t>
            </w:r>
            <w:r w:rsidRPr="009D519D">
              <w:rPr>
                <w:rFonts w:ascii="標楷體" w:eastAsia="標楷體" w:hAnsi="標楷體" w:cs="Times New Roman" w:hint="eastAsia"/>
                <w:szCs w:val="24"/>
              </w:rPr>
              <w:t>、</w:t>
            </w:r>
            <w:r w:rsidRPr="009D519D">
              <w:rPr>
                <w:rFonts w:ascii="標楷體" w:eastAsia="標楷體" w:hAnsi="標楷體" w:cs="Times New Roman" w:hint="eastAsia"/>
                <w:szCs w:val="24"/>
                <w:u w:val="single"/>
              </w:rPr>
              <w:t>就</w:t>
            </w:r>
            <w:r w:rsidRPr="009D519D">
              <w:rPr>
                <w:rFonts w:ascii="標楷體" w:eastAsia="標楷體" w:hAnsi="標楷體" w:cs="Times New Roman" w:hint="eastAsia"/>
                <w:szCs w:val="24"/>
              </w:rPr>
              <w:t>第四條揭露格式及原則，實務上應如何適用？</w:t>
            </w:r>
          </w:p>
          <w:p w:rsidR="003D0494" w:rsidRPr="009D519D" w:rsidRDefault="003D0494" w:rsidP="003D0494">
            <w:pPr>
              <w:adjustRightInd w:val="0"/>
              <w:snapToGrid w:val="0"/>
              <w:spacing w:afterLines="50" w:after="180" w:line="400" w:lineRule="exact"/>
              <w:jc w:val="both"/>
              <w:rPr>
                <w:rFonts w:ascii="標楷體" w:eastAsia="標楷體" w:hAnsi="標楷體" w:cs="Times New Roman"/>
                <w:szCs w:val="24"/>
              </w:rPr>
            </w:pPr>
            <w:r w:rsidRPr="009D519D">
              <w:rPr>
                <w:rFonts w:ascii="標楷體" w:eastAsia="標楷體" w:hAnsi="標楷體" w:cs="Times New Roman" w:hint="eastAsia"/>
                <w:szCs w:val="24"/>
              </w:rPr>
              <w:t>說明：</w:t>
            </w:r>
          </w:p>
          <w:p w:rsidR="003D0494" w:rsidRPr="009D519D" w:rsidRDefault="003D0494" w:rsidP="003D0494">
            <w:pPr>
              <w:adjustRightInd w:val="0"/>
              <w:snapToGrid w:val="0"/>
              <w:spacing w:afterLines="50" w:after="180" w:line="400" w:lineRule="exact"/>
              <w:jc w:val="both"/>
              <w:rPr>
                <w:rFonts w:ascii="標楷體" w:eastAsia="標楷體" w:hAnsi="標楷體" w:cs="Times New Roman"/>
                <w:szCs w:val="24"/>
                <w:u w:val="single"/>
              </w:rPr>
            </w:pPr>
            <w:r w:rsidRPr="009D519D">
              <w:rPr>
                <w:rFonts w:ascii="標楷體" w:eastAsia="標楷體" w:hAnsi="標楷體" w:cs="Times New Roman" w:hint="eastAsia"/>
                <w:szCs w:val="24"/>
              </w:rPr>
              <w:t>(</w:t>
            </w:r>
            <w:proofErr w:type="gramStart"/>
            <w:r w:rsidRPr="009D519D">
              <w:rPr>
                <w:rFonts w:ascii="標楷體" w:eastAsia="標楷體" w:hAnsi="標楷體" w:cs="Times New Roman" w:hint="eastAsia"/>
                <w:szCs w:val="24"/>
              </w:rPr>
              <w:t>一</w:t>
            </w:r>
            <w:proofErr w:type="gramEnd"/>
            <w:r w:rsidRPr="009D519D">
              <w:rPr>
                <w:rFonts w:ascii="標楷體" w:eastAsia="標楷體" w:hAnsi="標楷體" w:cs="Times New Roman" w:hint="eastAsia"/>
                <w:szCs w:val="24"/>
              </w:rPr>
              <w:t>)以基金別揭露；但銷售機構可選擇以附註列表之方式將同一證券投資信託事業或境外基金機構及總代理人，通路報酬費率相同之基金，共用一份說明資料。</w:t>
            </w:r>
          </w:p>
        </w:tc>
        <w:tc>
          <w:tcPr>
            <w:tcW w:w="3227" w:type="dxa"/>
            <w:tcBorders>
              <w:bottom w:val="single" w:sz="4" w:space="0" w:color="auto"/>
            </w:tcBorders>
          </w:tcPr>
          <w:p w:rsidR="003D0494" w:rsidRPr="009D519D" w:rsidRDefault="003D0494" w:rsidP="00990AA4">
            <w:pPr>
              <w:adjustRightInd w:val="0"/>
              <w:snapToGrid w:val="0"/>
              <w:spacing w:afterLines="50" w:after="180" w:line="400" w:lineRule="exact"/>
              <w:jc w:val="both"/>
              <w:rPr>
                <w:rFonts w:ascii="標楷體" w:eastAsia="標楷體" w:hAnsi="標楷體" w:cs="Times New Roman"/>
                <w:szCs w:val="24"/>
              </w:rPr>
            </w:pPr>
            <w:proofErr w:type="gramStart"/>
            <w:r w:rsidRPr="009D519D">
              <w:rPr>
                <w:rFonts w:ascii="標楷體" w:eastAsia="標楷體" w:hAnsi="標楷體" w:cs="Times New Roman" w:hint="eastAsia"/>
                <w:szCs w:val="24"/>
              </w:rPr>
              <w:t>題次調整</w:t>
            </w:r>
            <w:proofErr w:type="gramEnd"/>
            <w:r w:rsidRPr="009D519D">
              <w:rPr>
                <w:rFonts w:ascii="標楷體" w:eastAsia="標楷體" w:hAnsi="標楷體" w:cs="Times New Roman" w:hint="eastAsia"/>
                <w:szCs w:val="24"/>
              </w:rPr>
              <w:t>。</w:t>
            </w:r>
          </w:p>
          <w:p w:rsidR="00486B3C" w:rsidRPr="009D519D" w:rsidRDefault="00486B3C" w:rsidP="00990AA4">
            <w:pPr>
              <w:adjustRightInd w:val="0"/>
              <w:snapToGrid w:val="0"/>
              <w:spacing w:afterLines="50" w:after="180" w:line="400" w:lineRule="exact"/>
              <w:jc w:val="both"/>
              <w:rPr>
                <w:rFonts w:ascii="標楷體" w:eastAsia="標楷體" w:hAnsi="標楷體" w:cs="Times New Roman"/>
                <w:szCs w:val="24"/>
              </w:rPr>
            </w:pPr>
          </w:p>
          <w:p w:rsidR="00140216" w:rsidRPr="009D519D" w:rsidRDefault="00140216" w:rsidP="00990AA4">
            <w:pPr>
              <w:adjustRightInd w:val="0"/>
              <w:snapToGrid w:val="0"/>
              <w:spacing w:afterLines="50" w:after="180" w:line="400" w:lineRule="exact"/>
              <w:jc w:val="both"/>
              <w:rPr>
                <w:rFonts w:ascii="標楷體" w:eastAsia="標楷體" w:hAnsi="標楷體" w:cs="Times New Roman"/>
                <w:szCs w:val="24"/>
              </w:rPr>
            </w:pPr>
          </w:p>
          <w:p w:rsidR="00B4290E" w:rsidRPr="009D519D" w:rsidRDefault="00486B3C" w:rsidP="00B4290E">
            <w:pPr>
              <w:pStyle w:val="a9"/>
              <w:numPr>
                <w:ilvl w:val="0"/>
                <w:numId w:val="25"/>
              </w:numPr>
              <w:adjustRightInd w:val="0"/>
              <w:snapToGrid w:val="0"/>
              <w:spacing w:afterLines="50" w:after="180" w:line="400" w:lineRule="exact"/>
              <w:ind w:leftChars="0"/>
              <w:jc w:val="both"/>
              <w:rPr>
                <w:rFonts w:ascii="標楷體" w:eastAsia="標楷體" w:hAnsi="標楷體" w:cs="Times New Roman"/>
                <w:szCs w:val="24"/>
              </w:rPr>
            </w:pPr>
            <w:r w:rsidRPr="009D519D">
              <w:rPr>
                <w:rFonts w:ascii="標楷體" w:eastAsia="標楷體" w:hAnsi="標楷體" w:cs="Times New Roman" w:hint="eastAsia"/>
                <w:szCs w:val="24"/>
              </w:rPr>
              <w:t>現行第四題說明(二)2.(2)，有關「倘投資人於同次交易申購附註列表內之基金，不用重行簽署。」部分，移至修正條文第五題說明(</w:t>
            </w:r>
            <w:proofErr w:type="gramStart"/>
            <w:r w:rsidRPr="009D519D">
              <w:rPr>
                <w:rFonts w:ascii="標楷體" w:eastAsia="標楷體" w:hAnsi="標楷體" w:cs="Times New Roman" w:hint="eastAsia"/>
                <w:szCs w:val="24"/>
              </w:rPr>
              <w:t>一</w:t>
            </w:r>
            <w:proofErr w:type="gramEnd"/>
            <w:r w:rsidRPr="009D519D">
              <w:rPr>
                <w:rFonts w:ascii="標楷體" w:eastAsia="標楷體" w:hAnsi="標楷體" w:cs="Times New Roman" w:hint="eastAsia"/>
                <w:szCs w:val="24"/>
              </w:rPr>
              <w:t>)中規範</w:t>
            </w:r>
            <w:r w:rsidR="00587465" w:rsidRPr="009D519D">
              <w:rPr>
                <w:rFonts w:ascii="標楷體" w:eastAsia="標楷體" w:hAnsi="標楷體" w:cs="Times New Roman" w:hint="eastAsia"/>
                <w:szCs w:val="24"/>
              </w:rPr>
              <w:t>。</w:t>
            </w:r>
          </w:p>
          <w:p w:rsidR="00B4290E" w:rsidRPr="009D519D" w:rsidRDefault="00B4290E" w:rsidP="009C5698">
            <w:pPr>
              <w:pStyle w:val="a9"/>
              <w:numPr>
                <w:ilvl w:val="0"/>
                <w:numId w:val="25"/>
              </w:numPr>
              <w:adjustRightInd w:val="0"/>
              <w:snapToGrid w:val="0"/>
              <w:spacing w:afterLines="50" w:after="180" w:line="400" w:lineRule="exact"/>
              <w:ind w:leftChars="0"/>
              <w:jc w:val="both"/>
              <w:rPr>
                <w:rFonts w:ascii="標楷體" w:eastAsia="標楷體" w:hAnsi="標楷體" w:cs="Times New Roman"/>
                <w:szCs w:val="24"/>
              </w:rPr>
            </w:pPr>
            <w:r w:rsidRPr="009D519D">
              <w:rPr>
                <w:rFonts w:ascii="標楷體" w:eastAsia="標楷體" w:hAnsi="標楷體" w:cs="Times New Roman" w:hint="eastAsia"/>
                <w:szCs w:val="24"/>
              </w:rPr>
              <w:t>現行第二題說明(四)，銷售機構可選擇將通路報酬費率相同之基金，於</w:t>
            </w:r>
            <w:r w:rsidR="00B416AC" w:rsidRPr="009D519D">
              <w:rPr>
                <w:rFonts w:ascii="標楷體" w:eastAsia="標楷體" w:hAnsi="標楷體" w:cs="Times New Roman" w:hint="eastAsia"/>
                <w:szCs w:val="24"/>
              </w:rPr>
              <w:t>揭露文件、</w:t>
            </w:r>
            <w:r w:rsidRPr="009D519D">
              <w:rPr>
                <w:rFonts w:ascii="標楷體" w:eastAsia="標楷體" w:hAnsi="標楷體" w:cs="Times New Roman" w:hint="eastAsia"/>
                <w:szCs w:val="24"/>
              </w:rPr>
              <w:t>網路頁面或語音播放一起詳列及說明，調整至修正條文第五題說明(</w:t>
            </w:r>
            <w:proofErr w:type="gramStart"/>
            <w:r w:rsidRPr="009D519D">
              <w:rPr>
                <w:rFonts w:ascii="標楷體" w:eastAsia="標楷體" w:hAnsi="標楷體" w:cs="Times New Roman" w:hint="eastAsia"/>
                <w:szCs w:val="24"/>
              </w:rPr>
              <w:t>一</w:t>
            </w:r>
            <w:proofErr w:type="gramEnd"/>
            <w:r w:rsidRPr="009D519D">
              <w:rPr>
                <w:rFonts w:ascii="標楷體" w:eastAsia="標楷體" w:hAnsi="標楷體" w:cs="Times New Roman" w:hint="eastAsia"/>
                <w:szCs w:val="24"/>
              </w:rPr>
              <w:t>)規範。</w:t>
            </w:r>
          </w:p>
        </w:tc>
      </w:tr>
      <w:tr w:rsidR="009D519D" w:rsidRPr="009D519D" w:rsidTr="00720289">
        <w:trPr>
          <w:trHeight w:val="900"/>
        </w:trPr>
        <w:tc>
          <w:tcPr>
            <w:tcW w:w="3227" w:type="dxa"/>
            <w:tcBorders>
              <w:top w:val="single" w:sz="4" w:space="0" w:color="auto"/>
              <w:bottom w:val="single" w:sz="4" w:space="0" w:color="auto"/>
            </w:tcBorders>
          </w:tcPr>
          <w:p w:rsidR="003D0494" w:rsidRPr="009D519D" w:rsidRDefault="008A73DF" w:rsidP="003D0494">
            <w:pPr>
              <w:adjustRightInd w:val="0"/>
              <w:snapToGrid w:val="0"/>
              <w:spacing w:afterLines="50" w:after="180" w:line="400" w:lineRule="exact"/>
              <w:jc w:val="both"/>
              <w:rPr>
                <w:rFonts w:ascii="標楷體" w:eastAsia="標楷體" w:hAnsi="標楷體" w:cs="Times New Roman"/>
                <w:szCs w:val="24"/>
              </w:rPr>
            </w:pPr>
            <w:r w:rsidRPr="009D519D">
              <w:rPr>
                <w:rFonts w:ascii="標楷體" w:eastAsia="標楷體" w:hAnsi="標楷體" w:cs="Times New Roman" w:hint="eastAsia"/>
                <w:szCs w:val="24"/>
                <w:u w:val="single"/>
              </w:rPr>
              <w:t>(二)境外基金機構、總代理人或證券投資信託事業贊助或提供多家且特定銷售機構本</w:t>
            </w:r>
            <w:r w:rsidRPr="009D519D">
              <w:rPr>
                <w:rFonts w:ascii="標楷體" w:eastAsia="標楷體" w:hAnsi="標楷體" w:cs="Times New Roman" w:hint="eastAsia"/>
                <w:szCs w:val="24"/>
                <w:u w:val="single"/>
              </w:rPr>
              <w:lastRenderedPageBreak/>
              <w:t>施行要點第三條(3)贊助或提供對銷售機構之產品說明會及員工教育訓練及(4)其他報酬，相關通路報酬之分攤方式由境外基金機構、總代理人或證券投資信託事業與銷售機構間自行決定之。</w:t>
            </w:r>
          </w:p>
          <w:p w:rsidR="003D0494" w:rsidRPr="009D519D" w:rsidRDefault="003D0494" w:rsidP="00990AA4">
            <w:pPr>
              <w:adjustRightInd w:val="0"/>
              <w:snapToGrid w:val="0"/>
              <w:spacing w:afterLines="50" w:after="180" w:line="400" w:lineRule="exact"/>
              <w:jc w:val="both"/>
              <w:rPr>
                <w:rFonts w:ascii="標楷體" w:eastAsia="標楷體" w:hAnsi="標楷體" w:cs="Times New Roman"/>
                <w:szCs w:val="24"/>
              </w:rPr>
            </w:pPr>
          </w:p>
          <w:p w:rsidR="00FE4E40" w:rsidRPr="009D519D" w:rsidRDefault="00FE4E40" w:rsidP="00990AA4">
            <w:pPr>
              <w:adjustRightInd w:val="0"/>
              <w:snapToGrid w:val="0"/>
              <w:spacing w:afterLines="50" w:after="180" w:line="400" w:lineRule="exact"/>
              <w:jc w:val="both"/>
              <w:rPr>
                <w:rFonts w:ascii="標楷體" w:eastAsia="標楷體" w:hAnsi="標楷體" w:cs="Times New Roman"/>
                <w:szCs w:val="24"/>
              </w:rPr>
            </w:pPr>
          </w:p>
          <w:p w:rsidR="008A73DF" w:rsidRPr="009D519D" w:rsidRDefault="008A73DF" w:rsidP="00990AA4">
            <w:pPr>
              <w:adjustRightInd w:val="0"/>
              <w:snapToGrid w:val="0"/>
              <w:spacing w:afterLines="50" w:after="180" w:line="400" w:lineRule="exact"/>
              <w:jc w:val="both"/>
              <w:rPr>
                <w:rFonts w:ascii="標楷體" w:eastAsia="標楷體" w:hAnsi="標楷體" w:cs="Times New Roman"/>
                <w:szCs w:val="24"/>
              </w:rPr>
            </w:pPr>
          </w:p>
        </w:tc>
        <w:tc>
          <w:tcPr>
            <w:tcW w:w="3227" w:type="dxa"/>
            <w:tcBorders>
              <w:top w:val="single" w:sz="4" w:space="0" w:color="auto"/>
              <w:bottom w:val="single" w:sz="4" w:space="0" w:color="auto"/>
            </w:tcBorders>
          </w:tcPr>
          <w:p w:rsidR="003D0494" w:rsidRPr="009D519D" w:rsidRDefault="003D0494" w:rsidP="003D0494">
            <w:pPr>
              <w:adjustRightInd w:val="0"/>
              <w:snapToGrid w:val="0"/>
              <w:spacing w:afterLines="50" w:after="180" w:line="400" w:lineRule="exact"/>
              <w:jc w:val="both"/>
              <w:rPr>
                <w:rFonts w:ascii="標楷體" w:eastAsia="標楷體" w:hAnsi="標楷體" w:cs="Times New Roman"/>
                <w:szCs w:val="24"/>
              </w:rPr>
            </w:pPr>
            <w:r w:rsidRPr="009D519D">
              <w:rPr>
                <w:rFonts w:ascii="標楷體" w:eastAsia="標楷體" w:hAnsi="標楷體" w:cs="Times New Roman" w:hint="eastAsia"/>
                <w:szCs w:val="24"/>
              </w:rPr>
              <w:lastRenderedPageBreak/>
              <w:t>（二）</w:t>
            </w:r>
            <w:r w:rsidRPr="009D519D">
              <w:rPr>
                <w:rFonts w:ascii="標楷體" w:eastAsia="標楷體" w:hAnsi="標楷體" w:cs="Times New Roman" w:hint="eastAsia"/>
                <w:szCs w:val="24"/>
                <w:u w:val="single"/>
              </w:rPr>
              <w:t>就</w:t>
            </w:r>
            <w:r w:rsidRPr="009D519D">
              <w:rPr>
                <w:rFonts w:ascii="標楷體" w:eastAsia="標楷體" w:hAnsi="標楷體" w:cs="Times New Roman" w:hint="eastAsia"/>
                <w:szCs w:val="24"/>
              </w:rPr>
              <w:t>揭露格式範本：</w:t>
            </w:r>
          </w:p>
          <w:p w:rsidR="003D0494" w:rsidRPr="009D519D" w:rsidRDefault="003D0494" w:rsidP="003D0494">
            <w:pPr>
              <w:adjustRightInd w:val="0"/>
              <w:snapToGrid w:val="0"/>
              <w:spacing w:afterLines="50" w:after="180" w:line="400" w:lineRule="exact"/>
              <w:jc w:val="both"/>
              <w:rPr>
                <w:rFonts w:ascii="標楷體" w:eastAsia="標楷體" w:hAnsi="標楷體" w:cs="Times New Roman"/>
                <w:szCs w:val="24"/>
                <w:u w:val="single"/>
              </w:rPr>
            </w:pPr>
            <w:r w:rsidRPr="009D519D">
              <w:rPr>
                <w:rFonts w:ascii="標楷體" w:eastAsia="標楷體" w:hAnsi="標楷體" w:cs="Times New Roman" w:hint="eastAsia"/>
                <w:szCs w:val="24"/>
                <w:u w:val="single"/>
              </w:rPr>
              <w:t>1.銷售機構可就自身業務情</w:t>
            </w:r>
            <w:r w:rsidRPr="009D519D">
              <w:rPr>
                <w:rFonts w:ascii="標楷體" w:eastAsia="標楷體" w:hAnsi="標楷體" w:cs="Times New Roman" w:hint="eastAsia"/>
                <w:szCs w:val="24"/>
                <w:u w:val="single"/>
              </w:rPr>
              <w:lastRenderedPageBreak/>
              <w:t>況作字句的調整，如本公司（銀行）改成本公司；○○投信○○基金，改成○○公司○○基金等。</w:t>
            </w:r>
          </w:p>
          <w:p w:rsidR="003D0494" w:rsidRPr="009D519D" w:rsidRDefault="003D0494" w:rsidP="003D0494">
            <w:pPr>
              <w:adjustRightInd w:val="0"/>
              <w:snapToGrid w:val="0"/>
              <w:spacing w:afterLines="50" w:after="180" w:line="400" w:lineRule="exact"/>
              <w:jc w:val="both"/>
              <w:rPr>
                <w:rFonts w:ascii="標楷體" w:eastAsia="標楷體" w:hAnsi="標楷體" w:cs="Times New Roman"/>
                <w:szCs w:val="24"/>
                <w:u w:val="single"/>
              </w:rPr>
            </w:pPr>
            <w:r w:rsidRPr="009D519D">
              <w:rPr>
                <w:rFonts w:ascii="標楷體" w:eastAsia="標楷體" w:hAnsi="標楷體" w:cs="Times New Roman" w:hint="eastAsia"/>
                <w:szCs w:val="24"/>
                <w:u w:val="single"/>
              </w:rPr>
              <w:t>2.表頭「本公司（銀行）銷售○○投信「○○基金」所收取之通路報酬如下：」，有關「基金別」的呈現方式有下：</w:t>
            </w:r>
          </w:p>
          <w:p w:rsidR="003D0494" w:rsidRPr="009D519D" w:rsidRDefault="003D0494" w:rsidP="003D0494">
            <w:pPr>
              <w:adjustRightInd w:val="0"/>
              <w:snapToGrid w:val="0"/>
              <w:spacing w:afterLines="50" w:after="180" w:line="400" w:lineRule="exact"/>
              <w:jc w:val="both"/>
              <w:rPr>
                <w:rFonts w:ascii="標楷體" w:eastAsia="標楷體" w:hAnsi="標楷體" w:cs="Times New Roman"/>
                <w:szCs w:val="24"/>
                <w:u w:val="single"/>
              </w:rPr>
            </w:pPr>
            <w:r w:rsidRPr="009D519D">
              <w:rPr>
                <w:rFonts w:ascii="標楷體" w:eastAsia="標楷體" w:hAnsi="標楷體" w:cs="Times New Roman" w:hint="eastAsia"/>
                <w:szCs w:val="24"/>
                <w:u w:val="single"/>
              </w:rPr>
              <w:t>(1)本公司（銀行）銷售○○投信「○○基金」（或其附表所列基金），並得同步調整相關欄位。</w:t>
            </w:r>
          </w:p>
        </w:tc>
        <w:tc>
          <w:tcPr>
            <w:tcW w:w="3227" w:type="dxa"/>
            <w:tcBorders>
              <w:top w:val="single" w:sz="4" w:space="0" w:color="auto"/>
              <w:bottom w:val="single" w:sz="4" w:space="0" w:color="auto"/>
            </w:tcBorders>
          </w:tcPr>
          <w:p w:rsidR="00254DC3" w:rsidRPr="009D519D" w:rsidRDefault="00E10CA8" w:rsidP="00254DC3">
            <w:pPr>
              <w:adjustRightInd w:val="0"/>
              <w:snapToGrid w:val="0"/>
              <w:spacing w:afterLines="50" w:after="180" w:line="400" w:lineRule="exact"/>
              <w:ind w:leftChars="-32" w:left="348" w:hangingChars="177" w:hanging="425"/>
              <w:jc w:val="both"/>
              <w:rPr>
                <w:rFonts w:ascii="標楷體" w:eastAsia="標楷體" w:hAnsi="標楷體" w:cs="Times New Roman"/>
                <w:szCs w:val="24"/>
              </w:rPr>
            </w:pPr>
            <w:r w:rsidRPr="009D519D">
              <w:rPr>
                <w:rFonts w:ascii="標楷體" w:eastAsia="標楷體" w:hAnsi="標楷體" w:cs="Times New Roman" w:hint="eastAsia"/>
                <w:szCs w:val="24"/>
              </w:rPr>
              <w:lastRenderedPageBreak/>
              <w:t>1</w:t>
            </w:r>
            <w:r w:rsidR="00254DC3" w:rsidRPr="009D519D">
              <w:rPr>
                <w:rFonts w:ascii="標楷體" w:eastAsia="標楷體" w:hAnsi="標楷體" w:cs="Times New Roman" w:hint="eastAsia"/>
                <w:szCs w:val="24"/>
              </w:rPr>
              <w:t>.</w:t>
            </w:r>
            <w:r w:rsidR="005F1D41" w:rsidRPr="009D519D">
              <w:rPr>
                <w:rFonts w:ascii="標楷體" w:eastAsia="標楷體" w:hAnsi="標楷體" w:cs="Times New Roman" w:hint="eastAsia"/>
                <w:szCs w:val="24"/>
              </w:rPr>
              <w:t xml:space="preserve"> </w:t>
            </w:r>
            <w:r w:rsidRPr="009D519D">
              <w:rPr>
                <w:rFonts w:ascii="標楷體" w:eastAsia="標楷體" w:hAnsi="標楷體" w:cs="Times New Roman" w:hint="eastAsia"/>
                <w:szCs w:val="24"/>
              </w:rPr>
              <w:t>刪除現行第四題說明(二)1.及2.(1)</w:t>
            </w:r>
            <w:r w:rsidR="002D01F1" w:rsidRPr="009D519D">
              <w:rPr>
                <w:rFonts w:ascii="標楷體" w:eastAsia="標楷體" w:hAnsi="標楷體" w:cs="Times New Roman" w:hint="eastAsia"/>
                <w:szCs w:val="24"/>
              </w:rPr>
              <w:t>。</w:t>
            </w:r>
            <w:r w:rsidRPr="009D519D">
              <w:rPr>
                <w:rFonts w:ascii="標楷體" w:eastAsia="標楷體" w:hAnsi="標楷體" w:cs="Times New Roman" w:hint="eastAsia"/>
                <w:szCs w:val="24"/>
              </w:rPr>
              <w:t>調整文字後移至通路報酬揭露格</w:t>
            </w:r>
            <w:r w:rsidRPr="009D519D">
              <w:rPr>
                <w:rFonts w:ascii="標楷體" w:eastAsia="標楷體" w:hAnsi="標楷體" w:cs="Times New Roman" w:hint="eastAsia"/>
                <w:szCs w:val="24"/>
              </w:rPr>
              <w:lastRenderedPageBreak/>
              <w:t>式範本之填寫說明中規範。</w:t>
            </w:r>
          </w:p>
          <w:p w:rsidR="003D0494" w:rsidRPr="009D519D" w:rsidRDefault="00254DC3" w:rsidP="001B48C3">
            <w:pPr>
              <w:adjustRightInd w:val="0"/>
              <w:snapToGrid w:val="0"/>
              <w:spacing w:afterLines="50" w:after="180" w:line="400" w:lineRule="exact"/>
              <w:ind w:leftChars="-32" w:left="348" w:hangingChars="177" w:hanging="425"/>
              <w:jc w:val="both"/>
              <w:rPr>
                <w:rFonts w:ascii="標楷體" w:eastAsia="標楷體" w:hAnsi="標楷體" w:cs="Times New Roman"/>
                <w:szCs w:val="24"/>
              </w:rPr>
            </w:pPr>
            <w:r w:rsidRPr="009D519D">
              <w:rPr>
                <w:rFonts w:ascii="標楷體" w:eastAsia="標楷體" w:hAnsi="標楷體" w:cs="Times New Roman" w:hint="eastAsia"/>
                <w:szCs w:val="24"/>
              </w:rPr>
              <w:t xml:space="preserve">2. </w:t>
            </w:r>
            <w:r w:rsidR="008A73DF" w:rsidRPr="009D519D">
              <w:rPr>
                <w:rFonts w:ascii="標楷體" w:eastAsia="標楷體" w:hAnsi="標楷體" w:cs="Times New Roman" w:hint="eastAsia"/>
                <w:szCs w:val="24"/>
              </w:rPr>
              <w:t>本施行要點第三條(3)贊助或提供對銷售機構之產品說明會及員工教育訓練及(4)其他報酬，境外基金機構、總代理人或證券投資信託事業</w:t>
            </w:r>
            <w:r w:rsidR="001B48C3">
              <w:rPr>
                <w:rFonts w:ascii="標楷體" w:eastAsia="標楷體" w:hAnsi="標楷體" w:cs="Times New Roman" w:hint="eastAsia"/>
                <w:szCs w:val="24"/>
              </w:rPr>
              <w:t>可</w:t>
            </w:r>
            <w:r w:rsidR="008A73DF" w:rsidRPr="009D519D">
              <w:rPr>
                <w:rFonts w:ascii="標楷體" w:eastAsia="標楷體" w:hAnsi="標楷體" w:cs="Times New Roman" w:hint="eastAsia"/>
                <w:szCs w:val="24"/>
              </w:rPr>
              <w:t>贊助或提供多家且特定銷售機構，</w:t>
            </w:r>
            <w:proofErr w:type="gramStart"/>
            <w:r w:rsidR="008A73DF" w:rsidRPr="009D519D">
              <w:rPr>
                <w:rFonts w:ascii="標楷體" w:eastAsia="標楷體" w:hAnsi="標楷體" w:cs="Times New Roman" w:hint="eastAsia"/>
                <w:szCs w:val="24"/>
              </w:rPr>
              <w:t>爰</w:t>
            </w:r>
            <w:proofErr w:type="gramEnd"/>
            <w:r w:rsidR="008A73DF" w:rsidRPr="009D519D">
              <w:rPr>
                <w:rFonts w:ascii="標楷體" w:eastAsia="標楷體" w:hAnsi="標楷體" w:cs="Times New Roman" w:hint="eastAsia"/>
                <w:szCs w:val="24"/>
              </w:rPr>
              <w:t>調整現行第</w:t>
            </w:r>
            <w:r w:rsidR="00FE4E40" w:rsidRPr="009D519D">
              <w:rPr>
                <w:rFonts w:ascii="標楷體" w:eastAsia="標楷體" w:hAnsi="標楷體" w:cs="Times New Roman" w:hint="eastAsia"/>
                <w:szCs w:val="24"/>
              </w:rPr>
              <w:t>四</w:t>
            </w:r>
            <w:r w:rsidR="008A73DF" w:rsidRPr="009D519D">
              <w:rPr>
                <w:rFonts w:ascii="標楷體" w:eastAsia="標楷體" w:hAnsi="標楷體" w:cs="Times New Roman" w:hint="eastAsia"/>
                <w:szCs w:val="24"/>
              </w:rPr>
              <w:t>題說明（二）9.</w:t>
            </w:r>
            <w:r w:rsidR="008E386C" w:rsidRPr="009D519D">
              <w:rPr>
                <w:rFonts w:ascii="標楷體" w:eastAsia="標楷體" w:hAnsi="標楷體" w:cs="Times New Roman" w:hint="eastAsia"/>
                <w:szCs w:val="24"/>
              </w:rPr>
              <w:t>之文字，並移</w:t>
            </w:r>
            <w:r w:rsidR="008A73DF" w:rsidRPr="009D519D">
              <w:rPr>
                <w:rFonts w:ascii="標楷體" w:eastAsia="標楷體" w:hAnsi="標楷體" w:cs="Times New Roman" w:hint="eastAsia"/>
                <w:szCs w:val="24"/>
              </w:rPr>
              <w:t>至</w:t>
            </w:r>
            <w:r w:rsidR="00FE4E40" w:rsidRPr="009D519D">
              <w:rPr>
                <w:rFonts w:ascii="標楷體" w:eastAsia="標楷體" w:hAnsi="標楷體" w:cs="Times New Roman" w:hint="eastAsia"/>
                <w:szCs w:val="24"/>
              </w:rPr>
              <w:t>修正條文第五題說明(二)</w:t>
            </w:r>
            <w:r w:rsidR="008A73DF" w:rsidRPr="009D519D">
              <w:rPr>
                <w:rFonts w:ascii="標楷體" w:eastAsia="標楷體" w:hAnsi="標楷體" w:cs="Times New Roman" w:hint="eastAsia"/>
                <w:szCs w:val="24"/>
              </w:rPr>
              <w:t>。</w:t>
            </w:r>
          </w:p>
        </w:tc>
      </w:tr>
      <w:tr w:rsidR="009D519D" w:rsidRPr="009D519D" w:rsidTr="00720289">
        <w:trPr>
          <w:trHeight w:val="900"/>
        </w:trPr>
        <w:tc>
          <w:tcPr>
            <w:tcW w:w="3227" w:type="dxa"/>
            <w:tcBorders>
              <w:top w:val="single" w:sz="4" w:space="0" w:color="auto"/>
              <w:bottom w:val="single" w:sz="4" w:space="0" w:color="auto"/>
            </w:tcBorders>
          </w:tcPr>
          <w:p w:rsidR="003D0494" w:rsidRPr="009D519D" w:rsidRDefault="00CC65A9" w:rsidP="003D0494">
            <w:pPr>
              <w:adjustRightInd w:val="0"/>
              <w:snapToGrid w:val="0"/>
              <w:spacing w:afterLines="50" w:after="180" w:line="400" w:lineRule="exact"/>
              <w:jc w:val="both"/>
              <w:rPr>
                <w:rFonts w:ascii="標楷體" w:eastAsia="標楷體" w:hAnsi="標楷體" w:cs="Times New Roman"/>
                <w:szCs w:val="24"/>
              </w:rPr>
            </w:pPr>
            <w:r w:rsidRPr="009D519D">
              <w:rPr>
                <w:rFonts w:ascii="標楷體" w:eastAsia="標楷體" w:hAnsi="標楷體" w:cs="Times New Roman" w:hint="eastAsia"/>
                <w:szCs w:val="24"/>
              </w:rPr>
              <w:lastRenderedPageBreak/>
              <w:t>刪除。</w:t>
            </w:r>
          </w:p>
        </w:tc>
        <w:tc>
          <w:tcPr>
            <w:tcW w:w="3227" w:type="dxa"/>
            <w:tcBorders>
              <w:top w:val="single" w:sz="4" w:space="0" w:color="auto"/>
              <w:bottom w:val="single" w:sz="4" w:space="0" w:color="auto"/>
            </w:tcBorders>
          </w:tcPr>
          <w:p w:rsidR="003D0494" w:rsidRPr="009D519D" w:rsidRDefault="003D0494" w:rsidP="003D0494">
            <w:pPr>
              <w:adjustRightInd w:val="0"/>
              <w:snapToGrid w:val="0"/>
              <w:spacing w:afterLines="50" w:after="180" w:line="400" w:lineRule="exact"/>
              <w:jc w:val="both"/>
              <w:rPr>
                <w:rFonts w:ascii="標楷體" w:eastAsia="標楷體" w:hAnsi="標楷體" w:cs="Times New Roman"/>
                <w:szCs w:val="24"/>
                <w:u w:val="single"/>
              </w:rPr>
            </w:pPr>
            <w:r w:rsidRPr="009D519D">
              <w:rPr>
                <w:rFonts w:ascii="標楷體" w:eastAsia="標楷體" w:hAnsi="標楷體" w:cs="Times New Roman" w:hint="eastAsia"/>
                <w:szCs w:val="24"/>
                <w:u w:val="single"/>
              </w:rPr>
              <w:t>(2)銷售機構選擇以附註列表之方式將同一證券投資信託事業或境外基金機構及總代理人，通路報酬費率相同之基金，共用一份說明資料者，倘投資人於同次交易申購附註列表內之基金，不用重行簽署。</w:t>
            </w:r>
          </w:p>
        </w:tc>
        <w:tc>
          <w:tcPr>
            <w:tcW w:w="3227" w:type="dxa"/>
            <w:tcBorders>
              <w:top w:val="single" w:sz="4" w:space="0" w:color="auto"/>
              <w:bottom w:val="single" w:sz="4" w:space="0" w:color="auto"/>
            </w:tcBorders>
          </w:tcPr>
          <w:p w:rsidR="003D0494" w:rsidRPr="009D519D" w:rsidRDefault="004759C4" w:rsidP="009C5698">
            <w:pPr>
              <w:adjustRightInd w:val="0"/>
              <w:snapToGrid w:val="0"/>
              <w:spacing w:afterLines="50" w:after="180" w:line="400" w:lineRule="exact"/>
              <w:jc w:val="both"/>
              <w:rPr>
                <w:rFonts w:ascii="標楷體" w:eastAsia="標楷體" w:hAnsi="標楷體" w:cs="Times New Roman"/>
                <w:szCs w:val="24"/>
              </w:rPr>
            </w:pPr>
            <w:r w:rsidRPr="009D519D">
              <w:rPr>
                <w:rFonts w:ascii="標楷體" w:eastAsia="標楷體" w:hAnsi="標楷體" w:cs="Times New Roman" w:hint="eastAsia"/>
                <w:szCs w:val="24"/>
              </w:rPr>
              <w:t>現行第四題說明(二)</w:t>
            </w:r>
            <w:r w:rsidR="00486B3C" w:rsidRPr="009D519D">
              <w:rPr>
                <w:rFonts w:ascii="標楷體" w:eastAsia="標楷體" w:hAnsi="標楷體" w:cs="Times New Roman" w:hint="eastAsia"/>
                <w:szCs w:val="24"/>
              </w:rPr>
              <w:t>2.</w:t>
            </w:r>
            <w:r w:rsidRPr="009D519D">
              <w:rPr>
                <w:rFonts w:ascii="標楷體" w:eastAsia="標楷體" w:hAnsi="標楷體" w:cs="Times New Roman" w:hint="eastAsia"/>
                <w:szCs w:val="24"/>
              </w:rPr>
              <w:t>(2)，有關「倘投資人於同次交易申購附註列表內之基金，不用重行簽署。」</w:t>
            </w:r>
            <w:r w:rsidR="00486B3C" w:rsidRPr="009D519D">
              <w:rPr>
                <w:rFonts w:ascii="標楷體" w:eastAsia="標楷體" w:hAnsi="標楷體" w:cs="Times New Roman" w:hint="eastAsia"/>
                <w:szCs w:val="24"/>
              </w:rPr>
              <w:t>部分，移至修正條文第五題說明(</w:t>
            </w:r>
            <w:proofErr w:type="gramStart"/>
            <w:r w:rsidR="00486B3C" w:rsidRPr="009D519D">
              <w:rPr>
                <w:rFonts w:ascii="標楷體" w:eastAsia="標楷體" w:hAnsi="標楷體" w:cs="Times New Roman" w:hint="eastAsia"/>
                <w:szCs w:val="24"/>
              </w:rPr>
              <w:t>一</w:t>
            </w:r>
            <w:proofErr w:type="gramEnd"/>
            <w:r w:rsidR="00486B3C" w:rsidRPr="009D519D">
              <w:rPr>
                <w:rFonts w:ascii="標楷體" w:eastAsia="標楷體" w:hAnsi="標楷體" w:cs="Times New Roman" w:hint="eastAsia"/>
                <w:szCs w:val="24"/>
              </w:rPr>
              <w:t>)中規範，</w:t>
            </w:r>
            <w:proofErr w:type="gramStart"/>
            <w:r w:rsidR="00486B3C" w:rsidRPr="009D519D">
              <w:rPr>
                <w:rFonts w:ascii="標楷體" w:eastAsia="標楷體" w:hAnsi="標楷體" w:cs="Times New Roman" w:hint="eastAsia"/>
                <w:szCs w:val="24"/>
              </w:rPr>
              <w:t>爰</w:t>
            </w:r>
            <w:proofErr w:type="gramEnd"/>
            <w:r w:rsidR="00486B3C" w:rsidRPr="009D519D">
              <w:rPr>
                <w:rFonts w:ascii="標楷體" w:eastAsia="標楷體" w:hAnsi="標楷體" w:cs="Times New Roman" w:hint="eastAsia"/>
                <w:szCs w:val="24"/>
              </w:rPr>
              <w:t>刪除之。</w:t>
            </w:r>
          </w:p>
        </w:tc>
      </w:tr>
      <w:tr w:rsidR="00720289" w:rsidRPr="00720289" w:rsidTr="00720289">
        <w:trPr>
          <w:trHeight w:val="900"/>
        </w:trPr>
        <w:tc>
          <w:tcPr>
            <w:tcW w:w="3227" w:type="dxa"/>
            <w:tcBorders>
              <w:top w:val="single" w:sz="4" w:space="0" w:color="auto"/>
              <w:bottom w:val="single" w:sz="4" w:space="0" w:color="auto"/>
            </w:tcBorders>
          </w:tcPr>
          <w:p w:rsidR="00720289" w:rsidRPr="00720289" w:rsidRDefault="00720289" w:rsidP="00720289">
            <w:pPr>
              <w:jc w:val="both"/>
              <w:rPr>
                <w:rFonts w:ascii="標楷體" w:eastAsia="標楷體" w:hAnsi="標楷體"/>
              </w:rPr>
            </w:pPr>
            <w:r w:rsidRPr="00720289">
              <w:rPr>
                <w:rFonts w:ascii="標楷體" w:eastAsia="標楷體" w:hAnsi="標楷體" w:hint="eastAsia"/>
              </w:rPr>
              <w:t>刪除。</w:t>
            </w:r>
          </w:p>
        </w:tc>
        <w:tc>
          <w:tcPr>
            <w:tcW w:w="3227" w:type="dxa"/>
            <w:tcBorders>
              <w:top w:val="single" w:sz="4" w:space="0" w:color="auto"/>
              <w:bottom w:val="single" w:sz="4" w:space="0" w:color="auto"/>
            </w:tcBorders>
          </w:tcPr>
          <w:p w:rsidR="00720289" w:rsidRPr="00720289" w:rsidRDefault="00720289" w:rsidP="00720289">
            <w:pPr>
              <w:jc w:val="both"/>
              <w:rPr>
                <w:rFonts w:ascii="標楷體" w:eastAsia="標楷體" w:hAnsi="標楷體"/>
                <w:u w:val="single"/>
              </w:rPr>
            </w:pPr>
            <w:r w:rsidRPr="00720289">
              <w:rPr>
                <w:rFonts w:ascii="標楷體" w:eastAsia="標楷體" w:hAnsi="標楷體" w:hint="eastAsia"/>
                <w:u w:val="single"/>
              </w:rPr>
              <w:t>3.申購手續費：銷售機構可選擇填寫實際交易所得收取之申購手續費率及其分成；</w:t>
            </w:r>
            <w:proofErr w:type="gramStart"/>
            <w:r w:rsidRPr="00720289">
              <w:rPr>
                <w:rFonts w:ascii="標楷體" w:eastAsia="標楷體" w:hAnsi="標楷體" w:hint="eastAsia"/>
                <w:u w:val="single"/>
              </w:rPr>
              <w:t>惟</w:t>
            </w:r>
            <w:proofErr w:type="gramEnd"/>
            <w:r w:rsidRPr="00720289">
              <w:rPr>
                <w:rFonts w:ascii="標楷體" w:eastAsia="標楷體" w:hAnsi="標楷體" w:hint="eastAsia"/>
                <w:u w:val="single"/>
              </w:rPr>
              <w:t>基於投資人屬性及投資金額之不同，可能影響申購手續費收取高低，故銷售機構可填寫投信基金之公開說明書或境外基金之總代理契約/銷售契約所載之最高申購手續費率（或銷售機構自訂之表定費率），但需於申購申請書、證券商受託買賣之委託書或</w:t>
            </w:r>
            <w:proofErr w:type="gramStart"/>
            <w:r w:rsidRPr="00720289">
              <w:rPr>
                <w:rFonts w:ascii="標楷體" w:eastAsia="標楷體" w:hAnsi="標楷體" w:hint="eastAsia"/>
                <w:u w:val="single"/>
              </w:rPr>
              <w:t>類似書件載</w:t>
            </w:r>
            <w:proofErr w:type="gramEnd"/>
            <w:r w:rsidRPr="00720289">
              <w:rPr>
                <w:rFonts w:ascii="標楷體" w:eastAsia="標楷體" w:hAnsi="標楷體" w:hint="eastAsia"/>
                <w:u w:val="single"/>
              </w:rPr>
              <w:t>明個別投資人實際手續費收取情形。</w:t>
            </w:r>
          </w:p>
        </w:tc>
        <w:tc>
          <w:tcPr>
            <w:tcW w:w="3227" w:type="dxa"/>
            <w:tcBorders>
              <w:top w:val="single" w:sz="4" w:space="0" w:color="auto"/>
              <w:bottom w:val="single" w:sz="4" w:space="0" w:color="auto"/>
            </w:tcBorders>
          </w:tcPr>
          <w:p w:rsidR="00720289" w:rsidRPr="00720289" w:rsidRDefault="00720289" w:rsidP="00720289">
            <w:pPr>
              <w:jc w:val="both"/>
              <w:rPr>
                <w:rFonts w:ascii="標楷體" w:eastAsia="標楷體" w:hAnsi="標楷體"/>
              </w:rPr>
            </w:pPr>
            <w:r w:rsidRPr="00720289">
              <w:rPr>
                <w:rFonts w:ascii="標楷體" w:eastAsia="標楷體" w:hAnsi="標楷體" w:hint="eastAsia"/>
              </w:rPr>
              <w:t>刪除現行第四題說明(二)3.。調整文字後移至通路報酬揭露格式範本之填寫說明中規範。</w:t>
            </w:r>
          </w:p>
        </w:tc>
      </w:tr>
      <w:tr w:rsidR="009D519D" w:rsidRPr="009D519D" w:rsidTr="00720289">
        <w:trPr>
          <w:trHeight w:val="6027"/>
        </w:trPr>
        <w:tc>
          <w:tcPr>
            <w:tcW w:w="3227" w:type="dxa"/>
          </w:tcPr>
          <w:p w:rsidR="00960CAD" w:rsidRPr="009D519D" w:rsidRDefault="00960CAD" w:rsidP="00960CAD">
            <w:pPr>
              <w:adjustRightInd w:val="0"/>
              <w:snapToGrid w:val="0"/>
              <w:spacing w:afterLines="50" w:after="180" w:line="400" w:lineRule="exact"/>
              <w:jc w:val="both"/>
              <w:rPr>
                <w:rFonts w:ascii="標楷體" w:eastAsia="標楷體" w:hAnsi="標楷體" w:cs="Times New Roman"/>
                <w:szCs w:val="24"/>
              </w:rPr>
            </w:pPr>
            <w:r w:rsidRPr="009D519D">
              <w:rPr>
                <w:rFonts w:ascii="標楷體" w:eastAsia="標楷體" w:hAnsi="標楷體" w:cs="Times New Roman" w:hint="eastAsia"/>
                <w:szCs w:val="24"/>
              </w:rPr>
              <w:lastRenderedPageBreak/>
              <w:t>刪除。</w:t>
            </w:r>
          </w:p>
          <w:p w:rsidR="008D4EB4" w:rsidRPr="009D519D" w:rsidRDefault="008D4EB4" w:rsidP="008D4EB4">
            <w:pPr>
              <w:spacing w:afterLines="50" w:after="180" w:line="400" w:lineRule="exact"/>
              <w:jc w:val="both"/>
              <w:rPr>
                <w:rFonts w:ascii="標楷體" w:eastAsia="標楷體" w:hAnsi="標楷體" w:cs="Times New Roman"/>
                <w:szCs w:val="24"/>
              </w:rPr>
            </w:pPr>
          </w:p>
          <w:p w:rsidR="008D4EB4" w:rsidRPr="009D519D" w:rsidRDefault="008D4EB4" w:rsidP="008D4EB4">
            <w:pPr>
              <w:spacing w:afterLines="50" w:after="180" w:line="400" w:lineRule="exact"/>
              <w:jc w:val="both"/>
              <w:rPr>
                <w:rFonts w:ascii="標楷體" w:eastAsia="標楷體" w:hAnsi="標楷體" w:cs="Times New Roman"/>
                <w:szCs w:val="24"/>
              </w:rPr>
            </w:pPr>
          </w:p>
        </w:tc>
        <w:tc>
          <w:tcPr>
            <w:tcW w:w="3227" w:type="dxa"/>
            <w:tcBorders>
              <w:top w:val="single" w:sz="4" w:space="0" w:color="auto"/>
            </w:tcBorders>
          </w:tcPr>
          <w:p w:rsidR="008D4EB4" w:rsidRPr="009D519D" w:rsidRDefault="008D4EB4" w:rsidP="008D4EB4">
            <w:pPr>
              <w:adjustRightInd w:val="0"/>
              <w:snapToGrid w:val="0"/>
              <w:spacing w:afterLines="50" w:after="180" w:line="400" w:lineRule="exact"/>
              <w:jc w:val="both"/>
              <w:rPr>
                <w:rFonts w:ascii="標楷體" w:eastAsia="標楷體" w:hAnsi="標楷體" w:cs="Times New Roman"/>
                <w:szCs w:val="24"/>
                <w:u w:val="single"/>
              </w:rPr>
            </w:pPr>
            <w:r w:rsidRPr="009D519D">
              <w:rPr>
                <w:rFonts w:ascii="標楷體" w:eastAsia="標楷體" w:hAnsi="標楷體" w:cs="Times New Roman" w:hint="eastAsia"/>
                <w:szCs w:val="24"/>
                <w:u w:val="single"/>
              </w:rPr>
              <w:t>4.申購手續費分成及經理費分成：「本公司（銀行）收取  %（或不多於  %）（如前者收取2.4%之數字無條件進入到整數位，即可表示為不多於3%）」，銷售機構可擇其一揭露。又，就經理費率及經理費分成部分，銷售機構為避免投資人誤解及符合現行實務，可以加</w:t>
            </w:r>
            <w:proofErr w:type="gramStart"/>
            <w:r w:rsidRPr="009D519D">
              <w:rPr>
                <w:rFonts w:ascii="標楷體" w:eastAsia="標楷體" w:hAnsi="標楷體" w:cs="Times New Roman" w:hint="eastAsia"/>
                <w:szCs w:val="24"/>
                <w:u w:val="single"/>
              </w:rPr>
              <w:t>註</w:t>
            </w:r>
            <w:proofErr w:type="gramEnd"/>
            <w:r w:rsidRPr="009D519D">
              <w:rPr>
                <w:rFonts w:ascii="標楷體" w:eastAsia="標楷體" w:hAnsi="標楷體" w:cs="Times New Roman" w:hint="eastAsia"/>
                <w:szCs w:val="24"/>
                <w:u w:val="single"/>
              </w:rPr>
              <w:t>「本基金經理費收入為年率   %，　台端持有本基金</w:t>
            </w:r>
            <w:proofErr w:type="gramStart"/>
            <w:r w:rsidRPr="009D519D">
              <w:rPr>
                <w:rFonts w:ascii="標楷體" w:eastAsia="標楷體" w:hAnsi="標楷體" w:cs="Times New Roman" w:hint="eastAsia"/>
                <w:szCs w:val="24"/>
                <w:u w:val="single"/>
              </w:rPr>
              <w:t>期間，</w:t>
            </w:r>
            <w:proofErr w:type="gramEnd"/>
            <w:r w:rsidRPr="009D519D">
              <w:rPr>
                <w:rFonts w:ascii="標楷體" w:eastAsia="標楷體" w:hAnsi="標楷體" w:cs="Times New Roman" w:hint="eastAsia"/>
                <w:szCs w:val="24"/>
                <w:u w:val="single"/>
              </w:rPr>
              <w:t>本公司（銀行）收取年率  %（或不多於年率  %）」表示。</w:t>
            </w:r>
          </w:p>
        </w:tc>
        <w:tc>
          <w:tcPr>
            <w:tcW w:w="3227" w:type="dxa"/>
            <w:tcBorders>
              <w:top w:val="single" w:sz="4" w:space="0" w:color="auto"/>
            </w:tcBorders>
          </w:tcPr>
          <w:p w:rsidR="008D4EB4" w:rsidRPr="009D519D" w:rsidRDefault="008D4EB4" w:rsidP="008D4EB4">
            <w:pPr>
              <w:adjustRightInd w:val="0"/>
              <w:snapToGrid w:val="0"/>
              <w:spacing w:afterLines="50" w:after="180" w:line="400" w:lineRule="exact"/>
              <w:jc w:val="both"/>
              <w:rPr>
                <w:rFonts w:ascii="標楷體" w:eastAsia="標楷體" w:hAnsi="標楷體" w:cs="Times New Roman"/>
                <w:szCs w:val="24"/>
                <w:u w:val="single"/>
              </w:rPr>
            </w:pPr>
            <w:r w:rsidRPr="009D519D">
              <w:rPr>
                <w:rFonts w:ascii="標楷體" w:eastAsia="標楷體" w:hAnsi="標楷體" w:cs="Times New Roman" w:hint="eastAsia"/>
                <w:szCs w:val="24"/>
              </w:rPr>
              <w:t>現行第四題說明(二)4.，已移至通路報酬揭露格式範本之填寫說明中規範，</w:t>
            </w:r>
            <w:proofErr w:type="gramStart"/>
            <w:r w:rsidRPr="009D519D">
              <w:rPr>
                <w:rFonts w:ascii="標楷體" w:eastAsia="標楷體" w:hAnsi="標楷體" w:cs="Times New Roman" w:hint="eastAsia"/>
                <w:szCs w:val="24"/>
              </w:rPr>
              <w:t>爰</w:t>
            </w:r>
            <w:proofErr w:type="gramEnd"/>
            <w:r w:rsidRPr="009D519D">
              <w:rPr>
                <w:rFonts w:ascii="標楷體" w:eastAsia="標楷體" w:hAnsi="標楷體" w:cs="Times New Roman" w:hint="eastAsia"/>
                <w:szCs w:val="24"/>
              </w:rPr>
              <w:t>刪除之。</w:t>
            </w:r>
          </w:p>
          <w:p w:rsidR="008D4EB4" w:rsidRPr="009D519D" w:rsidRDefault="008D4EB4" w:rsidP="008D4EB4">
            <w:pPr>
              <w:adjustRightInd w:val="0"/>
              <w:snapToGrid w:val="0"/>
              <w:spacing w:afterLines="50" w:after="180" w:line="400" w:lineRule="exact"/>
              <w:jc w:val="both"/>
              <w:rPr>
                <w:rFonts w:ascii="標楷體" w:eastAsia="標楷體" w:hAnsi="標楷體" w:cs="Times New Roman"/>
                <w:szCs w:val="24"/>
              </w:rPr>
            </w:pPr>
          </w:p>
        </w:tc>
      </w:tr>
      <w:tr w:rsidR="009D519D" w:rsidRPr="009D519D" w:rsidTr="00720289">
        <w:trPr>
          <w:trHeight w:val="4128"/>
        </w:trPr>
        <w:tc>
          <w:tcPr>
            <w:tcW w:w="3227" w:type="dxa"/>
            <w:tcBorders>
              <w:top w:val="single" w:sz="4" w:space="0" w:color="auto"/>
              <w:bottom w:val="single" w:sz="4" w:space="0" w:color="000000" w:themeColor="text1"/>
            </w:tcBorders>
          </w:tcPr>
          <w:p w:rsidR="00C41D3A" w:rsidRPr="009D519D" w:rsidRDefault="00C41D3A" w:rsidP="00C41D3A">
            <w:pPr>
              <w:adjustRightInd w:val="0"/>
              <w:snapToGrid w:val="0"/>
              <w:spacing w:afterLines="50" w:after="180" w:line="400" w:lineRule="exact"/>
              <w:jc w:val="both"/>
              <w:rPr>
                <w:rFonts w:ascii="標楷體" w:eastAsia="標楷體" w:hAnsi="標楷體" w:cs="Times New Roman"/>
                <w:szCs w:val="24"/>
              </w:rPr>
            </w:pPr>
            <w:r w:rsidRPr="009D519D">
              <w:rPr>
                <w:rFonts w:ascii="標楷體" w:eastAsia="標楷體" w:hAnsi="標楷體" w:cs="Times New Roman" w:hint="eastAsia"/>
                <w:szCs w:val="24"/>
              </w:rPr>
              <w:t>刪除。</w:t>
            </w:r>
          </w:p>
          <w:p w:rsidR="00884A50" w:rsidRPr="009D519D" w:rsidRDefault="00884A50" w:rsidP="00884A50">
            <w:pPr>
              <w:adjustRightInd w:val="0"/>
              <w:snapToGrid w:val="0"/>
              <w:spacing w:afterLines="50" w:after="180" w:line="400" w:lineRule="exact"/>
              <w:jc w:val="both"/>
              <w:rPr>
                <w:rFonts w:ascii="標楷體" w:eastAsia="標楷體" w:hAnsi="標楷體" w:cs="Times New Roman"/>
                <w:szCs w:val="24"/>
              </w:rPr>
            </w:pPr>
          </w:p>
          <w:p w:rsidR="00F24D16" w:rsidRPr="009D519D" w:rsidRDefault="00F24D16" w:rsidP="00990AA4">
            <w:pPr>
              <w:adjustRightInd w:val="0"/>
              <w:snapToGrid w:val="0"/>
              <w:spacing w:afterLines="50" w:after="180" w:line="400" w:lineRule="exact"/>
              <w:jc w:val="both"/>
              <w:rPr>
                <w:rFonts w:ascii="標楷體" w:eastAsia="標楷體" w:hAnsi="標楷體" w:cs="Times New Roman"/>
                <w:szCs w:val="24"/>
              </w:rPr>
            </w:pPr>
          </w:p>
        </w:tc>
        <w:tc>
          <w:tcPr>
            <w:tcW w:w="3227" w:type="dxa"/>
            <w:tcBorders>
              <w:top w:val="single" w:sz="4" w:space="0" w:color="auto"/>
              <w:bottom w:val="single" w:sz="4" w:space="0" w:color="000000" w:themeColor="text1"/>
            </w:tcBorders>
          </w:tcPr>
          <w:p w:rsidR="00F24D16" w:rsidRPr="009D519D" w:rsidRDefault="00F24D16" w:rsidP="003D0494">
            <w:pPr>
              <w:adjustRightInd w:val="0"/>
              <w:snapToGrid w:val="0"/>
              <w:spacing w:afterLines="50" w:after="180" w:line="400" w:lineRule="exact"/>
              <w:jc w:val="both"/>
              <w:rPr>
                <w:rFonts w:ascii="標楷體" w:eastAsia="標楷體" w:hAnsi="標楷體" w:cs="Times New Roman"/>
                <w:szCs w:val="24"/>
                <w:u w:val="single"/>
              </w:rPr>
            </w:pPr>
            <w:r w:rsidRPr="009D519D">
              <w:rPr>
                <w:rFonts w:ascii="標楷體" w:eastAsia="標楷體" w:hAnsi="標楷體" w:cs="Times New Roman" w:hint="eastAsia"/>
                <w:szCs w:val="24"/>
                <w:u w:val="single"/>
              </w:rPr>
              <w:t>5.銷售獎勵金：銷售獎勵金  %</w:t>
            </w:r>
            <w:proofErr w:type="gramStart"/>
            <w:r w:rsidRPr="009D519D">
              <w:rPr>
                <w:rFonts w:ascii="標楷體" w:eastAsia="標楷體" w:hAnsi="標楷體" w:cs="Times New Roman" w:hint="eastAsia"/>
                <w:szCs w:val="24"/>
                <w:u w:val="single"/>
              </w:rPr>
              <w:t>（</w:t>
            </w:r>
            <w:proofErr w:type="gramEnd"/>
            <w:r w:rsidRPr="009D519D">
              <w:rPr>
                <w:rFonts w:ascii="標楷體" w:eastAsia="標楷體" w:hAnsi="標楷體" w:cs="Times New Roman" w:hint="eastAsia"/>
                <w:szCs w:val="24"/>
                <w:u w:val="single"/>
              </w:rPr>
              <w:t>或不多於    %；或  %~  %</w:t>
            </w:r>
            <w:proofErr w:type="gramStart"/>
            <w:r w:rsidRPr="009D519D">
              <w:rPr>
                <w:rFonts w:ascii="標楷體" w:eastAsia="標楷體" w:hAnsi="標楷體" w:cs="Times New Roman" w:hint="eastAsia"/>
                <w:szCs w:val="24"/>
                <w:u w:val="single"/>
              </w:rPr>
              <w:t>）</w:t>
            </w:r>
            <w:proofErr w:type="gramEnd"/>
            <w:r w:rsidRPr="009D519D">
              <w:rPr>
                <w:rFonts w:ascii="標楷體" w:eastAsia="標楷體" w:hAnsi="標楷體" w:cs="Times New Roman" w:hint="eastAsia"/>
                <w:szCs w:val="24"/>
                <w:u w:val="single"/>
              </w:rPr>
              <w:t>（可</w:t>
            </w:r>
            <w:proofErr w:type="gramStart"/>
            <w:r w:rsidRPr="009D519D">
              <w:rPr>
                <w:rFonts w:ascii="標楷體" w:eastAsia="標楷體" w:hAnsi="標楷體" w:cs="Times New Roman" w:hint="eastAsia"/>
                <w:szCs w:val="24"/>
                <w:u w:val="single"/>
              </w:rPr>
              <w:t>採</w:t>
            </w:r>
            <w:proofErr w:type="gramEnd"/>
            <w:r w:rsidRPr="009D519D">
              <w:rPr>
                <w:rFonts w:ascii="標楷體" w:eastAsia="標楷體" w:hAnsi="標楷體" w:cs="Times New Roman" w:hint="eastAsia"/>
                <w:szCs w:val="24"/>
                <w:u w:val="single"/>
              </w:rPr>
              <w:t>金額級距），銷售機構依不同行銷獎勵方案內容可擇其一揭露。若</w:t>
            </w:r>
            <w:proofErr w:type="gramStart"/>
            <w:r w:rsidRPr="009D519D">
              <w:rPr>
                <w:rFonts w:ascii="標楷體" w:eastAsia="標楷體" w:hAnsi="標楷體" w:cs="Times New Roman" w:hint="eastAsia"/>
                <w:szCs w:val="24"/>
                <w:u w:val="single"/>
              </w:rPr>
              <w:t>採</w:t>
            </w:r>
            <w:proofErr w:type="gramEnd"/>
            <w:r w:rsidRPr="009D519D">
              <w:rPr>
                <w:rFonts w:ascii="標楷體" w:eastAsia="標楷體" w:hAnsi="標楷體" w:cs="Times New Roman" w:hint="eastAsia"/>
                <w:szCs w:val="24"/>
                <w:u w:val="single"/>
              </w:rPr>
              <w:t>金額範圍揭露者，仍需說明內容及計算方式。銷售機構以每半年為行銷獎勵</w:t>
            </w:r>
            <w:proofErr w:type="gramStart"/>
            <w:r w:rsidRPr="009D519D">
              <w:rPr>
                <w:rFonts w:ascii="標楷體" w:eastAsia="標楷體" w:hAnsi="標楷體" w:cs="Times New Roman" w:hint="eastAsia"/>
                <w:szCs w:val="24"/>
                <w:u w:val="single"/>
              </w:rPr>
              <w:t>期間，</w:t>
            </w:r>
            <w:proofErr w:type="gramEnd"/>
            <w:r w:rsidRPr="009D519D">
              <w:rPr>
                <w:rFonts w:ascii="標楷體" w:eastAsia="標楷體" w:hAnsi="標楷體" w:cs="Times New Roman" w:hint="eastAsia"/>
                <w:szCs w:val="24"/>
                <w:u w:val="single"/>
              </w:rPr>
              <w:t>仍需填寫如：第1,2季字樣，並依此方式比照辦理。</w:t>
            </w:r>
          </w:p>
        </w:tc>
        <w:tc>
          <w:tcPr>
            <w:tcW w:w="3227" w:type="dxa"/>
            <w:tcBorders>
              <w:top w:val="single" w:sz="4" w:space="0" w:color="auto"/>
              <w:bottom w:val="single" w:sz="4" w:space="0" w:color="000000" w:themeColor="text1"/>
            </w:tcBorders>
          </w:tcPr>
          <w:p w:rsidR="00F24D16" w:rsidRPr="009D519D" w:rsidRDefault="00F24D16" w:rsidP="00B809C1">
            <w:pPr>
              <w:spacing w:afterLines="50" w:after="180" w:line="400" w:lineRule="exact"/>
              <w:jc w:val="both"/>
              <w:rPr>
                <w:rFonts w:ascii="標楷體" w:eastAsia="標楷體" w:hAnsi="標楷體"/>
              </w:rPr>
            </w:pPr>
            <w:r w:rsidRPr="009D519D">
              <w:rPr>
                <w:rFonts w:ascii="標楷體" w:eastAsia="標楷體" w:hAnsi="標楷體" w:hint="eastAsia"/>
              </w:rPr>
              <w:t>因本施行要點已刪除銷售獎勵金項目，故刪除現行第四題說明(二)5.。</w:t>
            </w:r>
          </w:p>
          <w:p w:rsidR="00F24D16" w:rsidRPr="009D519D" w:rsidRDefault="00F24D16" w:rsidP="00B809C1">
            <w:pPr>
              <w:spacing w:afterLines="50" w:after="180" w:line="380" w:lineRule="exact"/>
              <w:jc w:val="both"/>
              <w:rPr>
                <w:rFonts w:ascii="標楷體" w:eastAsia="標楷體" w:hAnsi="標楷體"/>
              </w:rPr>
            </w:pPr>
          </w:p>
          <w:p w:rsidR="00F24D16" w:rsidRPr="009D519D" w:rsidRDefault="00F24D16" w:rsidP="00B809C1">
            <w:pPr>
              <w:spacing w:afterLines="50" w:after="180" w:line="380" w:lineRule="exact"/>
              <w:jc w:val="both"/>
              <w:rPr>
                <w:rFonts w:ascii="標楷體" w:eastAsia="標楷體" w:hAnsi="標楷體"/>
              </w:rPr>
            </w:pPr>
          </w:p>
          <w:p w:rsidR="00F24D16" w:rsidRPr="009D519D" w:rsidRDefault="00F24D16" w:rsidP="00B809C1">
            <w:pPr>
              <w:spacing w:afterLines="50" w:after="180" w:line="380" w:lineRule="exact"/>
              <w:jc w:val="both"/>
              <w:rPr>
                <w:rFonts w:ascii="標楷體" w:eastAsia="標楷體" w:hAnsi="標楷體"/>
              </w:rPr>
            </w:pPr>
          </w:p>
          <w:p w:rsidR="00F24D16" w:rsidRPr="009D519D" w:rsidRDefault="00F24D16" w:rsidP="00B809C1">
            <w:pPr>
              <w:spacing w:afterLines="50" w:after="180" w:line="380" w:lineRule="exact"/>
              <w:jc w:val="both"/>
              <w:rPr>
                <w:rFonts w:ascii="標楷體" w:eastAsia="標楷體" w:hAnsi="標楷體"/>
              </w:rPr>
            </w:pPr>
          </w:p>
          <w:p w:rsidR="00F24D16" w:rsidRPr="009D519D" w:rsidRDefault="00F24D16" w:rsidP="00990AA4">
            <w:pPr>
              <w:adjustRightInd w:val="0"/>
              <w:snapToGrid w:val="0"/>
              <w:spacing w:afterLines="50" w:after="180" w:line="400" w:lineRule="exact"/>
              <w:jc w:val="both"/>
              <w:rPr>
                <w:rFonts w:ascii="標楷體" w:eastAsia="標楷體" w:hAnsi="標楷體" w:cs="Times New Roman"/>
                <w:szCs w:val="24"/>
              </w:rPr>
            </w:pPr>
          </w:p>
        </w:tc>
      </w:tr>
      <w:tr w:rsidR="009D519D" w:rsidRPr="009D519D" w:rsidTr="00720289">
        <w:trPr>
          <w:trHeight w:val="3024"/>
        </w:trPr>
        <w:tc>
          <w:tcPr>
            <w:tcW w:w="3227" w:type="dxa"/>
            <w:tcBorders>
              <w:top w:val="single" w:sz="4" w:space="0" w:color="000000" w:themeColor="text1"/>
              <w:bottom w:val="single" w:sz="4" w:space="0" w:color="000000" w:themeColor="text1"/>
            </w:tcBorders>
          </w:tcPr>
          <w:p w:rsidR="00C41D3A" w:rsidRPr="009D519D" w:rsidRDefault="00C41D3A" w:rsidP="00C41D3A">
            <w:pPr>
              <w:adjustRightInd w:val="0"/>
              <w:snapToGrid w:val="0"/>
              <w:spacing w:afterLines="50" w:after="180" w:line="400" w:lineRule="exact"/>
              <w:jc w:val="both"/>
              <w:rPr>
                <w:rFonts w:ascii="標楷體" w:eastAsia="標楷體" w:hAnsi="標楷體" w:cs="Times New Roman"/>
                <w:szCs w:val="24"/>
              </w:rPr>
            </w:pPr>
            <w:r w:rsidRPr="009D519D">
              <w:rPr>
                <w:rFonts w:ascii="標楷體" w:eastAsia="標楷體" w:hAnsi="標楷體" w:cs="Times New Roman" w:hint="eastAsia"/>
                <w:szCs w:val="24"/>
              </w:rPr>
              <w:t>刪除。</w:t>
            </w:r>
          </w:p>
          <w:p w:rsidR="00884A50" w:rsidRPr="009D519D" w:rsidRDefault="00884A50" w:rsidP="00884A50">
            <w:pPr>
              <w:adjustRightInd w:val="0"/>
              <w:snapToGrid w:val="0"/>
              <w:spacing w:afterLines="50" w:after="180" w:line="400" w:lineRule="exact"/>
              <w:jc w:val="both"/>
              <w:rPr>
                <w:rFonts w:ascii="標楷體" w:eastAsia="標楷體" w:hAnsi="標楷體" w:cs="Times New Roman"/>
                <w:szCs w:val="24"/>
              </w:rPr>
            </w:pPr>
          </w:p>
          <w:p w:rsidR="00F24D16" w:rsidRPr="009D519D" w:rsidRDefault="00F24D16" w:rsidP="00990AA4">
            <w:pPr>
              <w:adjustRightInd w:val="0"/>
              <w:snapToGrid w:val="0"/>
              <w:spacing w:afterLines="50" w:after="180" w:line="400" w:lineRule="exact"/>
              <w:jc w:val="both"/>
              <w:rPr>
                <w:rFonts w:ascii="標楷體" w:eastAsia="標楷體" w:hAnsi="標楷體" w:cs="Times New Roman"/>
                <w:szCs w:val="24"/>
                <w:u w:val="single"/>
              </w:rPr>
            </w:pPr>
          </w:p>
        </w:tc>
        <w:tc>
          <w:tcPr>
            <w:tcW w:w="3227" w:type="dxa"/>
            <w:tcBorders>
              <w:top w:val="single" w:sz="4" w:space="0" w:color="000000" w:themeColor="text1"/>
              <w:bottom w:val="single" w:sz="4" w:space="0" w:color="000000" w:themeColor="text1"/>
            </w:tcBorders>
          </w:tcPr>
          <w:p w:rsidR="00F24D16" w:rsidRPr="009D519D" w:rsidRDefault="00F24D16" w:rsidP="00F24D16">
            <w:pPr>
              <w:adjustRightInd w:val="0"/>
              <w:snapToGrid w:val="0"/>
              <w:spacing w:afterLines="50" w:after="180" w:line="400" w:lineRule="exact"/>
              <w:jc w:val="both"/>
              <w:rPr>
                <w:rFonts w:ascii="標楷體" w:eastAsia="標楷體" w:hAnsi="標楷體" w:cs="Times New Roman"/>
                <w:szCs w:val="24"/>
                <w:u w:val="single"/>
              </w:rPr>
            </w:pPr>
            <w:r w:rsidRPr="009D519D">
              <w:rPr>
                <w:rFonts w:ascii="標楷體" w:eastAsia="標楷體" w:hAnsi="標楷體" w:cs="Times New Roman" w:hint="eastAsia"/>
                <w:szCs w:val="24"/>
                <w:u w:val="single"/>
              </w:rPr>
              <w:t>6.銷售獎勵金：證券投資信託事業、總代理人或境外基金機構之行銷方案可能同時針對多檔基金或單檔基金，銷售機構可選擇將行銷獎勵期間之所有獎勵方案同步列明，以揭露通知予投資人。</w:t>
            </w:r>
          </w:p>
        </w:tc>
        <w:tc>
          <w:tcPr>
            <w:tcW w:w="3227" w:type="dxa"/>
            <w:tcBorders>
              <w:top w:val="single" w:sz="4" w:space="0" w:color="000000" w:themeColor="text1"/>
              <w:bottom w:val="single" w:sz="4" w:space="0" w:color="000000" w:themeColor="text1"/>
            </w:tcBorders>
          </w:tcPr>
          <w:p w:rsidR="00F24D16" w:rsidRPr="009D519D" w:rsidRDefault="00F24D16" w:rsidP="00F24D16">
            <w:pPr>
              <w:spacing w:afterLines="50" w:after="180" w:line="380" w:lineRule="exact"/>
              <w:jc w:val="both"/>
              <w:rPr>
                <w:rFonts w:ascii="標楷體" w:eastAsia="標楷體" w:hAnsi="標楷體"/>
              </w:rPr>
            </w:pPr>
            <w:r w:rsidRPr="009D519D">
              <w:rPr>
                <w:rFonts w:ascii="標楷體" w:eastAsia="標楷體" w:hAnsi="標楷體" w:hint="eastAsia"/>
              </w:rPr>
              <w:t>因本施行要點已刪除銷售獎勵金項目，故刪除現行第四題說明(二)6.。</w:t>
            </w:r>
          </w:p>
          <w:p w:rsidR="00F24D16" w:rsidRPr="009D519D" w:rsidRDefault="00F24D16" w:rsidP="00990AA4">
            <w:pPr>
              <w:adjustRightInd w:val="0"/>
              <w:snapToGrid w:val="0"/>
              <w:spacing w:afterLines="50" w:after="180" w:line="400" w:lineRule="exact"/>
              <w:jc w:val="both"/>
              <w:rPr>
                <w:rFonts w:ascii="標楷體" w:eastAsia="標楷體" w:hAnsi="標楷體"/>
              </w:rPr>
            </w:pPr>
          </w:p>
        </w:tc>
      </w:tr>
      <w:tr w:rsidR="009D519D" w:rsidRPr="009D519D" w:rsidTr="00720289">
        <w:trPr>
          <w:trHeight w:val="900"/>
        </w:trPr>
        <w:tc>
          <w:tcPr>
            <w:tcW w:w="3227" w:type="dxa"/>
            <w:tcBorders>
              <w:top w:val="single" w:sz="4" w:space="0" w:color="000000" w:themeColor="text1"/>
            </w:tcBorders>
          </w:tcPr>
          <w:p w:rsidR="002A68DE" w:rsidRPr="009D519D" w:rsidRDefault="00646BD3" w:rsidP="00AD2A25">
            <w:pPr>
              <w:adjustRightInd w:val="0"/>
              <w:snapToGrid w:val="0"/>
              <w:spacing w:afterLines="50" w:after="180" w:line="400" w:lineRule="exact"/>
              <w:jc w:val="both"/>
              <w:rPr>
                <w:rFonts w:ascii="標楷體" w:eastAsia="標楷體" w:hAnsi="標楷體" w:cs="Times New Roman"/>
                <w:szCs w:val="24"/>
              </w:rPr>
            </w:pPr>
            <w:r w:rsidRPr="009D519D">
              <w:rPr>
                <w:rFonts w:ascii="標楷體" w:eastAsia="標楷體" w:hAnsi="標楷體" w:cs="Times New Roman" w:hint="eastAsia"/>
                <w:szCs w:val="24"/>
              </w:rPr>
              <w:lastRenderedPageBreak/>
              <w:t>刪除。</w:t>
            </w:r>
          </w:p>
        </w:tc>
        <w:tc>
          <w:tcPr>
            <w:tcW w:w="3227" w:type="dxa"/>
            <w:tcBorders>
              <w:top w:val="single" w:sz="4" w:space="0" w:color="000000" w:themeColor="text1"/>
            </w:tcBorders>
          </w:tcPr>
          <w:p w:rsidR="003D0494" w:rsidRPr="009D519D" w:rsidRDefault="003D0494" w:rsidP="00990AA4">
            <w:pPr>
              <w:adjustRightInd w:val="0"/>
              <w:snapToGrid w:val="0"/>
              <w:spacing w:afterLines="50" w:after="180" w:line="400" w:lineRule="exact"/>
              <w:jc w:val="both"/>
              <w:rPr>
                <w:rFonts w:ascii="標楷體" w:eastAsia="標楷體" w:hAnsi="標楷體" w:cs="Times New Roman"/>
                <w:szCs w:val="24"/>
                <w:u w:val="single"/>
              </w:rPr>
            </w:pPr>
            <w:r w:rsidRPr="009D519D">
              <w:rPr>
                <w:rFonts w:ascii="標楷體" w:eastAsia="標楷體" w:hAnsi="標楷體" w:cs="Times New Roman" w:hint="eastAsia"/>
                <w:szCs w:val="24"/>
                <w:u w:val="single"/>
              </w:rPr>
              <w:t>7</w:t>
            </w:r>
            <w:r w:rsidRPr="00D73CE6">
              <w:rPr>
                <w:rFonts w:ascii="標楷體" w:eastAsia="標楷體" w:hAnsi="標楷體" w:cs="Times New Roman" w:hint="eastAsia"/>
                <w:szCs w:val="24"/>
                <w:u w:val="single"/>
              </w:rPr>
              <w:t>.</w:t>
            </w:r>
            <w:r w:rsidRPr="009D519D">
              <w:rPr>
                <w:rFonts w:ascii="標楷體" w:eastAsia="標楷體" w:hAnsi="標楷體" w:cs="Times New Roman" w:hint="eastAsia"/>
                <w:szCs w:val="24"/>
                <w:u w:val="single"/>
              </w:rPr>
              <w:t>銷售獎勵金、贊助或提供產品說明會及員工教育訓練：銷售機構無收受該項通路報酬或「贊助或提供產品說明會及員工教育訓練」之金額未達揭露門檻，請視實際情況註明為未收取或未達2百萬元揭露門檻，但不得刪除該欄位。</w:t>
            </w:r>
          </w:p>
          <w:p w:rsidR="007930D0" w:rsidRPr="009D519D" w:rsidRDefault="007930D0" w:rsidP="00990AA4">
            <w:pPr>
              <w:adjustRightInd w:val="0"/>
              <w:snapToGrid w:val="0"/>
              <w:spacing w:afterLines="50" w:after="180" w:line="400" w:lineRule="exact"/>
              <w:jc w:val="both"/>
              <w:rPr>
                <w:rFonts w:ascii="標楷體" w:eastAsia="標楷體" w:hAnsi="標楷體" w:cs="Times New Roman"/>
                <w:szCs w:val="24"/>
                <w:u w:val="single"/>
              </w:rPr>
            </w:pPr>
          </w:p>
        </w:tc>
        <w:tc>
          <w:tcPr>
            <w:tcW w:w="3227" w:type="dxa"/>
            <w:tcBorders>
              <w:top w:val="single" w:sz="4" w:space="0" w:color="000000" w:themeColor="text1"/>
            </w:tcBorders>
          </w:tcPr>
          <w:p w:rsidR="00646BD3" w:rsidRPr="009D519D" w:rsidRDefault="00646BD3" w:rsidP="00646BD3">
            <w:pPr>
              <w:adjustRightInd w:val="0"/>
              <w:snapToGrid w:val="0"/>
              <w:spacing w:afterLines="50" w:after="180" w:line="400" w:lineRule="exact"/>
              <w:jc w:val="both"/>
              <w:rPr>
                <w:rFonts w:ascii="標楷體" w:eastAsia="標楷體" w:hAnsi="標楷體" w:cs="Times New Roman"/>
                <w:szCs w:val="24"/>
              </w:rPr>
            </w:pPr>
            <w:r w:rsidRPr="009D519D">
              <w:rPr>
                <w:rFonts w:ascii="標楷體" w:eastAsia="標楷體" w:hAnsi="標楷體" w:cs="Times New Roman" w:hint="eastAsia"/>
                <w:szCs w:val="24"/>
              </w:rPr>
              <w:t>刪除現行第四題說明(二)7.，調整文字後移至通路報酬揭露格式範本之填寫說明中規範。</w:t>
            </w:r>
          </w:p>
          <w:p w:rsidR="002A68DE" w:rsidRPr="009D519D" w:rsidRDefault="002A68DE" w:rsidP="00EE2A40">
            <w:pPr>
              <w:adjustRightInd w:val="0"/>
              <w:snapToGrid w:val="0"/>
              <w:spacing w:afterLines="50" w:after="180" w:line="400" w:lineRule="exact"/>
              <w:jc w:val="both"/>
              <w:rPr>
                <w:rFonts w:ascii="標楷體" w:eastAsia="標楷體" w:hAnsi="標楷體" w:cs="Times New Roman"/>
                <w:szCs w:val="24"/>
              </w:rPr>
            </w:pPr>
          </w:p>
        </w:tc>
      </w:tr>
      <w:tr w:rsidR="009D519D" w:rsidRPr="009D519D" w:rsidTr="00720289">
        <w:trPr>
          <w:trHeight w:val="3592"/>
        </w:trPr>
        <w:tc>
          <w:tcPr>
            <w:tcW w:w="3227" w:type="dxa"/>
          </w:tcPr>
          <w:p w:rsidR="003D0494" w:rsidRPr="009D519D" w:rsidRDefault="00CC65A9" w:rsidP="00687BB1">
            <w:pPr>
              <w:adjustRightInd w:val="0"/>
              <w:snapToGrid w:val="0"/>
              <w:spacing w:afterLines="50" w:after="180" w:line="400" w:lineRule="exact"/>
              <w:jc w:val="both"/>
              <w:rPr>
                <w:rFonts w:ascii="標楷體" w:eastAsia="標楷體" w:hAnsi="標楷體" w:cs="Times New Roman"/>
                <w:szCs w:val="24"/>
                <w:u w:val="single"/>
              </w:rPr>
            </w:pPr>
            <w:r w:rsidRPr="009D519D">
              <w:rPr>
                <w:rFonts w:ascii="標楷體" w:eastAsia="標楷體" w:hAnsi="標楷體" w:cs="Times New Roman" w:hint="eastAsia"/>
                <w:szCs w:val="24"/>
              </w:rPr>
              <w:t>刪除。</w:t>
            </w:r>
          </w:p>
        </w:tc>
        <w:tc>
          <w:tcPr>
            <w:tcW w:w="3227" w:type="dxa"/>
          </w:tcPr>
          <w:p w:rsidR="003D0494" w:rsidRPr="009D519D" w:rsidRDefault="00687BB1" w:rsidP="00687BB1">
            <w:pPr>
              <w:adjustRightInd w:val="0"/>
              <w:snapToGrid w:val="0"/>
              <w:spacing w:afterLines="50" w:after="180" w:line="400" w:lineRule="exact"/>
              <w:jc w:val="both"/>
              <w:rPr>
                <w:rFonts w:ascii="標楷體" w:eastAsia="標楷體" w:hAnsi="標楷體" w:cs="Times New Roman"/>
                <w:szCs w:val="24"/>
                <w:u w:val="single"/>
              </w:rPr>
            </w:pPr>
            <w:r w:rsidRPr="009D519D">
              <w:rPr>
                <w:rFonts w:ascii="標楷體" w:eastAsia="標楷體" w:hAnsi="標楷體" w:cs="Times New Roman" w:hint="eastAsia"/>
                <w:szCs w:val="24"/>
                <w:u w:val="single"/>
              </w:rPr>
              <w:t>8.其他報酬：銷售機構無收受該項通路報酬或每一會計年度自每一證券投資信託事業、總代理人或境外基金機構收受之金額未達揭露門檻，請視實際情況註明為未收取或未達1百萬元揭露門檻，但不得刪除該欄位。</w:t>
            </w:r>
          </w:p>
        </w:tc>
        <w:tc>
          <w:tcPr>
            <w:tcW w:w="3227" w:type="dxa"/>
          </w:tcPr>
          <w:p w:rsidR="00D9064B" w:rsidRPr="009D519D" w:rsidRDefault="00EE2A40" w:rsidP="00D9064B">
            <w:pPr>
              <w:adjustRightInd w:val="0"/>
              <w:snapToGrid w:val="0"/>
              <w:spacing w:afterLines="50" w:after="180" w:line="400" w:lineRule="exact"/>
              <w:jc w:val="both"/>
              <w:rPr>
                <w:rFonts w:ascii="標楷體" w:eastAsia="標楷體" w:hAnsi="標楷體" w:cs="Times New Roman"/>
                <w:szCs w:val="24"/>
              </w:rPr>
            </w:pPr>
            <w:r w:rsidRPr="009D519D">
              <w:rPr>
                <w:rFonts w:ascii="標楷體" w:eastAsia="標楷體" w:hAnsi="標楷體" w:cs="Times New Roman" w:hint="eastAsia"/>
                <w:szCs w:val="24"/>
              </w:rPr>
              <w:t>刪除現行第四題說明(二)</w:t>
            </w:r>
            <w:r w:rsidR="00FE4E40" w:rsidRPr="009D519D">
              <w:rPr>
                <w:rFonts w:ascii="標楷體" w:eastAsia="標楷體" w:hAnsi="標楷體" w:cs="Times New Roman" w:hint="eastAsia"/>
                <w:szCs w:val="24"/>
              </w:rPr>
              <w:t>8</w:t>
            </w:r>
            <w:r w:rsidRPr="009D519D">
              <w:rPr>
                <w:rFonts w:ascii="標楷體" w:eastAsia="標楷體" w:hAnsi="標楷體" w:cs="Times New Roman" w:hint="eastAsia"/>
                <w:szCs w:val="24"/>
              </w:rPr>
              <w:t>.</w:t>
            </w:r>
            <w:r w:rsidR="00D47CAF" w:rsidRPr="009D519D">
              <w:rPr>
                <w:rFonts w:ascii="標楷體" w:eastAsia="標楷體" w:hAnsi="標楷體" w:cs="Times New Roman" w:hint="eastAsia"/>
                <w:szCs w:val="24"/>
              </w:rPr>
              <w:t>。</w:t>
            </w:r>
            <w:r w:rsidRPr="009D519D">
              <w:rPr>
                <w:rFonts w:ascii="標楷體" w:eastAsia="標楷體" w:hAnsi="標楷體" w:cs="Times New Roman" w:hint="eastAsia"/>
                <w:szCs w:val="24"/>
              </w:rPr>
              <w:t>調整文字後移至通路報酬揭露格式範本之填寫說明中規範。</w:t>
            </w:r>
          </w:p>
          <w:p w:rsidR="00D9064B" w:rsidRPr="009D519D" w:rsidRDefault="00D9064B" w:rsidP="00D9064B">
            <w:pPr>
              <w:adjustRightInd w:val="0"/>
              <w:snapToGrid w:val="0"/>
              <w:spacing w:afterLines="50" w:after="180" w:line="400" w:lineRule="exact"/>
              <w:jc w:val="both"/>
              <w:rPr>
                <w:rFonts w:ascii="標楷體" w:eastAsia="標楷體" w:hAnsi="標楷體" w:cs="Times New Roman"/>
                <w:szCs w:val="24"/>
              </w:rPr>
            </w:pPr>
          </w:p>
          <w:p w:rsidR="00337C86" w:rsidRPr="009D519D" w:rsidRDefault="00337C86" w:rsidP="00EE2A40">
            <w:pPr>
              <w:adjustRightInd w:val="0"/>
              <w:snapToGrid w:val="0"/>
              <w:spacing w:afterLines="50" w:after="180" w:line="400" w:lineRule="exact"/>
              <w:jc w:val="both"/>
              <w:rPr>
                <w:rFonts w:ascii="標楷體" w:eastAsia="標楷體" w:hAnsi="標楷體" w:cs="Times New Roman"/>
                <w:szCs w:val="24"/>
              </w:rPr>
            </w:pPr>
          </w:p>
        </w:tc>
      </w:tr>
      <w:tr w:rsidR="009D519D" w:rsidRPr="009D519D" w:rsidTr="00720289">
        <w:trPr>
          <w:trHeight w:val="900"/>
        </w:trPr>
        <w:tc>
          <w:tcPr>
            <w:tcW w:w="3227" w:type="dxa"/>
          </w:tcPr>
          <w:p w:rsidR="00687BB1" w:rsidRPr="009D519D" w:rsidRDefault="00FE4E40" w:rsidP="00F4684F">
            <w:pPr>
              <w:adjustRightInd w:val="0"/>
              <w:snapToGrid w:val="0"/>
              <w:spacing w:afterLines="50" w:after="180" w:line="400" w:lineRule="exact"/>
              <w:jc w:val="both"/>
              <w:rPr>
                <w:rFonts w:ascii="標楷體" w:eastAsia="標楷體" w:hAnsi="標楷體" w:cs="Times New Roman"/>
                <w:szCs w:val="24"/>
              </w:rPr>
            </w:pPr>
            <w:r w:rsidRPr="009D519D">
              <w:rPr>
                <w:rFonts w:ascii="標楷體" w:eastAsia="標楷體" w:hAnsi="標楷體" w:cs="Times New Roman" w:hint="eastAsia"/>
                <w:szCs w:val="24"/>
              </w:rPr>
              <w:t>刪除。</w:t>
            </w:r>
          </w:p>
        </w:tc>
        <w:tc>
          <w:tcPr>
            <w:tcW w:w="3227" w:type="dxa"/>
          </w:tcPr>
          <w:p w:rsidR="00687BB1" w:rsidRPr="009D519D" w:rsidRDefault="00687BB1" w:rsidP="00990AA4">
            <w:pPr>
              <w:adjustRightInd w:val="0"/>
              <w:snapToGrid w:val="0"/>
              <w:spacing w:afterLines="50" w:after="180" w:line="400" w:lineRule="exact"/>
              <w:jc w:val="both"/>
              <w:rPr>
                <w:rFonts w:ascii="標楷體" w:eastAsia="標楷體" w:hAnsi="標楷體" w:cs="Times New Roman"/>
                <w:szCs w:val="24"/>
              </w:rPr>
            </w:pPr>
            <w:r w:rsidRPr="009D519D">
              <w:rPr>
                <w:rFonts w:ascii="標楷體" w:eastAsia="標楷體" w:hAnsi="標楷體" w:cs="Times New Roman" w:hint="eastAsia"/>
                <w:szCs w:val="24"/>
                <w:u w:val="single"/>
              </w:rPr>
              <w:t>9.總代理人或證券投資信託事業贊助或提供銷售機構向投資人進行產品說明及商品簡介等任何說明及活動；及為提升銷售機構人員銷售能力及瞭解商品性質之教育訓練，係為多家且特定銷售機構之員工及其投資人規劃辦理時，相關通路報酬之分攤方式由總代理人或證券投資信託事業與銷售機構間自行決定之。</w:t>
            </w:r>
          </w:p>
        </w:tc>
        <w:tc>
          <w:tcPr>
            <w:tcW w:w="3227" w:type="dxa"/>
          </w:tcPr>
          <w:p w:rsidR="00337C86" w:rsidRPr="009D519D" w:rsidRDefault="00FE4E40" w:rsidP="00FE4E40">
            <w:pPr>
              <w:adjustRightInd w:val="0"/>
              <w:snapToGrid w:val="0"/>
              <w:spacing w:afterLines="50" w:after="180" w:line="400" w:lineRule="exact"/>
              <w:jc w:val="both"/>
              <w:rPr>
                <w:rFonts w:ascii="標楷體" w:eastAsia="標楷體" w:hAnsi="標楷體" w:cs="Times New Roman"/>
                <w:szCs w:val="24"/>
              </w:rPr>
            </w:pPr>
            <w:r w:rsidRPr="009D519D">
              <w:rPr>
                <w:rFonts w:ascii="標楷體" w:eastAsia="標楷體" w:hAnsi="標楷體" w:cs="Times New Roman" w:hint="eastAsia"/>
                <w:szCs w:val="24"/>
              </w:rPr>
              <w:t>已移至修正條文第五題說明(二)規範，</w:t>
            </w:r>
            <w:proofErr w:type="gramStart"/>
            <w:r w:rsidRPr="009D519D">
              <w:rPr>
                <w:rFonts w:ascii="標楷體" w:eastAsia="標楷體" w:hAnsi="標楷體" w:cs="Times New Roman" w:hint="eastAsia"/>
                <w:szCs w:val="24"/>
              </w:rPr>
              <w:t>爰</w:t>
            </w:r>
            <w:proofErr w:type="gramEnd"/>
            <w:r w:rsidRPr="009D519D">
              <w:rPr>
                <w:rFonts w:ascii="標楷體" w:eastAsia="標楷體" w:hAnsi="標楷體" w:cs="Times New Roman" w:hint="eastAsia"/>
                <w:szCs w:val="24"/>
              </w:rPr>
              <w:t>刪除之。</w:t>
            </w:r>
          </w:p>
        </w:tc>
      </w:tr>
      <w:tr w:rsidR="009D519D" w:rsidRPr="009D519D" w:rsidTr="00720289">
        <w:trPr>
          <w:trHeight w:val="4500"/>
        </w:trPr>
        <w:tc>
          <w:tcPr>
            <w:tcW w:w="3227" w:type="dxa"/>
            <w:tcBorders>
              <w:bottom w:val="single" w:sz="4" w:space="0" w:color="000000" w:themeColor="text1"/>
            </w:tcBorders>
          </w:tcPr>
          <w:p w:rsidR="00687BB1" w:rsidRPr="009D519D" w:rsidRDefault="00CC65A9" w:rsidP="00C8436B">
            <w:pPr>
              <w:adjustRightInd w:val="0"/>
              <w:snapToGrid w:val="0"/>
              <w:spacing w:afterLines="50" w:after="180" w:line="400" w:lineRule="exact"/>
              <w:jc w:val="both"/>
              <w:rPr>
                <w:rFonts w:ascii="標楷體" w:eastAsia="標楷體" w:hAnsi="標楷體" w:cs="Times New Roman"/>
                <w:szCs w:val="24"/>
                <w:u w:val="single"/>
              </w:rPr>
            </w:pPr>
            <w:r w:rsidRPr="009D519D">
              <w:rPr>
                <w:rFonts w:ascii="標楷體" w:eastAsia="標楷體" w:hAnsi="標楷體" w:cs="Times New Roman" w:hint="eastAsia"/>
                <w:szCs w:val="24"/>
              </w:rPr>
              <w:lastRenderedPageBreak/>
              <w:t>刪除。</w:t>
            </w:r>
          </w:p>
        </w:tc>
        <w:tc>
          <w:tcPr>
            <w:tcW w:w="3227" w:type="dxa"/>
            <w:tcBorders>
              <w:bottom w:val="single" w:sz="4" w:space="0" w:color="000000" w:themeColor="text1"/>
            </w:tcBorders>
          </w:tcPr>
          <w:p w:rsidR="00687BB1" w:rsidRPr="009D519D" w:rsidRDefault="00687BB1" w:rsidP="00687BB1">
            <w:pPr>
              <w:adjustRightInd w:val="0"/>
              <w:snapToGrid w:val="0"/>
              <w:spacing w:afterLines="50" w:after="180" w:line="400" w:lineRule="exact"/>
              <w:jc w:val="both"/>
              <w:rPr>
                <w:rFonts w:ascii="標楷體" w:eastAsia="標楷體" w:hAnsi="標楷體" w:cs="Times New Roman"/>
                <w:szCs w:val="24"/>
              </w:rPr>
            </w:pPr>
            <w:r w:rsidRPr="009D519D">
              <w:rPr>
                <w:rFonts w:ascii="標楷體" w:eastAsia="標楷體" w:hAnsi="標楷體" w:cs="Times New Roman" w:hint="eastAsia"/>
                <w:szCs w:val="24"/>
                <w:u w:val="single"/>
              </w:rPr>
              <w:t>10.揭露格式範本之計算說明：基金銷售機構需就不同基金別，</w:t>
            </w:r>
            <w:proofErr w:type="gramStart"/>
            <w:r w:rsidRPr="009D519D">
              <w:rPr>
                <w:rFonts w:ascii="標楷體" w:eastAsia="標楷體" w:hAnsi="標楷體" w:cs="Times New Roman" w:hint="eastAsia"/>
                <w:szCs w:val="24"/>
                <w:u w:val="single"/>
              </w:rPr>
              <w:t>均以100000元</w:t>
            </w:r>
            <w:proofErr w:type="gramEnd"/>
            <w:r w:rsidRPr="009D519D">
              <w:rPr>
                <w:rFonts w:ascii="標楷體" w:eastAsia="標楷體" w:hAnsi="標楷體" w:cs="Times New Roman" w:hint="eastAsia"/>
                <w:szCs w:val="24"/>
                <w:u w:val="single"/>
              </w:rPr>
              <w:t>的投資金額依通路報酬揭露項目及揭露費率設算（同一附表內基金不用舉例）；</w:t>
            </w:r>
            <w:proofErr w:type="gramStart"/>
            <w:r w:rsidRPr="009D519D">
              <w:rPr>
                <w:rFonts w:ascii="標楷體" w:eastAsia="標楷體" w:hAnsi="標楷體" w:cs="Times New Roman" w:hint="eastAsia"/>
                <w:szCs w:val="24"/>
                <w:u w:val="single"/>
              </w:rPr>
              <w:t>此外，</w:t>
            </w:r>
            <w:proofErr w:type="gramEnd"/>
            <w:r w:rsidRPr="009D519D">
              <w:rPr>
                <w:rFonts w:ascii="標楷體" w:eastAsia="標楷體" w:hAnsi="標楷體" w:cs="Times New Roman" w:hint="eastAsia"/>
                <w:szCs w:val="24"/>
                <w:u w:val="single"/>
              </w:rPr>
              <w:t>銷售機構未收受該等銷售獎勵金、贊助或提供產品說明會及員工教育訓練或其他報酬者，可刪除相關計算說明，以免投資人誤解</w:t>
            </w:r>
            <w:r w:rsidRPr="009D519D">
              <w:rPr>
                <w:rFonts w:ascii="標楷體" w:eastAsia="標楷體" w:hAnsi="標楷體" w:cs="Times New Roman" w:hint="eastAsia"/>
                <w:szCs w:val="24"/>
              </w:rPr>
              <w:t>。</w:t>
            </w:r>
          </w:p>
        </w:tc>
        <w:tc>
          <w:tcPr>
            <w:tcW w:w="3227" w:type="dxa"/>
            <w:tcBorders>
              <w:bottom w:val="single" w:sz="4" w:space="0" w:color="000000" w:themeColor="text1"/>
            </w:tcBorders>
          </w:tcPr>
          <w:p w:rsidR="00CE0DC5" w:rsidRPr="009D519D" w:rsidRDefault="00972AB8" w:rsidP="00C8436B">
            <w:pPr>
              <w:adjustRightInd w:val="0"/>
              <w:snapToGrid w:val="0"/>
              <w:spacing w:afterLines="50" w:after="180" w:line="400" w:lineRule="exact"/>
              <w:jc w:val="both"/>
              <w:rPr>
                <w:rFonts w:ascii="標楷體" w:eastAsia="標楷體" w:hAnsi="標楷體" w:cs="Times New Roman"/>
                <w:szCs w:val="24"/>
              </w:rPr>
            </w:pPr>
            <w:r w:rsidRPr="009D519D">
              <w:rPr>
                <w:rFonts w:ascii="標楷體" w:eastAsia="標楷體" w:hAnsi="標楷體" w:cs="Times New Roman" w:hint="eastAsia"/>
                <w:szCs w:val="24"/>
              </w:rPr>
              <w:t>現行</w:t>
            </w:r>
            <w:r w:rsidR="00CE0DC5" w:rsidRPr="009D519D">
              <w:rPr>
                <w:rFonts w:ascii="標楷體" w:eastAsia="標楷體" w:hAnsi="標楷體" w:cs="Times New Roman" w:hint="eastAsia"/>
                <w:szCs w:val="24"/>
              </w:rPr>
              <w:t>第</w:t>
            </w:r>
            <w:r w:rsidRPr="009D519D">
              <w:rPr>
                <w:rFonts w:ascii="標楷體" w:eastAsia="標楷體" w:hAnsi="標楷體" w:cs="Times New Roman" w:hint="eastAsia"/>
                <w:szCs w:val="24"/>
              </w:rPr>
              <w:t>四</w:t>
            </w:r>
            <w:r w:rsidR="00CE0DC5" w:rsidRPr="009D519D">
              <w:rPr>
                <w:rFonts w:ascii="標楷體" w:eastAsia="標楷體" w:hAnsi="標楷體" w:cs="Times New Roman" w:hint="eastAsia"/>
                <w:szCs w:val="24"/>
              </w:rPr>
              <w:t>題說明(二)</w:t>
            </w:r>
            <w:r w:rsidRPr="009D519D">
              <w:rPr>
                <w:rFonts w:ascii="標楷體" w:eastAsia="標楷體" w:hAnsi="標楷體" w:cs="Times New Roman" w:hint="eastAsia"/>
                <w:szCs w:val="24"/>
              </w:rPr>
              <w:t>10.</w:t>
            </w:r>
            <w:r w:rsidR="00CE0DC5" w:rsidRPr="009D519D">
              <w:rPr>
                <w:rFonts w:ascii="標楷體" w:eastAsia="標楷體" w:hAnsi="標楷體" w:cs="Times New Roman" w:hint="eastAsia"/>
                <w:szCs w:val="24"/>
              </w:rPr>
              <w:t>，已移至通路報酬揭露格式範本之填寫說明中規範</w:t>
            </w:r>
            <w:r w:rsidR="0001046F" w:rsidRPr="009D519D">
              <w:rPr>
                <w:rFonts w:ascii="標楷體" w:eastAsia="標楷體" w:hAnsi="標楷體" w:cs="Times New Roman" w:hint="eastAsia"/>
                <w:szCs w:val="24"/>
              </w:rPr>
              <w:t>，</w:t>
            </w:r>
            <w:proofErr w:type="gramStart"/>
            <w:r w:rsidR="0001046F" w:rsidRPr="009D519D">
              <w:rPr>
                <w:rFonts w:ascii="標楷體" w:eastAsia="標楷體" w:hAnsi="標楷體" w:cs="Times New Roman" w:hint="eastAsia"/>
                <w:szCs w:val="24"/>
              </w:rPr>
              <w:t>爰</w:t>
            </w:r>
            <w:proofErr w:type="gramEnd"/>
            <w:r w:rsidR="0001046F" w:rsidRPr="009D519D">
              <w:rPr>
                <w:rFonts w:ascii="標楷體" w:eastAsia="標楷體" w:hAnsi="標楷體" w:cs="Times New Roman" w:hint="eastAsia"/>
                <w:szCs w:val="24"/>
              </w:rPr>
              <w:t>刪除之</w:t>
            </w:r>
            <w:r w:rsidR="00CE0DC5" w:rsidRPr="009D519D">
              <w:rPr>
                <w:rFonts w:ascii="標楷體" w:eastAsia="標楷體" w:hAnsi="標楷體" w:cs="Times New Roman" w:hint="eastAsia"/>
                <w:szCs w:val="24"/>
              </w:rPr>
              <w:t>。</w:t>
            </w:r>
          </w:p>
          <w:p w:rsidR="00337C86" w:rsidRPr="009D519D" w:rsidRDefault="00337C86" w:rsidP="00337C86">
            <w:pPr>
              <w:adjustRightInd w:val="0"/>
              <w:snapToGrid w:val="0"/>
              <w:spacing w:afterLines="50" w:after="180" w:line="400" w:lineRule="exact"/>
              <w:jc w:val="both"/>
              <w:rPr>
                <w:rFonts w:ascii="標楷體" w:eastAsia="標楷體" w:hAnsi="標楷體" w:cs="Times New Roman"/>
                <w:szCs w:val="24"/>
              </w:rPr>
            </w:pPr>
          </w:p>
          <w:p w:rsidR="00337C86" w:rsidRPr="009D519D" w:rsidRDefault="00337C86" w:rsidP="00337C86">
            <w:pPr>
              <w:adjustRightInd w:val="0"/>
              <w:snapToGrid w:val="0"/>
              <w:spacing w:afterLines="50" w:after="180" w:line="400" w:lineRule="exact"/>
              <w:jc w:val="both"/>
              <w:rPr>
                <w:rFonts w:ascii="標楷體" w:eastAsia="標楷體" w:hAnsi="標楷體" w:cs="Times New Roman"/>
                <w:szCs w:val="24"/>
              </w:rPr>
            </w:pPr>
          </w:p>
        </w:tc>
      </w:tr>
      <w:tr w:rsidR="009D519D" w:rsidRPr="009D519D" w:rsidTr="00720289">
        <w:trPr>
          <w:trHeight w:val="2248"/>
        </w:trPr>
        <w:tc>
          <w:tcPr>
            <w:tcW w:w="3227" w:type="dxa"/>
            <w:tcBorders>
              <w:top w:val="single" w:sz="4" w:space="0" w:color="000000" w:themeColor="text1"/>
            </w:tcBorders>
          </w:tcPr>
          <w:p w:rsidR="00F24D16" w:rsidRPr="009D519D" w:rsidRDefault="00FE4E40" w:rsidP="007D34C2">
            <w:pPr>
              <w:adjustRightInd w:val="0"/>
              <w:snapToGrid w:val="0"/>
              <w:spacing w:afterLines="50" w:after="180" w:line="400" w:lineRule="exact"/>
              <w:jc w:val="both"/>
              <w:rPr>
                <w:rFonts w:ascii="標楷體" w:eastAsia="標楷體" w:hAnsi="標楷體" w:cs="Times New Roman"/>
                <w:szCs w:val="24"/>
              </w:rPr>
            </w:pPr>
            <w:r w:rsidRPr="009D519D">
              <w:rPr>
                <w:rFonts w:ascii="標楷體" w:eastAsia="標楷體" w:hAnsi="標楷體" w:cs="Times New Roman" w:hint="eastAsia"/>
                <w:szCs w:val="24"/>
              </w:rPr>
              <w:t>刪除。</w:t>
            </w:r>
          </w:p>
        </w:tc>
        <w:tc>
          <w:tcPr>
            <w:tcW w:w="3227" w:type="dxa"/>
            <w:tcBorders>
              <w:top w:val="single" w:sz="4" w:space="0" w:color="000000" w:themeColor="text1"/>
            </w:tcBorders>
          </w:tcPr>
          <w:p w:rsidR="00F24D16" w:rsidRPr="009D519D" w:rsidRDefault="00F24D16" w:rsidP="00F24D16">
            <w:pPr>
              <w:adjustRightInd w:val="0"/>
              <w:snapToGrid w:val="0"/>
              <w:spacing w:afterLines="50" w:after="180" w:line="400" w:lineRule="exact"/>
              <w:jc w:val="both"/>
              <w:rPr>
                <w:rFonts w:ascii="標楷體" w:eastAsia="標楷體" w:hAnsi="標楷體" w:cs="Times New Roman"/>
                <w:szCs w:val="24"/>
                <w:u w:val="single"/>
              </w:rPr>
            </w:pPr>
            <w:r w:rsidRPr="009D519D">
              <w:rPr>
                <w:rFonts w:ascii="標楷體" w:eastAsia="標楷體" w:hAnsi="標楷體" w:cs="Times New Roman" w:hint="eastAsia"/>
                <w:szCs w:val="24"/>
                <w:u w:val="single"/>
              </w:rPr>
              <w:t>11.投資人必須就揭露文件、網路頁面或語音播放為單獨之確認；在本人簽名/蓋章處，可填寫或註記投資人之其他人別資料。</w:t>
            </w:r>
          </w:p>
        </w:tc>
        <w:tc>
          <w:tcPr>
            <w:tcW w:w="3227" w:type="dxa"/>
            <w:tcBorders>
              <w:top w:val="single" w:sz="4" w:space="0" w:color="000000" w:themeColor="text1"/>
            </w:tcBorders>
          </w:tcPr>
          <w:p w:rsidR="00F24D16" w:rsidRPr="009D519D" w:rsidRDefault="009C5698" w:rsidP="009C5698">
            <w:pPr>
              <w:adjustRightInd w:val="0"/>
              <w:snapToGrid w:val="0"/>
              <w:spacing w:afterLines="50" w:after="180" w:line="400" w:lineRule="exact"/>
              <w:jc w:val="both"/>
              <w:rPr>
                <w:rFonts w:ascii="標楷體" w:eastAsia="標楷體" w:hAnsi="標楷體" w:cs="Times New Roman"/>
                <w:szCs w:val="24"/>
              </w:rPr>
            </w:pPr>
            <w:r w:rsidRPr="009D519D">
              <w:rPr>
                <w:rFonts w:ascii="標楷體" w:eastAsia="標楷體" w:hAnsi="標楷體" w:cs="Times New Roman" w:hint="eastAsia"/>
                <w:szCs w:val="24"/>
              </w:rPr>
              <w:t>現行第四題說明(二)11.，</w:t>
            </w:r>
            <w:r w:rsidR="003E44E7" w:rsidRPr="009D519D">
              <w:rPr>
                <w:rFonts w:ascii="標楷體" w:eastAsia="標楷體" w:hAnsi="標楷體" w:cs="Times New Roman" w:hint="eastAsia"/>
                <w:szCs w:val="24"/>
              </w:rPr>
              <w:t>文字調整後</w:t>
            </w:r>
            <w:r w:rsidR="00FE4E40" w:rsidRPr="009D519D">
              <w:rPr>
                <w:rFonts w:ascii="標楷體" w:eastAsia="標楷體" w:hAnsi="標楷體" w:cs="Times New Roman" w:hint="eastAsia"/>
                <w:szCs w:val="24"/>
              </w:rPr>
              <w:t>已移至通路報酬揭露格式範本之填寫說明中規範，</w:t>
            </w:r>
            <w:proofErr w:type="gramStart"/>
            <w:r w:rsidR="00FE4E40" w:rsidRPr="009D519D">
              <w:rPr>
                <w:rFonts w:ascii="標楷體" w:eastAsia="標楷體" w:hAnsi="標楷體" w:cs="Times New Roman" w:hint="eastAsia"/>
                <w:szCs w:val="24"/>
              </w:rPr>
              <w:t>爰</w:t>
            </w:r>
            <w:proofErr w:type="gramEnd"/>
            <w:r w:rsidR="00FE4E40" w:rsidRPr="009D519D">
              <w:rPr>
                <w:rFonts w:ascii="標楷體" w:eastAsia="標楷體" w:hAnsi="標楷體" w:cs="Times New Roman" w:hint="eastAsia"/>
                <w:szCs w:val="24"/>
              </w:rPr>
              <w:t>刪除之。</w:t>
            </w:r>
          </w:p>
        </w:tc>
      </w:tr>
      <w:tr w:rsidR="009D519D" w:rsidRPr="009D519D" w:rsidTr="00720289">
        <w:trPr>
          <w:trHeight w:val="900"/>
        </w:trPr>
        <w:tc>
          <w:tcPr>
            <w:tcW w:w="3227" w:type="dxa"/>
          </w:tcPr>
          <w:p w:rsidR="00E02269" w:rsidRPr="009D519D" w:rsidRDefault="00FE4E40" w:rsidP="00990AA4">
            <w:pPr>
              <w:adjustRightInd w:val="0"/>
              <w:snapToGrid w:val="0"/>
              <w:spacing w:afterLines="50" w:after="180" w:line="400" w:lineRule="exact"/>
              <w:jc w:val="both"/>
              <w:rPr>
                <w:rFonts w:ascii="標楷體" w:eastAsia="標楷體" w:hAnsi="標楷體" w:cs="Times New Roman"/>
                <w:szCs w:val="24"/>
              </w:rPr>
            </w:pPr>
            <w:r w:rsidRPr="009D519D">
              <w:rPr>
                <w:rFonts w:ascii="標楷體" w:eastAsia="標楷體" w:hAnsi="標楷體" w:cs="Times New Roman" w:hint="eastAsia"/>
                <w:szCs w:val="24"/>
                <w:u w:val="single"/>
              </w:rPr>
              <w:t>(三)</w:t>
            </w:r>
            <w:r w:rsidR="005D577C" w:rsidRPr="009D519D">
              <w:rPr>
                <w:rFonts w:ascii="標楷體" w:eastAsia="標楷體" w:hAnsi="標楷體" w:cs="Times New Roman" w:hint="eastAsia"/>
                <w:szCs w:val="24"/>
              </w:rPr>
              <w:t>銷售機構對於金融消費者保護法第四條所稱專業投資機構申購基金時應進行之銷售前揭露通知，得僅於首次申購時為之，如雙方已於書面揭露本施行要點所規定之通路報酬並約定辦理變動通知之方式者，則該專業投資機構於後續申購基金時，銷售機構無須再對其揭露通路報酬，惟仍須辦理變動通知及定期通知。</w:t>
            </w:r>
          </w:p>
          <w:p w:rsidR="00E02269" w:rsidRPr="009D519D" w:rsidRDefault="00E02269" w:rsidP="00990AA4">
            <w:pPr>
              <w:adjustRightInd w:val="0"/>
              <w:snapToGrid w:val="0"/>
              <w:spacing w:afterLines="50" w:after="180" w:line="400" w:lineRule="exact"/>
              <w:jc w:val="both"/>
              <w:rPr>
                <w:rFonts w:ascii="標楷體" w:eastAsia="標楷體" w:hAnsi="標楷體" w:cs="Times New Roman"/>
                <w:szCs w:val="24"/>
              </w:rPr>
            </w:pPr>
          </w:p>
          <w:p w:rsidR="00E02269" w:rsidRPr="009D519D" w:rsidRDefault="00E02269" w:rsidP="00990AA4">
            <w:pPr>
              <w:adjustRightInd w:val="0"/>
              <w:snapToGrid w:val="0"/>
              <w:spacing w:afterLines="50" w:after="180" w:line="400" w:lineRule="exact"/>
              <w:jc w:val="both"/>
              <w:rPr>
                <w:rFonts w:ascii="標楷體" w:eastAsia="標楷體" w:hAnsi="標楷體" w:cs="Times New Roman"/>
                <w:szCs w:val="24"/>
              </w:rPr>
            </w:pPr>
          </w:p>
          <w:p w:rsidR="00E02269" w:rsidRPr="009D519D" w:rsidRDefault="00CC65A9" w:rsidP="00990AA4">
            <w:pPr>
              <w:adjustRightInd w:val="0"/>
              <w:snapToGrid w:val="0"/>
              <w:spacing w:afterLines="50" w:after="180" w:line="400" w:lineRule="exact"/>
              <w:jc w:val="both"/>
              <w:rPr>
                <w:rFonts w:ascii="標楷體" w:eastAsia="標楷體" w:hAnsi="標楷體" w:cs="Times New Roman"/>
                <w:szCs w:val="24"/>
              </w:rPr>
            </w:pPr>
            <w:r w:rsidRPr="009D519D">
              <w:rPr>
                <w:rFonts w:ascii="標楷體" w:eastAsia="標楷體" w:hAnsi="標楷體" w:cs="Times New Roman" w:hint="eastAsia"/>
                <w:szCs w:val="24"/>
              </w:rPr>
              <w:t>刪除。</w:t>
            </w:r>
          </w:p>
          <w:p w:rsidR="00E02269" w:rsidRPr="009D519D" w:rsidRDefault="00E02269" w:rsidP="00990AA4">
            <w:pPr>
              <w:adjustRightInd w:val="0"/>
              <w:snapToGrid w:val="0"/>
              <w:spacing w:afterLines="50" w:after="180" w:line="400" w:lineRule="exact"/>
              <w:jc w:val="both"/>
              <w:rPr>
                <w:rFonts w:ascii="標楷體" w:eastAsia="標楷體" w:hAnsi="標楷體" w:cs="Times New Roman"/>
                <w:szCs w:val="24"/>
              </w:rPr>
            </w:pPr>
          </w:p>
          <w:p w:rsidR="00442738" w:rsidRPr="009D519D" w:rsidRDefault="00442738" w:rsidP="00990AA4">
            <w:pPr>
              <w:adjustRightInd w:val="0"/>
              <w:snapToGrid w:val="0"/>
              <w:spacing w:afterLines="50" w:after="180" w:line="400" w:lineRule="exact"/>
              <w:jc w:val="both"/>
              <w:rPr>
                <w:rFonts w:ascii="標楷體" w:eastAsia="標楷體" w:hAnsi="標楷體" w:cs="Times New Roman"/>
                <w:szCs w:val="24"/>
              </w:rPr>
            </w:pPr>
          </w:p>
        </w:tc>
        <w:tc>
          <w:tcPr>
            <w:tcW w:w="3227" w:type="dxa"/>
          </w:tcPr>
          <w:p w:rsidR="004627F7" w:rsidRPr="009D519D" w:rsidRDefault="004627F7" w:rsidP="00990AA4">
            <w:pPr>
              <w:adjustRightInd w:val="0"/>
              <w:snapToGrid w:val="0"/>
              <w:spacing w:afterLines="50" w:after="180" w:line="400" w:lineRule="exact"/>
              <w:jc w:val="both"/>
              <w:rPr>
                <w:rFonts w:ascii="標楷體" w:eastAsia="標楷體" w:hAnsi="標楷體" w:cs="Times New Roman"/>
                <w:szCs w:val="24"/>
              </w:rPr>
            </w:pPr>
            <w:r w:rsidRPr="009D519D">
              <w:rPr>
                <w:rFonts w:ascii="標楷體" w:eastAsia="標楷體" w:hAnsi="標楷體" w:cs="Times New Roman" w:hint="eastAsia"/>
                <w:szCs w:val="24"/>
                <w:u w:val="single"/>
              </w:rPr>
              <w:lastRenderedPageBreak/>
              <w:t>12</w:t>
            </w:r>
            <w:r w:rsidRPr="009D519D">
              <w:rPr>
                <w:rFonts w:ascii="標楷體" w:eastAsia="標楷體" w:hAnsi="標楷體" w:cs="Times New Roman" w:hint="eastAsia"/>
                <w:szCs w:val="24"/>
              </w:rPr>
              <w:t>.銷售機構對於金融消費者保護法第四條所稱專業投資機構申購基金時應進行之銷售前揭露通知，得僅於首次申購時為之，如雙方已於書面揭露本施行要點所規定之通路報酬並約定辦理變動通知之方式者，則該專業投資機構於後續申購基金時，銷售機構無須再對其揭露通路報酬，惟仍須辦理變動通知及定期通知。</w:t>
            </w:r>
          </w:p>
          <w:p w:rsidR="00442738" w:rsidRPr="009D519D" w:rsidRDefault="004627F7" w:rsidP="00990AA4">
            <w:pPr>
              <w:adjustRightInd w:val="0"/>
              <w:snapToGrid w:val="0"/>
              <w:spacing w:afterLines="50" w:after="180" w:line="400" w:lineRule="exact"/>
              <w:jc w:val="both"/>
              <w:rPr>
                <w:rFonts w:ascii="標楷體" w:eastAsia="標楷體" w:hAnsi="標楷體" w:cs="Times New Roman"/>
                <w:szCs w:val="24"/>
              </w:rPr>
            </w:pPr>
            <w:r w:rsidRPr="009D519D">
              <w:rPr>
                <w:rFonts w:ascii="標楷體" w:eastAsia="標楷體" w:hAnsi="標楷體" w:cs="Times New Roman" w:hint="eastAsia"/>
                <w:szCs w:val="24"/>
                <w:u w:val="single"/>
              </w:rPr>
              <w:t>上述專業投資機構之範圍，依據金融監督管理委員會（原行政院金融監督管理委員會）100年12月12日金</w:t>
            </w:r>
            <w:proofErr w:type="gramStart"/>
            <w:r w:rsidRPr="009D519D">
              <w:rPr>
                <w:rFonts w:ascii="標楷體" w:eastAsia="標楷體" w:hAnsi="標楷體" w:cs="Times New Roman" w:hint="eastAsia"/>
                <w:szCs w:val="24"/>
                <w:u w:val="single"/>
              </w:rPr>
              <w:t>管法字第10000707320</w:t>
            </w:r>
            <w:proofErr w:type="gramEnd"/>
            <w:r w:rsidRPr="009D519D">
              <w:rPr>
                <w:rFonts w:ascii="標楷體" w:eastAsia="標楷體" w:hAnsi="標楷體" w:cs="Times New Roman" w:hint="eastAsia"/>
                <w:szCs w:val="24"/>
                <w:u w:val="single"/>
              </w:rPr>
              <w:t>號令所規定者如下：國內外之銀行業、證券</w:t>
            </w:r>
            <w:r w:rsidRPr="009D519D">
              <w:rPr>
                <w:rFonts w:ascii="標楷體" w:eastAsia="標楷體" w:hAnsi="標楷體" w:cs="Times New Roman" w:hint="eastAsia"/>
                <w:szCs w:val="24"/>
                <w:u w:val="single"/>
              </w:rPr>
              <w:lastRenderedPageBreak/>
              <w:t>業、期貨業、保險業(不包括保險代理人、保險經紀人及保險公證人)、基金管理公司、政府投資機構、政府基金、退休基金、共同基金、單位信託、及金融服務業依證券投資信託及顧問法、期貨交易法或信託業法經理之基金、或接受金融消費者委任交付或信託移轉之委託投資資產、或其他經主管機關認定之機構。</w:t>
            </w:r>
            <w:r w:rsidR="007F0EC1" w:rsidRPr="009D519D">
              <w:rPr>
                <w:rFonts w:ascii="標楷體" w:eastAsia="標楷體" w:hAnsi="標楷體" w:cs="Times New Roman" w:hint="eastAsia"/>
                <w:szCs w:val="24"/>
                <w:u w:val="single"/>
              </w:rPr>
              <w:t xml:space="preserve"> </w:t>
            </w:r>
          </w:p>
        </w:tc>
        <w:tc>
          <w:tcPr>
            <w:tcW w:w="3227" w:type="dxa"/>
          </w:tcPr>
          <w:p w:rsidR="005A3423" w:rsidRPr="009D519D" w:rsidRDefault="00337C86" w:rsidP="00990AA4">
            <w:pPr>
              <w:adjustRightInd w:val="0"/>
              <w:snapToGrid w:val="0"/>
              <w:spacing w:afterLines="50" w:after="180" w:line="400" w:lineRule="exact"/>
              <w:jc w:val="both"/>
              <w:rPr>
                <w:rFonts w:ascii="標楷體" w:eastAsia="標楷體" w:hAnsi="標楷體" w:cs="Times New Roman"/>
                <w:szCs w:val="24"/>
              </w:rPr>
            </w:pPr>
            <w:r w:rsidRPr="009D519D">
              <w:rPr>
                <w:rFonts w:ascii="標楷體" w:eastAsia="標楷體" w:hAnsi="標楷體" w:cs="Times New Roman" w:hint="eastAsia"/>
                <w:szCs w:val="24"/>
              </w:rPr>
              <w:lastRenderedPageBreak/>
              <w:t>說明次序</w:t>
            </w:r>
            <w:r w:rsidR="001B48C3">
              <w:rPr>
                <w:rFonts w:ascii="標楷體" w:eastAsia="標楷體" w:hAnsi="標楷體" w:cs="Times New Roman" w:hint="eastAsia"/>
                <w:szCs w:val="24"/>
              </w:rPr>
              <w:t>及文字</w:t>
            </w:r>
            <w:r w:rsidRPr="009D519D">
              <w:rPr>
                <w:rFonts w:ascii="標楷體" w:eastAsia="標楷體" w:hAnsi="標楷體" w:cs="Times New Roman" w:hint="eastAsia"/>
                <w:szCs w:val="24"/>
              </w:rPr>
              <w:t>調整。</w:t>
            </w:r>
          </w:p>
          <w:p w:rsidR="005A3423" w:rsidRPr="009D519D" w:rsidRDefault="005A3423" w:rsidP="00990AA4">
            <w:pPr>
              <w:adjustRightInd w:val="0"/>
              <w:snapToGrid w:val="0"/>
              <w:spacing w:afterLines="50" w:after="180" w:line="400" w:lineRule="exact"/>
              <w:jc w:val="both"/>
              <w:rPr>
                <w:rFonts w:ascii="標楷體" w:eastAsia="標楷體" w:hAnsi="標楷體" w:cs="Times New Roman"/>
                <w:szCs w:val="24"/>
              </w:rPr>
            </w:pPr>
          </w:p>
          <w:p w:rsidR="005A3423" w:rsidRPr="009D519D" w:rsidRDefault="005A3423" w:rsidP="00990AA4">
            <w:pPr>
              <w:adjustRightInd w:val="0"/>
              <w:snapToGrid w:val="0"/>
              <w:spacing w:afterLines="50" w:after="180" w:line="400" w:lineRule="exact"/>
              <w:jc w:val="both"/>
              <w:rPr>
                <w:rFonts w:ascii="標楷體" w:eastAsia="標楷體" w:hAnsi="標楷體" w:cs="Times New Roman"/>
                <w:szCs w:val="24"/>
              </w:rPr>
            </w:pPr>
          </w:p>
          <w:p w:rsidR="005A3423" w:rsidRPr="009D519D" w:rsidRDefault="005A3423" w:rsidP="00990AA4">
            <w:pPr>
              <w:adjustRightInd w:val="0"/>
              <w:snapToGrid w:val="0"/>
              <w:spacing w:afterLines="50" w:after="180" w:line="400" w:lineRule="exact"/>
              <w:jc w:val="both"/>
              <w:rPr>
                <w:rFonts w:ascii="標楷體" w:eastAsia="標楷體" w:hAnsi="標楷體" w:cs="Times New Roman"/>
                <w:szCs w:val="24"/>
              </w:rPr>
            </w:pPr>
          </w:p>
          <w:p w:rsidR="005A3423" w:rsidRPr="009D519D" w:rsidRDefault="005A3423" w:rsidP="00990AA4">
            <w:pPr>
              <w:adjustRightInd w:val="0"/>
              <w:snapToGrid w:val="0"/>
              <w:spacing w:afterLines="50" w:after="180" w:line="400" w:lineRule="exact"/>
              <w:jc w:val="both"/>
              <w:rPr>
                <w:rFonts w:ascii="標楷體" w:eastAsia="標楷體" w:hAnsi="標楷體" w:cs="Times New Roman"/>
                <w:szCs w:val="24"/>
              </w:rPr>
            </w:pPr>
          </w:p>
          <w:p w:rsidR="005A3423" w:rsidRPr="009D519D" w:rsidRDefault="005A3423" w:rsidP="00990AA4">
            <w:pPr>
              <w:adjustRightInd w:val="0"/>
              <w:snapToGrid w:val="0"/>
              <w:spacing w:afterLines="50" w:after="180" w:line="400" w:lineRule="exact"/>
              <w:jc w:val="both"/>
              <w:rPr>
                <w:rFonts w:ascii="標楷體" w:eastAsia="標楷體" w:hAnsi="標楷體" w:cs="Times New Roman"/>
                <w:szCs w:val="24"/>
              </w:rPr>
            </w:pPr>
          </w:p>
          <w:p w:rsidR="00DB52A0" w:rsidRPr="009D519D" w:rsidRDefault="00DB52A0" w:rsidP="00990AA4">
            <w:pPr>
              <w:adjustRightInd w:val="0"/>
              <w:snapToGrid w:val="0"/>
              <w:spacing w:afterLines="50" w:after="180" w:line="400" w:lineRule="exact"/>
              <w:jc w:val="both"/>
              <w:rPr>
                <w:rFonts w:ascii="標楷體" w:eastAsia="標楷體" w:hAnsi="標楷體" w:cs="Times New Roman"/>
                <w:szCs w:val="24"/>
              </w:rPr>
            </w:pPr>
          </w:p>
          <w:p w:rsidR="00C93A7C" w:rsidRPr="009D519D" w:rsidRDefault="00C93A7C" w:rsidP="00990AA4">
            <w:pPr>
              <w:adjustRightInd w:val="0"/>
              <w:snapToGrid w:val="0"/>
              <w:spacing w:afterLines="50" w:after="180" w:line="400" w:lineRule="exact"/>
              <w:jc w:val="both"/>
              <w:rPr>
                <w:rFonts w:ascii="標楷體" w:eastAsia="標楷體" w:hAnsi="標楷體" w:cs="Times New Roman"/>
                <w:szCs w:val="24"/>
              </w:rPr>
            </w:pPr>
          </w:p>
          <w:p w:rsidR="005A3423" w:rsidRPr="009D519D" w:rsidRDefault="005A3423" w:rsidP="00990AA4">
            <w:pPr>
              <w:adjustRightInd w:val="0"/>
              <w:snapToGrid w:val="0"/>
              <w:spacing w:afterLines="50" w:after="180" w:line="400" w:lineRule="exact"/>
              <w:jc w:val="both"/>
              <w:rPr>
                <w:rFonts w:ascii="標楷體" w:eastAsia="標楷體" w:hAnsi="標楷體" w:cs="Times New Roman"/>
                <w:szCs w:val="24"/>
              </w:rPr>
            </w:pPr>
          </w:p>
          <w:p w:rsidR="003519FC" w:rsidRPr="009D519D" w:rsidRDefault="003519FC" w:rsidP="00990AA4">
            <w:pPr>
              <w:adjustRightInd w:val="0"/>
              <w:snapToGrid w:val="0"/>
              <w:spacing w:afterLines="50" w:after="180" w:line="400" w:lineRule="exact"/>
              <w:jc w:val="both"/>
              <w:rPr>
                <w:rFonts w:ascii="標楷體" w:eastAsia="標楷體" w:hAnsi="標楷體" w:cs="Times New Roman"/>
                <w:szCs w:val="24"/>
              </w:rPr>
            </w:pPr>
          </w:p>
        </w:tc>
      </w:tr>
      <w:tr w:rsidR="009D519D" w:rsidRPr="009D519D" w:rsidTr="00720289">
        <w:trPr>
          <w:trHeight w:val="900"/>
        </w:trPr>
        <w:tc>
          <w:tcPr>
            <w:tcW w:w="3227" w:type="dxa"/>
          </w:tcPr>
          <w:p w:rsidR="00FE4E40" w:rsidRPr="009D519D" w:rsidRDefault="00FE4E40" w:rsidP="000D7B99">
            <w:pPr>
              <w:adjustRightInd w:val="0"/>
              <w:snapToGrid w:val="0"/>
              <w:spacing w:afterLines="50" w:after="180" w:line="400" w:lineRule="exact"/>
              <w:jc w:val="both"/>
              <w:rPr>
                <w:rFonts w:ascii="標楷體" w:eastAsia="標楷體" w:hAnsi="標楷體" w:cs="Times New Roman"/>
                <w:szCs w:val="24"/>
                <w:u w:val="single"/>
              </w:rPr>
            </w:pPr>
            <w:r w:rsidRPr="009D519D">
              <w:rPr>
                <w:rFonts w:ascii="標楷體" w:eastAsia="標楷體" w:hAnsi="標楷體" w:cs="Times New Roman" w:hint="eastAsia"/>
                <w:szCs w:val="24"/>
                <w:u w:val="single"/>
              </w:rPr>
              <w:lastRenderedPageBreak/>
              <w:t>(四)</w:t>
            </w:r>
            <w:r w:rsidRPr="009D519D">
              <w:rPr>
                <w:rFonts w:ascii="標楷體" w:eastAsia="標楷體" w:hAnsi="標楷體" w:hint="eastAsia"/>
                <w:u w:val="single"/>
              </w:rPr>
              <w:t>通路報酬</w:t>
            </w:r>
            <w:r w:rsidRPr="009D519D">
              <w:rPr>
                <w:rFonts w:ascii="標楷體" w:eastAsia="標楷體" w:hAnsi="標楷體" w:cs="Times New Roman" w:hint="eastAsia"/>
                <w:szCs w:val="24"/>
                <w:u w:val="single"/>
              </w:rPr>
              <w:t>揭露內容及格式</w:t>
            </w:r>
            <w:r w:rsidR="00A80C11" w:rsidRPr="009D519D">
              <w:rPr>
                <w:rFonts w:ascii="標楷體" w:eastAsia="標楷體" w:hAnsi="標楷體" w:cs="Times New Roman" w:hint="eastAsia"/>
                <w:szCs w:val="24"/>
                <w:u w:val="single"/>
              </w:rPr>
              <w:t>詳如</w:t>
            </w:r>
            <w:r w:rsidR="0009506B" w:rsidRPr="009D519D">
              <w:rPr>
                <w:rFonts w:ascii="標楷體" w:eastAsia="標楷體" w:hAnsi="標楷體" w:cs="Times New Roman" w:hint="eastAsia"/>
                <w:szCs w:val="24"/>
                <w:u w:val="single"/>
              </w:rPr>
              <w:t>本施行要點問答集之</w:t>
            </w:r>
            <w:r w:rsidR="00A80C11" w:rsidRPr="009D519D">
              <w:rPr>
                <w:rFonts w:ascii="標楷體" w:eastAsia="標楷體" w:hAnsi="標楷體" w:cs="Times New Roman" w:hint="eastAsia"/>
                <w:szCs w:val="24"/>
                <w:u w:val="single"/>
              </w:rPr>
              <w:t>通路報酬揭露格式範本</w:t>
            </w:r>
            <w:r w:rsidR="000D7B99" w:rsidRPr="009D519D">
              <w:rPr>
                <w:rFonts w:ascii="標楷體" w:eastAsia="標楷體" w:hAnsi="標楷體" w:cs="Times New Roman" w:hint="eastAsia"/>
                <w:szCs w:val="24"/>
                <w:u w:val="single"/>
              </w:rPr>
              <w:t>，該通路報酬揭露格式範本自109年1月1日起施行</w:t>
            </w:r>
            <w:r w:rsidRPr="009D519D">
              <w:rPr>
                <w:rFonts w:ascii="標楷體" w:eastAsia="標楷體" w:hAnsi="標楷體" w:cs="Times New Roman" w:hint="eastAsia"/>
                <w:szCs w:val="24"/>
                <w:u w:val="single"/>
              </w:rPr>
              <w:t>。</w:t>
            </w:r>
          </w:p>
        </w:tc>
        <w:tc>
          <w:tcPr>
            <w:tcW w:w="3227" w:type="dxa"/>
          </w:tcPr>
          <w:p w:rsidR="00FE4E40" w:rsidRPr="00E85F9B" w:rsidRDefault="00E85F9B" w:rsidP="00990AA4">
            <w:pPr>
              <w:adjustRightInd w:val="0"/>
              <w:snapToGrid w:val="0"/>
              <w:spacing w:afterLines="50" w:after="180" w:line="400" w:lineRule="exact"/>
              <w:jc w:val="both"/>
              <w:rPr>
                <w:rFonts w:ascii="標楷體" w:eastAsia="標楷體" w:hAnsi="標楷體" w:cs="Times New Roman"/>
                <w:szCs w:val="24"/>
              </w:rPr>
            </w:pPr>
            <w:r w:rsidRPr="00E85F9B">
              <w:rPr>
                <w:rFonts w:ascii="標楷體" w:eastAsia="標楷體" w:hAnsi="標楷體" w:cs="Times New Roman" w:hint="eastAsia"/>
                <w:szCs w:val="24"/>
              </w:rPr>
              <w:t>新增。</w:t>
            </w:r>
          </w:p>
        </w:tc>
        <w:tc>
          <w:tcPr>
            <w:tcW w:w="3227" w:type="dxa"/>
          </w:tcPr>
          <w:p w:rsidR="00FE4E40" w:rsidRPr="009D519D" w:rsidRDefault="00C37064" w:rsidP="008E386C">
            <w:pPr>
              <w:adjustRightInd w:val="0"/>
              <w:snapToGrid w:val="0"/>
              <w:spacing w:afterLines="50" w:after="180" w:line="400" w:lineRule="exact"/>
              <w:jc w:val="both"/>
              <w:rPr>
                <w:rFonts w:ascii="標楷體" w:eastAsia="標楷體" w:hAnsi="標楷體" w:cs="Times New Roman"/>
                <w:szCs w:val="24"/>
              </w:rPr>
            </w:pPr>
            <w:r w:rsidRPr="009D519D">
              <w:rPr>
                <w:rFonts w:ascii="標楷體" w:eastAsia="標楷體" w:hAnsi="標楷體" w:cs="Times New Roman" w:hint="eastAsia"/>
                <w:szCs w:val="24"/>
              </w:rPr>
              <w:t>新增</w:t>
            </w:r>
            <w:r w:rsidR="00B45615" w:rsidRPr="009D519D">
              <w:rPr>
                <w:rFonts w:ascii="標楷體" w:eastAsia="標楷體" w:hAnsi="標楷體" w:cs="Times New Roman" w:hint="eastAsia"/>
                <w:szCs w:val="24"/>
              </w:rPr>
              <w:t>修正</w:t>
            </w:r>
            <w:r w:rsidR="00D8497F" w:rsidRPr="009D519D">
              <w:rPr>
                <w:rFonts w:ascii="標楷體" w:eastAsia="標楷體" w:hAnsi="標楷體" w:cs="Times New Roman" w:hint="eastAsia"/>
                <w:szCs w:val="24"/>
              </w:rPr>
              <w:t>條文第五題說明(四)</w:t>
            </w:r>
            <w:r w:rsidR="00BC3322" w:rsidRPr="009D519D">
              <w:rPr>
                <w:rFonts w:ascii="標楷體" w:eastAsia="標楷體" w:hAnsi="標楷體" w:cs="Times New Roman" w:hint="eastAsia"/>
                <w:szCs w:val="24"/>
              </w:rPr>
              <w:t>。</w:t>
            </w:r>
            <w:r w:rsidR="000D7B99" w:rsidRPr="009D519D">
              <w:rPr>
                <w:rFonts w:ascii="標楷體" w:eastAsia="標楷體" w:hAnsi="標楷體" w:cs="Times New Roman" w:hint="eastAsia"/>
                <w:szCs w:val="24"/>
              </w:rPr>
              <w:t>通路報酬揭露格式範本自109年1月1日起施行，以利業者</w:t>
            </w:r>
            <w:r w:rsidR="00BC3322" w:rsidRPr="009D519D">
              <w:rPr>
                <w:rFonts w:ascii="標楷體" w:eastAsia="標楷體" w:hAnsi="標楷體" w:cs="Times New Roman" w:hint="eastAsia"/>
                <w:szCs w:val="24"/>
              </w:rPr>
              <w:t>進行</w:t>
            </w:r>
            <w:r w:rsidR="000D7B99" w:rsidRPr="009D519D">
              <w:rPr>
                <w:rFonts w:ascii="標楷體" w:eastAsia="標楷體" w:hAnsi="標楷體" w:cs="Times New Roman" w:hint="eastAsia"/>
                <w:szCs w:val="24"/>
              </w:rPr>
              <w:t>系統</w:t>
            </w:r>
            <w:r w:rsidR="00BC3322" w:rsidRPr="009D519D">
              <w:rPr>
                <w:rFonts w:ascii="標楷體" w:eastAsia="標楷體" w:hAnsi="標楷體" w:cs="Times New Roman" w:hint="eastAsia"/>
                <w:szCs w:val="24"/>
              </w:rPr>
              <w:t>調整</w:t>
            </w:r>
            <w:r w:rsidR="000D7B99" w:rsidRPr="009D519D">
              <w:rPr>
                <w:rFonts w:ascii="標楷體" w:eastAsia="標楷體" w:hAnsi="標楷體" w:cs="Times New Roman" w:hint="eastAsia"/>
                <w:szCs w:val="24"/>
              </w:rPr>
              <w:t>作業。</w:t>
            </w:r>
          </w:p>
        </w:tc>
      </w:tr>
      <w:tr w:rsidR="009D519D" w:rsidRPr="009D519D" w:rsidTr="00720289">
        <w:trPr>
          <w:trHeight w:val="900"/>
        </w:trPr>
        <w:tc>
          <w:tcPr>
            <w:tcW w:w="3227" w:type="dxa"/>
          </w:tcPr>
          <w:p w:rsidR="0057434E" w:rsidRPr="009D519D" w:rsidRDefault="0057434E" w:rsidP="0057434E">
            <w:pPr>
              <w:adjustRightInd w:val="0"/>
              <w:snapToGrid w:val="0"/>
              <w:spacing w:afterLines="50" w:after="180" w:line="400" w:lineRule="exact"/>
              <w:jc w:val="both"/>
              <w:rPr>
                <w:rFonts w:ascii="標楷體" w:eastAsia="標楷體" w:hAnsi="標楷體" w:cs="Times New Roman"/>
                <w:szCs w:val="24"/>
              </w:rPr>
            </w:pPr>
            <w:r w:rsidRPr="009D519D">
              <w:rPr>
                <w:rFonts w:ascii="標楷體" w:eastAsia="標楷體" w:hAnsi="標楷體" w:cs="Times New Roman" w:hint="eastAsia"/>
                <w:szCs w:val="24"/>
                <w:u w:val="single"/>
              </w:rPr>
              <w:t>六</w:t>
            </w:r>
            <w:r w:rsidRPr="009D519D">
              <w:rPr>
                <w:rFonts w:ascii="標楷體" w:eastAsia="標楷體" w:hAnsi="標楷體" w:cs="Times New Roman" w:hint="eastAsia"/>
                <w:szCs w:val="24"/>
              </w:rPr>
              <w:t>、就本施行要點第四條第(7)點，語音申購、自動化通路設備（ATM）或行動銀行應如何進行，其原則為何？</w:t>
            </w:r>
          </w:p>
          <w:p w:rsidR="0057434E" w:rsidRPr="009D519D" w:rsidRDefault="0057434E" w:rsidP="0057434E">
            <w:pPr>
              <w:adjustRightInd w:val="0"/>
              <w:snapToGrid w:val="0"/>
              <w:spacing w:afterLines="50" w:after="180" w:line="400" w:lineRule="exact"/>
              <w:jc w:val="both"/>
              <w:rPr>
                <w:rFonts w:ascii="標楷體" w:eastAsia="標楷體" w:hAnsi="標楷體" w:cs="Times New Roman"/>
                <w:szCs w:val="24"/>
              </w:rPr>
            </w:pPr>
            <w:r w:rsidRPr="009D519D">
              <w:rPr>
                <w:rFonts w:ascii="標楷體" w:eastAsia="標楷體" w:hAnsi="標楷體" w:cs="Times New Roman" w:hint="eastAsia"/>
                <w:szCs w:val="24"/>
              </w:rPr>
              <w:t>說明：語音申購（包括全人工語音接單、全自動語音接單或混合型）、自動化通路設備（ATM）或行動銀行程序原則如下：</w:t>
            </w:r>
          </w:p>
          <w:p w:rsidR="0057434E" w:rsidRPr="009D519D" w:rsidRDefault="0057434E" w:rsidP="0057434E">
            <w:pPr>
              <w:adjustRightInd w:val="0"/>
              <w:snapToGrid w:val="0"/>
              <w:spacing w:afterLines="50" w:after="180" w:line="400" w:lineRule="exact"/>
              <w:jc w:val="both"/>
              <w:rPr>
                <w:rFonts w:ascii="標楷體" w:eastAsia="標楷體" w:hAnsi="標楷體" w:cs="Times New Roman"/>
                <w:szCs w:val="24"/>
              </w:rPr>
            </w:pPr>
            <w:r w:rsidRPr="009D519D">
              <w:rPr>
                <w:rFonts w:ascii="標楷體" w:eastAsia="標楷體" w:hAnsi="標楷體" w:cs="Times New Roman" w:hint="eastAsia"/>
                <w:szCs w:val="24"/>
              </w:rPr>
              <w:t>(</w:t>
            </w:r>
            <w:proofErr w:type="gramStart"/>
            <w:r w:rsidRPr="009D519D">
              <w:rPr>
                <w:rFonts w:ascii="標楷體" w:eastAsia="標楷體" w:hAnsi="標楷體" w:cs="Times New Roman" w:hint="eastAsia"/>
                <w:szCs w:val="24"/>
              </w:rPr>
              <w:t>一</w:t>
            </w:r>
            <w:proofErr w:type="gramEnd"/>
            <w:r w:rsidRPr="009D519D">
              <w:rPr>
                <w:rFonts w:ascii="標楷體" w:eastAsia="標楷體" w:hAnsi="標楷體" w:cs="Times New Roman" w:hint="eastAsia"/>
                <w:szCs w:val="24"/>
              </w:rPr>
              <w:t>)進入語音申購、自動化通路設備（ATM）或行動銀行前，投資人必須各依不同銷售方式先提供身分證字號或出生年月日或登入帳號或密碼或個人金融卡等個人識別資訊以確認本人。</w:t>
            </w:r>
          </w:p>
          <w:p w:rsidR="0057434E" w:rsidRPr="009D519D" w:rsidRDefault="0057434E" w:rsidP="0057434E">
            <w:pPr>
              <w:adjustRightInd w:val="0"/>
              <w:snapToGrid w:val="0"/>
              <w:spacing w:afterLines="50" w:after="180" w:line="400" w:lineRule="exact"/>
              <w:jc w:val="both"/>
              <w:rPr>
                <w:rFonts w:ascii="標楷體" w:eastAsia="標楷體" w:hAnsi="標楷體" w:cs="Times New Roman"/>
                <w:szCs w:val="24"/>
              </w:rPr>
            </w:pPr>
            <w:r w:rsidRPr="009D519D">
              <w:rPr>
                <w:rFonts w:ascii="標楷體" w:eastAsia="標楷體" w:hAnsi="標楷體" w:cs="Times New Roman" w:hint="eastAsia"/>
                <w:szCs w:val="24"/>
              </w:rPr>
              <w:lastRenderedPageBreak/>
              <w:t>(二)確認本人後，語音系統、自動化通路設備（ATM）或行動銀行先請</w:t>
            </w:r>
            <w:r w:rsidRPr="009D519D">
              <w:rPr>
                <w:rFonts w:ascii="標楷體" w:eastAsia="標楷體" w:hAnsi="標楷體" w:cs="Times New Roman" w:hint="eastAsia"/>
                <w:szCs w:val="24"/>
                <w:u w:val="single"/>
              </w:rPr>
              <w:t>投資人</w:t>
            </w:r>
            <w:r w:rsidRPr="009D519D">
              <w:rPr>
                <w:rFonts w:ascii="標楷體" w:eastAsia="標楷體" w:hAnsi="標楷體" w:cs="Times New Roman" w:hint="eastAsia"/>
                <w:szCs w:val="24"/>
              </w:rPr>
              <w:t>確認是否已知道通路報酬費率項目內容，</w:t>
            </w:r>
            <w:r w:rsidRPr="009D519D">
              <w:rPr>
                <w:rFonts w:ascii="標楷體" w:eastAsia="標楷體" w:hAnsi="標楷體" w:cs="Times New Roman" w:hint="eastAsia"/>
                <w:szCs w:val="24"/>
                <w:u w:val="single"/>
              </w:rPr>
              <w:t>投資人</w:t>
            </w:r>
            <w:r w:rsidRPr="009D519D">
              <w:rPr>
                <w:rFonts w:ascii="標楷體" w:eastAsia="標楷體" w:hAnsi="標楷體" w:cs="Times New Roman" w:hint="eastAsia"/>
                <w:szCs w:val="24"/>
              </w:rPr>
              <w:t>選擇知悉並確認取得資料管道後則開始交易；若</w:t>
            </w:r>
            <w:r w:rsidRPr="009D519D">
              <w:rPr>
                <w:rFonts w:ascii="標楷體" w:eastAsia="標楷體" w:hAnsi="標楷體" w:cs="Times New Roman" w:hint="eastAsia"/>
                <w:szCs w:val="24"/>
                <w:u w:val="single"/>
              </w:rPr>
              <w:t>投資人</w:t>
            </w:r>
            <w:r w:rsidRPr="009D519D">
              <w:rPr>
                <w:rFonts w:ascii="標楷體" w:eastAsia="標楷體" w:hAnsi="標楷體" w:cs="Times New Roman" w:hint="eastAsia"/>
                <w:szCs w:val="24"/>
              </w:rPr>
              <w:t>選擇</w:t>
            </w:r>
            <w:proofErr w:type="gramStart"/>
            <w:r w:rsidRPr="009D519D">
              <w:rPr>
                <w:rFonts w:ascii="標楷體" w:eastAsia="標楷體" w:hAnsi="標楷體" w:cs="Times New Roman" w:hint="eastAsia"/>
                <w:szCs w:val="24"/>
              </w:rPr>
              <w:t>不</w:t>
            </w:r>
            <w:proofErr w:type="gramEnd"/>
            <w:r w:rsidRPr="009D519D">
              <w:rPr>
                <w:rFonts w:ascii="標楷體" w:eastAsia="標楷體" w:hAnsi="標楷體" w:cs="Times New Roman" w:hint="eastAsia"/>
                <w:szCs w:val="24"/>
              </w:rPr>
              <w:t>知悉或未確認取得管道，則進行下一階段。</w:t>
            </w:r>
          </w:p>
          <w:p w:rsidR="0057434E" w:rsidRPr="009D519D" w:rsidRDefault="0057434E" w:rsidP="0057434E">
            <w:pPr>
              <w:adjustRightInd w:val="0"/>
              <w:snapToGrid w:val="0"/>
              <w:spacing w:afterLines="50" w:after="180" w:line="400" w:lineRule="exact"/>
              <w:jc w:val="both"/>
              <w:rPr>
                <w:rFonts w:ascii="標楷體" w:eastAsia="標楷體" w:hAnsi="標楷體" w:cs="Times New Roman"/>
                <w:szCs w:val="24"/>
              </w:rPr>
            </w:pPr>
            <w:r w:rsidRPr="009D519D">
              <w:rPr>
                <w:rFonts w:ascii="標楷體" w:eastAsia="標楷體" w:hAnsi="標楷體" w:cs="Times New Roman" w:hint="eastAsia"/>
                <w:szCs w:val="24"/>
              </w:rPr>
              <w:t>(三)就語音申購部份，</w:t>
            </w:r>
            <w:r w:rsidRPr="009D519D">
              <w:rPr>
                <w:rFonts w:ascii="標楷體" w:eastAsia="標楷體" w:hAnsi="標楷體" w:cs="Times New Roman" w:hint="eastAsia"/>
                <w:szCs w:val="24"/>
                <w:u w:val="single"/>
              </w:rPr>
              <w:t>投資人</w:t>
            </w:r>
            <w:r w:rsidRPr="009D519D">
              <w:rPr>
                <w:rFonts w:ascii="標楷體" w:eastAsia="標楷體" w:hAnsi="標楷體" w:cs="Times New Roman" w:hint="eastAsia"/>
                <w:szCs w:val="24"/>
              </w:rPr>
              <w:t>選擇</w:t>
            </w:r>
            <w:proofErr w:type="gramStart"/>
            <w:r w:rsidRPr="009D519D">
              <w:rPr>
                <w:rFonts w:ascii="標楷體" w:eastAsia="標楷體" w:hAnsi="標楷體" w:cs="Times New Roman" w:hint="eastAsia"/>
                <w:szCs w:val="24"/>
              </w:rPr>
              <w:t>不</w:t>
            </w:r>
            <w:proofErr w:type="gramEnd"/>
            <w:r w:rsidRPr="009D519D">
              <w:rPr>
                <w:rFonts w:ascii="標楷體" w:eastAsia="標楷體" w:hAnsi="標楷體" w:cs="Times New Roman" w:hint="eastAsia"/>
                <w:szCs w:val="24"/>
              </w:rPr>
              <w:t>知悉或未確認取得管道，銷售機構若擇以語音錄音播放或真人語音服務說明，為免過於冗長，可省略揭露格式計算說明部分覆誦。同時，就通路報酬揭露的項目及內容，可以較為口語方式表達說明。</w:t>
            </w:r>
            <w:r w:rsidRPr="009D519D">
              <w:rPr>
                <w:rFonts w:ascii="標楷體" w:eastAsia="標楷體" w:hAnsi="標楷體" w:cs="Times New Roman" w:hint="eastAsia"/>
                <w:szCs w:val="24"/>
                <w:u w:val="single"/>
              </w:rPr>
              <w:t>投資人</w:t>
            </w:r>
            <w:r w:rsidRPr="009D519D">
              <w:rPr>
                <w:rFonts w:ascii="標楷體" w:eastAsia="標楷體" w:hAnsi="標楷體" w:cs="Times New Roman" w:hint="eastAsia"/>
                <w:szCs w:val="24"/>
              </w:rPr>
              <w:t>知悉後則可開始交易。</w:t>
            </w:r>
          </w:p>
          <w:p w:rsidR="0057434E" w:rsidRPr="009D519D" w:rsidRDefault="0057434E" w:rsidP="0057434E">
            <w:pPr>
              <w:adjustRightInd w:val="0"/>
              <w:snapToGrid w:val="0"/>
              <w:spacing w:afterLines="50" w:after="180" w:line="400" w:lineRule="exact"/>
              <w:jc w:val="both"/>
              <w:rPr>
                <w:rFonts w:ascii="標楷體" w:eastAsia="標楷體" w:hAnsi="標楷體" w:cs="Times New Roman"/>
                <w:szCs w:val="24"/>
              </w:rPr>
            </w:pPr>
            <w:r w:rsidRPr="009D519D">
              <w:rPr>
                <w:rFonts w:ascii="標楷體" w:eastAsia="標楷體" w:hAnsi="標楷體" w:cs="Times New Roman" w:hint="eastAsia"/>
                <w:szCs w:val="24"/>
              </w:rPr>
              <w:t>(四)</w:t>
            </w:r>
            <w:r w:rsidRPr="009D519D">
              <w:rPr>
                <w:rFonts w:ascii="標楷體" w:eastAsia="標楷體" w:hAnsi="標楷體" w:cs="Times New Roman" w:hint="eastAsia"/>
                <w:szCs w:val="24"/>
                <w:u w:val="single"/>
              </w:rPr>
              <w:t>投資人</w:t>
            </w:r>
            <w:r w:rsidRPr="009D519D">
              <w:rPr>
                <w:rFonts w:ascii="標楷體" w:eastAsia="標楷體" w:hAnsi="標楷體" w:cs="Times New Roman" w:hint="eastAsia"/>
                <w:szCs w:val="24"/>
              </w:rPr>
              <w:t>選擇</w:t>
            </w:r>
            <w:proofErr w:type="gramStart"/>
            <w:r w:rsidRPr="009D519D">
              <w:rPr>
                <w:rFonts w:ascii="標楷體" w:eastAsia="標楷體" w:hAnsi="標楷體" w:cs="Times New Roman" w:hint="eastAsia"/>
                <w:szCs w:val="24"/>
              </w:rPr>
              <w:t>不</w:t>
            </w:r>
            <w:proofErr w:type="gramEnd"/>
            <w:r w:rsidRPr="009D519D">
              <w:rPr>
                <w:rFonts w:ascii="標楷體" w:eastAsia="標楷體" w:hAnsi="標楷體" w:cs="Times New Roman" w:hint="eastAsia"/>
                <w:szCs w:val="24"/>
              </w:rPr>
              <w:t>知悉或未確認取得管道，銷售機構亦可任選或</w:t>
            </w:r>
            <w:proofErr w:type="gramStart"/>
            <w:r w:rsidRPr="009D519D">
              <w:rPr>
                <w:rFonts w:ascii="標楷體" w:eastAsia="標楷體" w:hAnsi="標楷體" w:cs="Times New Roman" w:hint="eastAsia"/>
                <w:szCs w:val="24"/>
              </w:rPr>
              <w:t>併</w:t>
            </w:r>
            <w:proofErr w:type="gramEnd"/>
            <w:r w:rsidRPr="009D519D">
              <w:rPr>
                <w:rFonts w:ascii="標楷體" w:eastAsia="標楷體" w:hAnsi="標楷體" w:cs="Times New Roman" w:hint="eastAsia"/>
                <w:szCs w:val="24"/>
              </w:rPr>
              <w:t>選以網站揭露、傳真書面、電子郵件或郵寄等方式提供予投資人知悉，惟投資人需先行結束電話、自動化通路設備（ATM）或行動銀行之本次操作，</w:t>
            </w:r>
            <w:proofErr w:type="gramStart"/>
            <w:r w:rsidRPr="009D519D">
              <w:rPr>
                <w:rFonts w:ascii="標楷體" w:eastAsia="標楷體" w:hAnsi="標楷體" w:cs="Times New Roman" w:hint="eastAsia"/>
                <w:szCs w:val="24"/>
              </w:rPr>
              <w:t>俾</w:t>
            </w:r>
            <w:proofErr w:type="gramEnd"/>
            <w:r w:rsidRPr="009D519D">
              <w:rPr>
                <w:rFonts w:ascii="標楷體" w:eastAsia="標楷體" w:hAnsi="標楷體" w:cs="Times New Roman" w:hint="eastAsia"/>
                <w:szCs w:val="24"/>
              </w:rPr>
              <w:t>以了解內容並待下次交易。</w:t>
            </w:r>
          </w:p>
          <w:p w:rsidR="0057434E" w:rsidRPr="009D519D" w:rsidRDefault="0057434E" w:rsidP="001B48C3">
            <w:pPr>
              <w:adjustRightInd w:val="0"/>
              <w:snapToGrid w:val="0"/>
              <w:spacing w:afterLines="50" w:after="180" w:line="400" w:lineRule="exact"/>
              <w:jc w:val="both"/>
              <w:rPr>
                <w:rFonts w:ascii="標楷體" w:eastAsia="標楷體" w:hAnsi="標楷體" w:cs="Times New Roman"/>
                <w:szCs w:val="24"/>
              </w:rPr>
            </w:pPr>
            <w:r w:rsidRPr="009D519D">
              <w:rPr>
                <w:rFonts w:ascii="標楷體" w:eastAsia="標楷體" w:hAnsi="標楷體" w:cs="Times New Roman" w:hint="eastAsia"/>
                <w:szCs w:val="24"/>
              </w:rPr>
              <w:t>(五)銷售機構可選擇是否要留存全段錄音或全程軌跡，惟必須留存確認投資人已知悉之稽核軌跡以供查核。</w:t>
            </w:r>
          </w:p>
        </w:tc>
        <w:tc>
          <w:tcPr>
            <w:tcW w:w="3227" w:type="dxa"/>
          </w:tcPr>
          <w:p w:rsidR="0057434E" w:rsidRPr="009D519D" w:rsidRDefault="0057434E" w:rsidP="0057434E">
            <w:pPr>
              <w:adjustRightInd w:val="0"/>
              <w:snapToGrid w:val="0"/>
              <w:spacing w:afterLines="50" w:after="180" w:line="400" w:lineRule="exact"/>
              <w:jc w:val="both"/>
              <w:rPr>
                <w:rFonts w:ascii="標楷體" w:eastAsia="標楷體" w:hAnsi="標楷體" w:cs="Times New Roman"/>
                <w:szCs w:val="24"/>
              </w:rPr>
            </w:pPr>
            <w:r w:rsidRPr="009D519D">
              <w:rPr>
                <w:rFonts w:ascii="標楷體" w:eastAsia="標楷體" w:hAnsi="標楷體" w:cs="Times New Roman" w:hint="eastAsia"/>
                <w:szCs w:val="24"/>
                <w:u w:val="single"/>
              </w:rPr>
              <w:lastRenderedPageBreak/>
              <w:t>五</w:t>
            </w:r>
            <w:r w:rsidRPr="009D519D">
              <w:rPr>
                <w:rFonts w:ascii="標楷體" w:eastAsia="標楷體" w:hAnsi="標楷體" w:cs="Times New Roman" w:hint="eastAsia"/>
                <w:szCs w:val="24"/>
              </w:rPr>
              <w:t>、就本施行要點第四條第(7)點，語音申購、自動化通路設備（ATM）或行動銀行應如何進行，其原則為何？</w:t>
            </w:r>
          </w:p>
          <w:p w:rsidR="0057434E" w:rsidRPr="009D519D" w:rsidRDefault="0057434E" w:rsidP="0057434E">
            <w:pPr>
              <w:adjustRightInd w:val="0"/>
              <w:snapToGrid w:val="0"/>
              <w:spacing w:afterLines="50" w:after="180" w:line="400" w:lineRule="exact"/>
              <w:jc w:val="both"/>
              <w:rPr>
                <w:rFonts w:ascii="標楷體" w:eastAsia="標楷體" w:hAnsi="標楷體" w:cs="Times New Roman"/>
                <w:szCs w:val="24"/>
              </w:rPr>
            </w:pPr>
            <w:r w:rsidRPr="009D519D">
              <w:rPr>
                <w:rFonts w:ascii="標楷體" w:eastAsia="標楷體" w:hAnsi="標楷體" w:cs="Times New Roman" w:hint="eastAsia"/>
                <w:szCs w:val="24"/>
              </w:rPr>
              <w:t>說明：語音申購（包括全人工語音接單、全自動語音接單或混合型）、自動化通路設備（ATM）或行動銀行程序原則如下：</w:t>
            </w:r>
          </w:p>
          <w:p w:rsidR="0057434E" w:rsidRPr="009D519D" w:rsidRDefault="0057434E" w:rsidP="0057434E">
            <w:pPr>
              <w:adjustRightInd w:val="0"/>
              <w:snapToGrid w:val="0"/>
              <w:spacing w:afterLines="50" w:after="180" w:line="400" w:lineRule="exact"/>
              <w:jc w:val="both"/>
              <w:rPr>
                <w:rFonts w:ascii="標楷體" w:eastAsia="標楷體" w:hAnsi="標楷體" w:cs="Times New Roman"/>
                <w:szCs w:val="24"/>
              </w:rPr>
            </w:pPr>
            <w:r w:rsidRPr="009D519D">
              <w:rPr>
                <w:rFonts w:ascii="標楷體" w:eastAsia="標楷體" w:hAnsi="標楷體" w:cs="Times New Roman" w:hint="eastAsia"/>
                <w:szCs w:val="24"/>
              </w:rPr>
              <w:t>(</w:t>
            </w:r>
            <w:proofErr w:type="gramStart"/>
            <w:r w:rsidRPr="009D519D">
              <w:rPr>
                <w:rFonts w:ascii="標楷體" w:eastAsia="標楷體" w:hAnsi="標楷體" w:cs="Times New Roman" w:hint="eastAsia"/>
                <w:szCs w:val="24"/>
              </w:rPr>
              <w:t>一</w:t>
            </w:r>
            <w:proofErr w:type="gramEnd"/>
            <w:r w:rsidRPr="009D519D">
              <w:rPr>
                <w:rFonts w:ascii="標楷體" w:eastAsia="標楷體" w:hAnsi="標楷體" w:cs="Times New Roman" w:hint="eastAsia"/>
                <w:szCs w:val="24"/>
              </w:rPr>
              <w:t>)進入語音申購、自動化通路設備（ATM）或行動銀行前，投資人必須各依不同銷售方式先提供身分證字號或出生年月日或登入帳號或密碼或個人金融卡等個人識別資訊以確認本人。</w:t>
            </w:r>
          </w:p>
          <w:p w:rsidR="0057434E" w:rsidRPr="009D519D" w:rsidRDefault="0057434E" w:rsidP="0057434E">
            <w:pPr>
              <w:adjustRightInd w:val="0"/>
              <w:snapToGrid w:val="0"/>
              <w:spacing w:afterLines="50" w:after="180" w:line="400" w:lineRule="exact"/>
              <w:jc w:val="both"/>
              <w:rPr>
                <w:rFonts w:ascii="標楷體" w:eastAsia="標楷體" w:hAnsi="標楷體" w:cs="Times New Roman"/>
                <w:szCs w:val="24"/>
              </w:rPr>
            </w:pPr>
            <w:r w:rsidRPr="009D519D">
              <w:rPr>
                <w:rFonts w:ascii="標楷體" w:eastAsia="標楷體" w:hAnsi="標楷體" w:cs="Times New Roman" w:hint="eastAsia"/>
                <w:szCs w:val="24"/>
              </w:rPr>
              <w:lastRenderedPageBreak/>
              <w:t>(二)確認本人後，語音系統、自動化通路設備（ATM）或行動銀行先請</w:t>
            </w:r>
            <w:r w:rsidRPr="009D519D">
              <w:rPr>
                <w:rFonts w:ascii="標楷體" w:eastAsia="標楷體" w:hAnsi="標楷體" w:cs="Times New Roman" w:hint="eastAsia"/>
                <w:szCs w:val="24"/>
                <w:u w:val="single"/>
              </w:rPr>
              <w:t>客戶</w:t>
            </w:r>
            <w:r w:rsidRPr="009D519D">
              <w:rPr>
                <w:rFonts w:ascii="標楷體" w:eastAsia="標楷體" w:hAnsi="標楷體" w:cs="Times New Roman" w:hint="eastAsia"/>
                <w:szCs w:val="24"/>
              </w:rPr>
              <w:t>確認是否已知道通路報酬費率項目內容，</w:t>
            </w:r>
            <w:r w:rsidRPr="009D519D">
              <w:rPr>
                <w:rFonts w:ascii="標楷體" w:eastAsia="標楷體" w:hAnsi="標楷體" w:cs="Times New Roman" w:hint="eastAsia"/>
                <w:szCs w:val="24"/>
                <w:u w:val="single"/>
              </w:rPr>
              <w:t>客戶</w:t>
            </w:r>
            <w:r w:rsidRPr="009D519D">
              <w:rPr>
                <w:rFonts w:ascii="標楷體" w:eastAsia="標楷體" w:hAnsi="標楷體" w:cs="Times New Roman" w:hint="eastAsia"/>
                <w:szCs w:val="24"/>
              </w:rPr>
              <w:t>選擇知悉並確認取得資料管道後則開始交易；若</w:t>
            </w:r>
            <w:r w:rsidRPr="009D519D">
              <w:rPr>
                <w:rFonts w:ascii="標楷體" w:eastAsia="標楷體" w:hAnsi="標楷體" w:cs="Times New Roman" w:hint="eastAsia"/>
                <w:szCs w:val="24"/>
                <w:u w:val="single"/>
              </w:rPr>
              <w:t>客戶</w:t>
            </w:r>
            <w:r w:rsidRPr="009D519D">
              <w:rPr>
                <w:rFonts w:ascii="標楷體" w:eastAsia="標楷體" w:hAnsi="標楷體" w:cs="Times New Roman" w:hint="eastAsia"/>
                <w:szCs w:val="24"/>
              </w:rPr>
              <w:t>選擇</w:t>
            </w:r>
            <w:proofErr w:type="gramStart"/>
            <w:r w:rsidRPr="009D519D">
              <w:rPr>
                <w:rFonts w:ascii="標楷體" w:eastAsia="標楷體" w:hAnsi="標楷體" w:cs="Times New Roman" w:hint="eastAsia"/>
                <w:szCs w:val="24"/>
              </w:rPr>
              <w:t>不</w:t>
            </w:r>
            <w:proofErr w:type="gramEnd"/>
            <w:r w:rsidRPr="009D519D">
              <w:rPr>
                <w:rFonts w:ascii="標楷體" w:eastAsia="標楷體" w:hAnsi="標楷體" w:cs="Times New Roman" w:hint="eastAsia"/>
                <w:szCs w:val="24"/>
              </w:rPr>
              <w:t>知悉或未確認取得管道，則進行下一階段。</w:t>
            </w:r>
          </w:p>
          <w:p w:rsidR="0057434E" w:rsidRPr="009D519D" w:rsidRDefault="0057434E" w:rsidP="0057434E">
            <w:pPr>
              <w:adjustRightInd w:val="0"/>
              <w:snapToGrid w:val="0"/>
              <w:spacing w:afterLines="50" w:after="180" w:line="400" w:lineRule="exact"/>
              <w:jc w:val="both"/>
              <w:rPr>
                <w:rFonts w:ascii="標楷體" w:eastAsia="標楷體" w:hAnsi="標楷體" w:cs="Times New Roman"/>
                <w:szCs w:val="24"/>
              </w:rPr>
            </w:pPr>
            <w:r w:rsidRPr="009D519D">
              <w:rPr>
                <w:rFonts w:ascii="標楷體" w:eastAsia="標楷體" w:hAnsi="標楷體" w:cs="Times New Roman" w:hint="eastAsia"/>
                <w:szCs w:val="24"/>
              </w:rPr>
              <w:t>(三)就語音申購部份，</w:t>
            </w:r>
            <w:r w:rsidRPr="009D519D">
              <w:rPr>
                <w:rFonts w:ascii="標楷體" w:eastAsia="標楷體" w:hAnsi="標楷體" w:cs="Times New Roman" w:hint="eastAsia"/>
                <w:szCs w:val="24"/>
                <w:u w:val="single"/>
              </w:rPr>
              <w:t>客戶</w:t>
            </w:r>
            <w:r w:rsidRPr="009D519D">
              <w:rPr>
                <w:rFonts w:ascii="標楷體" w:eastAsia="標楷體" w:hAnsi="標楷體" w:cs="Times New Roman" w:hint="eastAsia"/>
                <w:szCs w:val="24"/>
              </w:rPr>
              <w:t>選擇</w:t>
            </w:r>
            <w:proofErr w:type="gramStart"/>
            <w:r w:rsidRPr="009D519D">
              <w:rPr>
                <w:rFonts w:ascii="標楷體" w:eastAsia="標楷體" w:hAnsi="標楷體" w:cs="Times New Roman" w:hint="eastAsia"/>
                <w:szCs w:val="24"/>
              </w:rPr>
              <w:t>不</w:t>
            </w:r>
            <w:proofErr w:type="gramEnd"/>
            <w:r w:rsidRPr="009D519D">
              <w:rPr>
                <w:rFonts w:ascii="標楷體" w:eastAsia="標楷體" w:hAnsi="標楷體" w:cs="Times New Roman" w:hint="eastAsia"/>
                <w:szCs w:val="24"/>
              </w:rPr>
              <w:t>知悉或未確認取得管道，銷售機構若擇以語音錄音播放或真人語音服務說明，為免過於冗長，可省略揭露格式計算說明部分覆誦。同時，就通路報酬揭露的項目及內容，可以較為口語方式表達說明。</w:t>
            </w:r>
            <w:r w:rsidRPr="009D519D">
              <w:rPr>
                <w:rFonts w:ascii="標楷體" w:eastAsia="標楷體" w:hAnsi="標楷體" w:cs="Times New Roman" w:hint="eastAsia"/>
                <w:szCs w:val="24"/>
                <w:u w:val="single"/>
              </w:rPr>
              <w:t>客戶</w:t>
            </w:r>
            <w:r w:rsidRPr="009D519D">
              <w:rPr>
                <w:rFonts w:ascii="標楷體" w:eastAsia="標楷體" w:hAnsi="標楷體" w:cs="Times New Roman" w:hint="eastAsia"/>
                <w:szCs w:val="24"/>
              </w:rPr>
              <w:t>知悉後則可開始交易。</w:t>
            </w:r>
          </w:p>
          <w:p w:rsidR="0057434E" w:rsidRPr="009D519D" w:rsidRDefault="0057434E" w:rsidP="0057434E">
            <w:pPr>
              <w:adjustRightInd w:val="0"/>
              <w:snapToGrid w:val="0"/>
              <w:spacing w:afterLines="50" w:after="180" w:line="400" w:lineRule="exact"/>
              <w:jc w:val="both"/>
              <w:rPr>
                <w:rFonts w:ascii="標楷體" w:eastAsia="標楷體" w:hAnsi="標楷體" w:cs="Times New Roman"/>
                <w:szCs w:val="24"/>
              </w:rPr>
            </w:pPr>
            <w:r w:rsidRPr="009D519D">
              <w:rPr>
                <w:rFonts w:ascii="標楷體" w:eastAsia="標楷體" w:hAnsi="標楷體" w:cs="Times New Roman" w:hint="eastAsia"/>
                <w:szCs w:val="24"/>
              </w:rPr>
              <w:t>(四)</w:t>
            </w:r>
            <w:r w:rsidRPr="009D519D">
              <w:rPr>
                <w:rFonts w:ascii="標楷體" w:eastAsia="標楷體" w:hAnsi="標楷體" w:cs="Times New Roman" w:hint="eastAsia"/>
                <w:szCs w:val="24"/>
                <w:u w:val="single"/>
              </w:rPr>
              <w:t>客戶</w:t>
            </w:r>
            <w:r w:rsidRPr="009D519D">
              <w:rPr>
                <w:rFonts w:ascii="標楷體" w:eastAsia="標楷體" w:hAnsi="標楷體" w:cs="Times New Roman" w:hint="eastAsia"/>
                <w:szCs w:val="24"/>
              </w:rPr>
              <w:t>選擇</w:t>
            </w:r>
            <w:proofErr w:type="gramStart"/>
            <w:r w:rsidRPr="009D519D">
              <w:rPr>
                <w:rFonts w:ascii="標楷體" w:eastAsia="標楷體" w:hAnsi="標楷體" w:cs="Times New Roman" w:hint="eastAsia"/>
                <w:szCs w:val="24"/>
              </w:rPr>
              <w:t>不</w:t>
            </w:r>
            <w:proofErr w:type="gramEnd"/>
            <w:r w:rsidRPr="009D519D">
              <w:rPr>
                <w:rFonts w:ascii="標楷體" w:eastAsia="標楷體" w:hAnsi="標楷體" w:cs="Times New Roman" w:hint="eastAsia"/>
                <w:szCs w:val="24"/>
              </w:rPr>
              <w:t>知悉或未確認取得管道，銷售機構亦可任選或</w:t>
            </w:r>
            <w:proofErr w:type="gramStart"/>
            <w:r w:rsidRPr="009D519D">
              <w:rPr>
                <w:rFonts w:ascii="標楷體" w:eastAsia="標楷體" w:hAnsi="標楷體" w:cs="Times New Roman" w:hint="eastAsia"/>
                <w:szCs w:val="24"/>
              </w:rPr>
              <w:t>併</w:t>
            </w:r>
            <w:proofErr w:type="gramEnd"/>
            <w:r w:rsidRPr="009D519D">
              <w:rPr>
                <w:rFonts w:ascii="標楷體" w:eastAsia="標楷體" w:hAnsi="標楷體" w:cs="Times New Roman" w:hint="eastAsia"/>
                <w:szCs w:val="24"/>
              </w:rPr>
              <w:t>選以網站揭露、傳真書面、電子郵件或郵寄等方式提供予投資人知悉，惟投資人需先行結束電話、自動化通路設備（ATM）或行動銀行之本次操作，</w:t>
            </w:r>
            <w:proofErr w:type="gramStart"/>
            <w:r w:rsidRPr="009D519D">
              <w:rPr>
                <w:rFonts w:ascii="標楷體" w:eastAsia="標楷體" w:hAnsi="標楷體" w:cs="Times New Roman" w:hint="eastAsia"/>
                <w:szCs w:val="24"/>
              </w:rPr>
              <w:t>俾</w:t>
            </w:r>
            <w:proofErr w:type="gramEnd"/>
            <w:r w:rsidRPr="009D519D">
              <w:rPr>
                <w:rFonts w:ascii="標楷體" w:eastAsia="標楷體" w:hAnsi="標楷體" w:cs="Times New Roman" w:hint="eastAsia"/>
                <w:szCs w:val="24"/>
              </w:rPr>
              <w:t>以了解內容並待下次交易。</w:t>
            </w:r>
          </w:p>
          <w:p w:rsidR="0057434E" w:rsidRPr="009D519D" w:rsidRDefault="0057434E" w:rsidP="001B48C3">
            <w:pPr>
              <w:adjustRightInd w:val="0"/>
              <w:snapToGrid w:val="0"/>
              <w:spacing w:afterLines="50" w:after="180" w:line="400" w:lineRule="exact"/>
              <w:jc w:val="both"/>
              <w:rPr>
                <w:rFonts w:ascii="標楷體" w:eastAsia="標楷體" w:hAnsi="標楷體" w:cs="Times New Roman"/>
                <w:szCs w:val="24"/>
              </w:rPr>
            </w:pPr>
            <w:r w:rsidRPr="009D519D">
              <w:rPr>
                <w:rFonts w:ascii="標楷體" w:eastAsia="標楷體" w:hAnsi="標楷體" w:cs="Times New Roman" w:hint="eastAsia"/>
                <w:szCs w:val="24"/>
              </w:rPr>
              <w:t>(五)銷售機構可選擇是否要留存全段錄音或全程軌跡，惟必須留存確認投資人已知悉之稽核軌跡以供查核。</w:t>
            </w:r>
          </w:p>
        </w:tc>
        <w:tc>
          <w:tcPr>
            <w:tcW w:w="3227" w:type="dxa"/>
          </w:tcPr>
          <w:p w:rsidR="0057434E" w:rsidRPr="009D519D" w:rsidRDefault="0057434E" w:rsidP="0057434E">
            <w:pPr>
              <w:adjustRightInd w:val="0"/>
              <w:snapToGrid w:val="0"/>
              <w:spacing w:afterLines="50" w:after="180" w:line="400" w:lineRule="exact"/>
              <w:jc w:val="both"/>
              <w:rPr>
                <w:rFonts w:ascii="標楷體" w:eastAsia="標楷體" w:hAnsi="標楷體" w:cs="Times New Roman"/>
                <w:szCs w:val="24"/>
              </w:rPr>
            </w:pPr>
            <w:proofErr w:type="gramStart"/>
            <w:r w:rsidRPr="009D519D">
              <w:rPr>
                <w:rFonts w:ascii="標楷體" w:eastAsia="標楷體" w:hAnsi="標楷體" w:cs="Times New Roman" w:hint="eastAsia"/>
                <w:szCs w:val="24"/>
              </w:rPr>
              <w:lastRenderedPageBreak/>
              <w:t>題次及</w:t>
            </w:r>
            <w:proofErr w:type="gramEnd"/>
            <w:r w:rsidRPr="009D519D">
              <w:rPr>
                <w:rFonts w:ascii="標楷體" w:eastAsia="標楷體" w:hAnsi="標楷體" w:cs="Times New Roman" w:hint="eastAsia"/>
                <w:szCs w:val="24"/>
              </w:rPr>
              <w:t>文字調整。</w:t>
            </w:r>
          </w:p>
        </w:tc>
      </w:tr>
      <w:tr w:rsidR="009D519D" w:rsidRPr="009D519D" w:rsidTr="00720289">
        <w:trPr>
          <w:trHeight w:val="3593"/>
        </w:trPr>
        <w:tc>
          <w:tcPr>
            <w:tcW w:w="3227" w:type="dxa"/>
          </w:tcPr>
          <w:p w:rsidR="0057434E" w:rsidRPr="009D519D" w:rsidRDefault="0057434E" w:rsidP="00990AA4">
            <w:pPr>
              <w:adjustRightInd w:val="0"/>
              <w:snapToGrid w:val="0"/>
              <w:spacing w:afterLines="50" w:after="180" w:line="400" w:lineRule="exact"/>
              <w:jc w:val="both"/>
              <w:rPr>
                <w:rFonts w:ascii="標楷體" w:eastAsia="標楷體" w:hAnsi="標楷體" w:cs="Times New Roman"/>
                <w:szCs w:val="24"/>
              </w:rPr>
            </w:pPr>
            <w:r w:rsidRPr="009D519D">
              <w:rPr>
                <w:rFonts w:ascii="標楷體" w:eastAsia="標楷體" w:hAnsi="標楷體" w:cs="Times New Roman" w:hint="eastAsia"/>
                <w:szCs w:val="24"/>
                <w:u w:val="single"/>
              </w:rPr>
              <w:lastRenderedPageBreak/>
              <w:t>七</w:t>
            </w:r>
            <w:r w:rsidRPr="009D519D">
              <w:rPr>
                <w:rFonts w:ascii="標楷體" w:eastAsia="標楷體" w:hAnsi="標楷體" w:cs="Times New Roman" w:hint="eastAsia"/>
                <w:szCs w:val="24"/>
              </w:rPr>
              <w:t>、代銷機構（銷售機構所屬</w:t>
            </w:r>
            <w:r w:rsidRPr="009D519D">
              <w:rPr>
                <w:rFonts w:ascii="標楷體" w:eastAsia="標楷體" w:hAnsi="標楷體" w:cs="Times New Roman" w:hint="eastAsia"/>
                <w:szCs w:val="24"/>
                <w:u w:val="single"/>
              </w:rPr>
              <w:t>投資人</w:t>
            </w:r>
            <w:r w:rsidRPr="009D519D">
              <w:rPr>
                <w:rFonts w:ascii="標楷體" w:eastAsia="標楷體" w:hAnsi="標楷體" w:cs="Times New Roman" w:hint="eastAsia"/>
                <w:szCs w:val="24"/>
              </w:rPr>
              <w:t>係與證券投資信託事業或總代理人簽訂開戶契約，且對</w:t>
            </w:r>
            <w:proofErr w:type="gramStart"/>
            <w:r w:rsidRPr="009D519D">
              <w:rPr>
                <w:rFonts w:ascii="標楷體" w:eastAsia="標楷體" w:hAnsi="標楷體" w:cs="Times New Roman" w:hint="eastAsia"/>
                <w:szCs w:val="24"/>
              </w:rPr>
              <w:t>帳單</w:t>
            </w:r>
            <w:proofErr w:type="gramEnd"/>
            <w:r w:rsidRPr="009D519D">
              <w:rPr>
                <w:rFonts w:ascii="標楷體" w:eastAsia="標楷體" w:hAnsi="標楷體" w:cs="Times New Roman" w:hint="eastAsia"/>
                <w:szCs w:val="24"/>
              </w:rPr>
              <w:t>亦由證券投資信託事業或總代理人寄送）所屬</w:t>
            </w:r>
            <w:r w:rsidRPr="009D519D">
              <w:rPr>
                <w:rFonts w:ascii="標楷體" w:eastAsia="標楷體" w:hAnsi="標楷體" w:cs="Times New Roman" w:hint="eastAsia"/>
                <w:szCs w:val="24"/>
                <w:u w:val="single"/>
              </w:rPr>
              <w:t>投資人</w:t>
            </w:r>
            <w:r w:rsidRPr="009D519D">
              <w:rPr>
                <w:rFonts w:ascii="標楷體" w:eastAsia="標楷體" w:hAnsi="標楷體" w:cs="Times New Roman" w:hint="eastAsia"/>
                <w:szCs w:val="24"/>
              </w:rPr>
              <w:t>嗣後改至</w:t>
            </w:r>
            <w:r w:rsidRPr="009D519D">
              <w:rPr>
                <w:rFonts w:ascii="標楷體" w:eastAsia="標楷體" w:hAnsi="標楷體" w:cs="Times New Roman" w:hint="eastAsia"/>
                <w:szCs w:val="24"/>
                <w:u w:val="single"/>
              </w:rPr>
              <w:t>證券投資信託事業或</w:t>
            </w:r>
            <w:r w:rsidRPr="009D519D">
              <w:rPr>
                <w:rFonts w:ascii="標楷體" w:eastAsia="標楷體" w:hAnsi="標楷體" w:cs="Times New Roman" w:hint="eastAsia"/>
                <w:szCs w:val="24"/>
              </w:rPr>
              <w:t>總代理人</w:t>
            </w:r>
            <w:r w:rsidRPr="009D519D">
              <w:rPr>
                <w:rFonts w:ascii="標楷體" w:eastAsia="標楷體" w:hAnsi="標楷體" w:cs="Times New Roman" w:hint="eastAsia"/>
                <w:szCs w:val="24"/>
                <w:u w:val="single"/>
              </w:rPr>
              <w:t>之</w:t>
            </w:r>
            <w:r w:rsidRPr="009D519D">
              <w:rPr>
                <w:rFonts w:ascii="標楷體" w:eastAsia="標楷體" w:hAnsi="標楷體" w:cs="Times New Roman" w:hint="eastAsia"/>
                <w:szCs w:val="24"/>
              </w:rPr>
              <w:t>網路平台申購，</w:t>
            </w:r>
            <w:r w:rsidRPr="009D519D">
              <w:rPr>
                <w:rFonts w:ascii="標楷體" w:eastAsia="標楷體" w:hAnsi="標楷體" w:cs="Times New Roman" w:hint="eastAsia"/>
                <w:szCs w:val="24"/>
                <w:u w:val="single"/>
              </w:rPr>
              <w:t>證券投資信託事業或</w:t>
            </w:r>
            <w:r w:rsidRPr="009D519D">
              <w:rPr>
                <w:rFonts w:ascii="標楷體" w:eastAsia="標楷體" w:hAnsi="標楷體" w:cs="Times New Roman" w:hint="eastAsia"/>
                <w:szCs w:val="24"/>
              </w:rPr>
              <w:t>總代理人仍將其視為代銷機構所屬</w:t>
            </w:r>
            <w:r w:rsidRPr="009D519D">
              <w:rPr>
                <w:rFonts w:ascii="標楷體" w:eastAsia="標楷體" w:hAnsi="標楷體" w:cs="Times New Roman" w:hint="eastAsia"/>
                <w:szCs w:val="24"/>
                <w:u w:val="single"/>
              </w:rPr>
              <w:t>投資人</w:t>
            </w:r>
            <w:r w:rsidRPr="009D519D">
              <w:rPr>
                <w:rFonts w:ascii="標楷體" w:eastAsia="標楷體" w:hAnsi="標楷體" w:cs="Times New Roman" w:hint="eastAsia"/>
                <w:szCs w:val="24"/>
              </w:rPr>
              <w:t>，代銷機構應如何辦理申購前之通路報酬揭露？</w:t>
            </w:r>
          </w:p>
          <w:p w:rsidR="0057434E" w:rsidRPr="009D519D" w:rsidRDefault="0057434E" w:rsidP="00990AA4">
            <w:pPr>
              <w:adjustRightInd w:val="0"/>
              <w:snapToGrid w:val="0"/>
              <w:spacing w:afterLines="50" w:after="180" w:line="400" w:lineRule="exact"/>
              <w:jc w:val="both"/>
              <w:rPr>
                <w:rFonts w:ascii="標楷體" w:eastAsia="標楷體" w:hAnsi="標楷體" w:cs="Times New Roman"/>
                <w:szCs w:val="24"/>
              </w:rPr>
            </w:pPr>
            <w:r w:rsidRPr="009D519D">
              <w:rPr>
                <w:rFonts w:ascii="標楷體" w:eastAsia="標楷體" w:hAnsi="標楷體" w:cs="Times New Roman" w:hint="eastAsia"/>
                <w:szCs w:val="24"/>
              </w:rPr>
              <w:t>說明：證券投資信託事業或總代理人以委任代銷型態方式銷售，</w:t>
            </w:r>
            <w:r w:rsidRPr="009D519D">
              <w:rPr>
                <w:rFonts w:ascii="標楷體" w:eastAsia="標楷體" w:hAnsi="標楷體" w:cs="Times New Roman" w:hint="eastAsia"/>
                <w:szCs w:val="24"/>
                <w:u w:val="single"/>
              </w:rPr>
              <w:t>投資人</w:t>
            </w:r>
            <w:r w:rsidRPr="009D519D">
              <w:rPr>
                <w:rFonts w:ascii="標楷體" w:eastAsia="標楷體" w:hAnsi="標楷體" w:cs="Times New Roman" w:hint="eastAsia"/>
                <w:szCs w:val="24"/>
              </w:rPr>
              <w:t>至證券投資信託事業或總代理人處以網路方式下單交易，而仍列為銷售機構</w:t>
            </w:r>
            <w:r w:rsidRPr="009D519D">
              <w:rPr>
                <w:rFonts w:ascii="標楷體" w:eastAsia="標楷體" w:hAnsi="標楷體" w:cs="Times New Roman" w:hint="eastAsia"/>
                <w:szCs w:val="24"/>
                <w:u w:val="single"/>
              </w:rPr>
              <w:t>所屬投資人</w:t>
            </w:r>
            <w:r w:rsidRPr="009D519D">
              <w:rPr>
                <w:rFonts w:ascii="標楷體" w:eastAsia="標楷體" w:hAnsi="標楷體" w:cs="Times New Roman" w:hint="eastAsia"/>
                <w:szCs w:val="24"/>
              </w:rPr>
              <w:t>且有通路報酬之分成者，辦理方式如下：</w:t>
            </w:r>
          </w:p>
          <w:p w:rsidR="0057434E" w:rsidRPr="009D519D" w:rsidRDefault="00CC3A44" w:rsidP="00990AA4">
            <w:pPr>
              <w:adjustRightInd w:val="0"/>
              <w:snapToGrid w:val="0"/>
              <w:spacing w:afterLines="50" w:after="180" w:line="400" w:lineRule="exact"/>
              <w:jc w:val="both"/>
              <w:rPr>
                <w:rFonts w:ascii="標楷體" w:eastAsia="標楷體" w:hAnsi="標楷體" w:cs="Times New Roman"/>
                <w:szCs w:val="24"/>
              </w:rPr>
            </w:pPr>
            <w:r w:rsidRPr="00CC3A44">
              <w:rPr>
                <w:rFonts w:ascii="標楷體" w:eastAsia="標楷體" w:hAnsi="標楷體" w:cs="Times New Roman" w:hint="eastAsia"/>
                <w:szCs w:val="24"/>
                <w:u w:val="single"/>
              </w:rPr>
              <w:t>(</w:t>
            </w:r>
            <w:proofErr w:type="gramStart"/>
            <w:r w:rsidRPr="00CC3A44">
              <w:rPr>
                <w:rFonts w:ascii="標楷體" w:eastAsia="標楷體" w:hAnsi="標楷體" w:cs="Times New Roman" w:hint="eastAsia"/>
                <w:szCs w:val="24"/>
                <w:u w:val="single"/>
              </w:rPr>
              <w:t>一</w:t>
            </w:r>
            <w:proofErr w:type="gramEnd"/>
            <w:r w:rsidRPr="00CC3A44">
              <w:rPr>
                <w:rFonts w:ascii="標楷體" w:eastAsia="標楷體" w:hAnsi="標楷體" w:cs="Times New Roman" w:hint="eastAsia"/>
                <w:szCs w:val="24"/>
                <w:u w:val="single"/>
              </w:rPr>
              <w:t>)</w:t>
            </w:r>
            <w:r w:rsidR="0057434E" w:rsidRPr="009D519D">
              <w:rPr>
                <w:rFonts w:ascii="標楷體" w:eastAsia="標楷體" w:hAnsi="標楷體" w:cs="Times New Roman" w:hint="eastAsia"/>
                <w:szCs w:val="24"/>
                <w:u w:val="single"/>
              </w:rPr>
              <w:t>投資人</w:t>
            </w:r>
            <w:r w:rsidR="0057434E" w:rsidRPr="009D519D">
              <w:rPr>
                <w:rFonts w:ascii="標楷體" w:eastAsia="標楷體" w:hAnsi="標楷體" w:cs="Times New Roman" w:hint="eastAsia"/>
                <w:szCs w:val="24"/>
              </w:rPr>
              <w:t>至證券投資信託事業或總代理人處透過網路平台下單時，證券投資信託事業或總代理人將提供</w:t>
            </w:r>
            <w:proofErr w:type="gramStart"/>
            <w:r w:rsidR="0057434E" w:rsidRPr="009D519D">
              <w:rPr>
                <w:rFonts w:ascii="標楷體" w:eastAsia="標楷體" w:hAnsi="標楷體" w:cs="Times New Roman" w:hint="eastAsia"/>
                <w:szCs w:val="24"/>
              </w:rPr>
              <w:t>一</w:t>
            </w:r>
            <w:proofErr w:type="gramEnd"/>
            <w:r w:rsidR="0057434E" w:rsidRPr="009D519D">
              <w:rPr>
                <w:rFonts w:ascii="標楷體" w:eastAsia="標楷體" w:hAnsi="標楷體" w:cs="Times New Roman" w:hint="eastAsia"/>
                <w:szCs w:val="24"/>
              </w:rPr>
              <w:t>連結訊息，若</w:t>
            </w:r>
            <w:r w:rsidR="0057434E" w:rsidRPr="009D519D">
              <w:rPr>
                <w:rFonts w:ascii="標楷體" w:eastAsia="標楷體" w:hAnsi="標楷體" w:cs="Times New Roman" w:hint="eastAsia"/>
                <w:szCs w:val="24"/>
                <w:u w:val="single"/>
              </w:rPr>
              <w:t>投資人</w:t>
            </w:r>
            <w:r w:rsidR="0057434E" w:rsidRPr="009D519D">
              <w:rPr>
                <w:rFonts w:ascii="標楷體" w:eastAsia="標楷體" w:hAnsi="標楷體" w:cs="Times New Roman" w:hint="eastAsia"/>
                <w:szCs w:val="24"/>
              </w:rPr>
              <w:t>係銷售機構</w:t>
            </w:r>
            <w:r w:rsidR="0057434E" w:rsidRPr="009D519D">
              <w:rPr>
                <w:rFonts w:ascii="標楷體" w:eastAsia="標楷體" w:hAnsi="標楷體" w:cs="Times New Roman" w:hint="eastAsia"/>
                <w:szCs w:val="24"/>
                <w:u w:val="single"/>
              </w:rPr>
              <w:t>所屬投資人</w:t>
            </w:r>
            <w:r w:rsidR="0057434E" w:rsidRPr="009D519D">
              <w:rPr>
                <w:rFonts w:ascii="標楷體" w:eastAsia="標楷體" w:hAnsi="標楷體" w:cs="Times New Roman" w:hint="eastAsia"/>
                <w:szCs w:val="24"/>
              </w:rPr>
              <w:t>，可自行透過該連結網址查詢銷售機構公告相關資訊的網址及其他服務方式，並自行聯繫銷售機構或瀏覽相關訊息。</w:t>
            </w:r>
          </w:p>
          <w:p w:rsidR="0057434E" w:rsidRPr="009D519D" w:rsidRDefault="00CC3A44" w:rsidP="00990AA4">
            <w:pPr>
              <w:adjustRightInd w:val="0"/>
              <w:snapToGrid w:val="0"/>
              <w:spacing w:afterLines="50" w:after="180" w:line="400" w:lineRule="exact"/>
              <w:jc w:val="both"/>
              <w:rPr>
                <w:rFonts w:ascii="標楷體" w:eastAsia="標楷體" w:hAnsi="標楷體" w:cs="Times New Roman"/>
                <w:szCs w:val="24"/>
              </w:rPr>
            </w:pPr>
            <w:r w:rsidRPr="00CC3A44">
              <w:rPr>
                <w:rFonts w:ascii="標楷體" w:eastAsia="標楷體" w:hAnsi="標楷體" w:cs="Times New Roman" w:hint="eastAsia"/>
                <w:szCs w:val="24"/>
                <w:u w:val="single"/>
              </w:rPr>
              <w:t>(二)</w:t>
            </w:r>
            <w:r w:rsidR="0057434E" w:rsidRPr="009D519D">
              <w:rPr>
                <w:rFonts w:ascii="標楷體" w:eastAsia="標楷體" w:hAnsi="標楷體" w:cs="Times New Roman" w:hint="eastAsia"/>
                <w:szCs w:val="24"/>
                <w:u w:val="single"/>
              </w:rPr>
              <w:t>投資人</w:t>
            </w:r>
            <w:r w:rsidR="0057434E" w:rsidRPr="009D519D">
              <w:rPr>
                <w:rFonts w:ascii="標楷體" w:eastAsia="標楷體" w:hAnsi="標楷體" w:cs="Times New Roman" w:hint="eastAsia"/>
                <w:szCs w:val="24"/>
              </w:rPr>
              <w:t>點選進入連結網址，</w:t>
            </w:r>
            <w:proofErr w:type="gramStart"/>
            <w:r w:rsidR="0057434E" w:rsidRPr="009D519D">
              <w:rPr>
                <w:rFonts w:ascii="標楷體" w:eastAsia="標楷體" w:hAnsi="標楷體" w:cs="Times New Roman" w:hint="eastAsia"/>
                <w:szCs w:val="24"/>
              </w:rPr>
              <w:t>嗣</w:t>
            </w:r>
            <w:proofErr w:type="gramEnd"/>
            <w:r w:rsidR="0057434E" w:rsidRPr="009D519D">
              <w:rPr>
                <w:rFonts w:ascii="標楷體" w:eastAsia="標楷體" w:hAnsi="標楷體" w:cs="Times New Roman" w:hint="eastAsia"/>
                <w:szCs w:val="24"/>
                <w:u w:val="single"/>
              </w:rPr>
              <w:t>投資人</w:t>
            </w:r>
            <w:r w:rsidR="0057434E" w:rsidRPr="009D519D">
              <w:rPr>
                <w:rFonts w:ascii="標楷體" w:eastAsia="標楷體" w:hAnsi="標楷體" w:cs="Times New Roman" w:hint="eastAsia"/>
                <w:szCs w:val="24"/>
              </w:rPr>
              <w:t>已聯繫銷售機構或瀏覽相關訊息或事先業已知悉通路報酬項目及內容</w:t>
            </w:r>
            <w:r w:rsidR="0057434E" w:rsidRPr="009D519D">
              <w:rPr>
                <w:rFonts w:ascii="標楷體" w:eastAsia="標楷體" w:hAnsi="標楷體" w:cs="Times New Roman" w:hint="eastAsia"/>
                <w:szCs w:val="24"/>
              </w:rPr>
              <w:lastRenderedPageBreak/>
              <w:t>者，</w:t>
            </w:r>
            <w:r w:rsidR="0057434E" w:rsidRPr="009D519D">
              <w:rPr>
                <w:rFonts w:ascii="標楷體" w:eastAsia="標楷體" w:hAnsi="標楷體" w:cs="Times New Roman" w:hint="eastAsia"/>
                <w:szCs w:val="24"/>
                <w:u w:val="single"/>
              </w:rPr>
              <w:t>須</w:t>
            </w:r>
            <w:r w:rsidR="0057434E" w:rsidRPr="009D519D">
              <w:rPr>
                <w:rFonts w:ascii="標楷體" w:eastAsia="標楷體" w:hAnsi="標楷體" w:cs="Times New Roman" w:hint="eastAsia"/>
                <w:szCs w:val="24"/>
              </w:rPr>
              <w:t>於網路交易流程確認已知悉通路報酬項目及內容，方得進行下一步申購交易。</w:t>
            </w:r>
          </w:p>
          <w:p w:rsidR="0057434E" w:rsidRPr="009D519D" w:rsidRDefault="00CC3A44" w:rsidP="00990AA4">
            <w:pPr>
              <w:adjustRightInd w:val="0"/>
              <w:snapToGrid w:val="0"/>
              <w:spacing w:afterLines="50" w:after="180" w:line="400" w:lineRule="exact"/>
              <w:jc w:val="both"/>
              <w:rPr>
                <w:rFonts w:ascii="標楷體" w:eastAsia="標楷體" w:hAnsi="標楷體" w:cs="Times New Roman"/>
                <w:szCs w:val="24"/>
              </w:rPr>
            </w:pPr>
            <w:r w:rsidRPr="00CC3A44">
              <w:rPr>
                <w:rFonts w:ascii="標楷體" w:eastAsia="標楷體" w:hAnsi="標楷體" w:cs="Times New Roman" w:hint="eastAsia"/>
                <w:szCs w:val="24"/>
                <w:u w:val="single"/>
              </w:rPr>
              <w:t>(三)</w:t>
            </w:r>
            <w:r w:rsidR="0057434E" w:rsidRPr="009D519D">
              <w:rPr>
                <w:rFonts w:ascii="標楷體" w:eastAsia="標楷體" w:hAnsi="標楷體" w:cs="Times New Roman" w:hint="eastAsia"/>
                <w:szCs w:val="24"/>
              </w:rPr>
              <w:t>證券投資信託事業或總代理人必須留存確認投資人已知悉通路報酬項目及內容之稽核軌跡。</w:t>
            </w:r>
          </w:p>
        </w:tc>
        <w:tc>
          <w:tcPr>
            <w:tcW w:w="3227" w:type="dxa"/>
          </w:tcPr>
          <w:p w:rsidR="0057434E" w:rsidRPr="009D519D" w:rsidRDefault="0057434E" w:rsidP="00990AA4">
            <w:pPr>
              <w:adjustRightInd w:val="0"/>
              <w:snapToGrid w:val="0"/>
              <w:spacing w:afterLines="50" w:after="180" w:line="400" w:lineRule="exact"/>
              <w:jc w:val="both"/>
              <w:rPr>
                <w:rFonts w:ascii="標楷體" w:eastAsia="標楷體" w:hAnsi="標楷體" w:cs="Times New Roman"/>
                <w:szCs w:val="24"/>
              </w:rPr>
            </w:pPr>
            <w:r w:rsidRPr="009D519D">
              <w:rPr>
                <w:rFonts w:ascii="標楷體" w:eastAsia="標楷體" w:hAnsi="標楷體" w:cs="Times New Roman" w:hint="eastAsia"/>
                <w:szCs w:val="24"/>
                <w:u w:val="single"/>
              </w:rPr>
              <w:lastRenderedPageBreak/>
              <w:t>六</w:t>
            </w:r>
            <w:r w:rsidRPr="009D519D">
              <w:rPr>
                <w:rFonts w:ascii="標楷體" w:eastAsia="標楷體" w:hAnsi="標楷體" w:cs="Times New Roman" w:hint="eastAsia"/>
                <w:szCs w:val="24"/>
              </w:rPr>
              <w:t>、代銷機構（銷售機構所屬</w:t>
            </w:r>
            <w:r w:rsidRPr="009D519D">
              <w:rPr>
                <w:rFonts w:ascii="標楷體" w:eastAsia="標楷體" w:hAnsi="標楷體" w:cs="Times New Roman" w:hint="eastAsia"/>
                <w:szCs w:val="24"/>
                <w:u w:val="single"/>
              </w:rPr>
              <w:t>客戶</w:t>
            </w:r>
            <w:r w:rsidRPr="009D519D">
              <w:rPr>
                <w:rFonts w:ascii="標楷體" w:eastAsia="標楷體" w:hAnsi="標楷體" w:cs="Times New Roman" w:hint="eastAsia"/>
                <w:szCs w:val="24"/>
              </w:rPr>
              <w:t>係與證券投資信託事業或總代理人簽訂開戶契約，且對</w:t>
            </w:r>
            <w:proofErr w:type="gramStart"/>
            <w:r w:rsidRPr="009D519D">
              <w:rPr>
                <w:rFonts w:ascii="標楷體" w:eastAsia="標楷體" w:hAnsi="標楷體" w:cs="Times New Roman" w:hint="eastAsia"/>
                <w:szCs w:val="24"/>
              </w:rPr>
              <w:t>帳單</w:t>
            </w:r>
            <w:proofErr w:type="gramEnd"/>
            <w:r w:rsidRPr="009D519D">
              <w:rPr>
                <w:rFonts w:ascii="標楷體" w:eastAsia="標楷體" w:hAnsi="標楷體" w:cs="Times New Roman" w:hint="eastAsia"/>
                <w:szCs w:val="24"/>
              </w:rPr>
              <w:t>亦由證券投資信託事業或總代理人寄送）所屬</w:t>
            </w:r>
            <w:r w:rsidRPr="009D519D">
              <w:rPr>
                <w:rFonts w:ascii="標楷體" w:eastAsia="標楷體" w:hAnsi="標楷體" w:cs="Times New Roman" w:hint="eastAsia"/>
                <w:szCs w:val="24"/>
                <w:u w:val="single"/>
              </w:rPr>
              <w:t>客戶</w:t>
            </w:r>
            <w:r w:rsidRPr="009D519D">
              <w:rPr>
                <w:rFonts w:ascii="標楷體" w:eastAsia="標楷體" w:hAnsi="標楷體" w:cs="Times New Roman" w:hint="eastAsia"/>
                <w:szCs w:val="24"/>
              </w:rPr>
              <w:t>嗣後改至</w:t>
            </w:r>
            <w:r w:rsidRPr="009D519D">
              <w:rPr>
                <w:rFonts w:ascii="標楷體" w:eastAsia="標楷體" w:hAnsi="標楷體" w:cs="Times New Roman" w:hint="eastAsia"/>
                <w:szCs w:val="24"/>
                <w:u w:val="single"/>
              </w:rPr>
              <w:t>投信/</w:t>
            </w:r>
            <w:r w:rsidRPr="009D519D">
              <w:rPr>
                <w:rFonts w:ascii="標楷體" w:eastAsia="標楷體" w:hAnsi="標楷體" w:cs="Times New Roman" w:hint="eastAsia"/>
                <w:szCs w:val="24"/>
              </w:rPr>
              <w:t>總代理人網路平台申購，</w:t>
            </w:r>
            <w:r w:rsidRPr="009D519D">
              <w:rPr>
                <w:rFonts w:ascii="標楷體" w:eastAsia="標楷體" w:hAnsi="標楷體" w:cs="Times New Roman" w:hint="eastAsia"/>
                <w:szCs w:val="24"/>
                <w:u w:val="single"/>
              </w:rPr>
              <w:t>投信/</w:t>
            </w:r>
            <w:r w:rsidRPr="009D519D">
              <w:rPr>
                <w:rFonts w:ascii="標楷體" w:eastAsia="標楷體" w:hAnsi="標楷體" w:cs="Times New Roman" w:hint="eastAsia"/>
                <w:szCs w:val="24"/>
              </w:rPr>
              <w:t>總代理人仍將其視為代銷機構所屬</w:t>
            </w:r>
            <w:r w:rsidRPr="009D519D">
              <w:rPr>
                <w:rFonts w:ascii="標楷體" w:eastAsia="標楷體" w:hAnsi="標楷體" w:cs="Times New Roman" w:hint="eastAsia"/>
                <w:szCs w:val="24"/>
                <w:u w:val="single"/>
              </w:rPr>
              <w:t>客戶</w:t>
            </w:r>
            <w:r w:rsidRPr="009D519D">
              <w:rPr>
                <w:rFonts w:ascii="標楷體" w:eastAsia="標楷體" w:hAnsi="標楷體" w:cs="Times New Roman" w:hint="eastAsia"/>
                <w:szCs w:val="24"/>
              </w:rPr>
              <w:t>，代銷機構應如何辦理申購前之通路報酬揭露？</w:t>
            </w:r>
          </w:p>
          <w:p w:rsidR="0057434E" w:rsidRPr="009D519D" w:rsidRDefault="0057434E" w:rsidP="00990AA4">
            <w:pPr>
              <w:adjustRightInd w:val="0"/>
              <w:snapToGrid w:val="0"/>
              <w:spacing w:afterLines="50" w:after="180" w:line="400" w:lineRule="exact"/>
              <w:jc w:val="both"/>
              <w:rPr>
                <w:rFonts w:ascii="標楷體" w:eastAsia="標楷體" w:hAnsi="標楷體" w:cs="Times New Roman"/>
                <w:szCs w:val="24"/>
              </w:rPr>
            </w:pPr>
          </w:p>
          <w:p w:rsidR="0057434E" w:rsidRPr="009D519D" w:rsidRDefault="0057434E" w:rsidP="00990AA4">
            <w:pPr>
              <w:adjustRightInd w:val="0"/>
              <w:snapToGrid w:val="0"/>
              <w:spacing w:afterLines="50" w:after="180" w:line="400" w:lineRule="exact"/>
              <w:jc w:val="both"/>
              <w:rPr>
                <w:rFonts w:ascii="標楷體" w:eastAsia="標楷體" w:hAnsi="標楷體" w:cs="Times New Roman"/>
                <w:szCs w:val="24"/>
              </w:rPr>
            </w:pPr>
            <w:r w:rsidRPr="009D519D">
              <w:rPr>
                <w:rFonts w:ascii="標楷體" w:eastAsia="標楷體" w:hAnsi="標楷體" w:cs="Times New Roman" w:hint="eastAsia"/>
                <w:szCs w:val="24"/>
              </w:rPr>
              <w:t>說明：證券投資信託事業或總代理人以委任代銷型態方式銷售，</w:t>
            </w:r>
            <w:r w:rsidRPr="009D519D">
              <w:rPr>
                <w:rFonts w:ascii="標楷體" w:eastAsia="標楷體" w:hAnsi="標楷體" w:cs="Times New Roman" w:hint="eastAsia"/>
                <w:szCs w:val="24"/>
                <w:u w:val="single"/>
              </w:rPr>
              <w:t>客戶</w:t>
            </w:r>
            <w:r w:rsidRPr="009D519D">
              <w:rPr>
                <w:rFonts w:ascii="標楷體" w:eastAsia="標楷體" w:hAnsi="標楷體" w:cs="Times New Roman" w:hint="eastAsia"/>
                <w:szCs w:val="24"/>
              </w:rPr>
              <w:t>至證券投資信託事業或總代理人處以網路方式下單交易，而仍列為銷售機構</w:t>
            </w:r>
            <w:r w:rsidRPr="009D519D">
              <w:rPr>
                <w:rFonts w:ascii="標楷體" w:eastAsia="標楷體" w:hAnsi="標楷體" w:cs="Times New Roman" w:hint="eastAsia"/>
                <w:szCs w:val="24"/>
                <w:u w:val="single"/>
              </w:rPr>
              <w:t>之客戶</w:t>
            </w:r>
            <w:r w:rsidRPr="009D519D">
              <w:rPr>
                <w:rFonts w:ascii="標楷體" w:eastAsia="標楷體" w:hAnsi="標楷體" w:cs="Times New Roman" w:hint="eastAsia"/>
                <w:szCs w:val="24"/>
              </w:rPr>
              <w:t>且有通路報酬之分成者，</w:t>
            </w:r>
            <w:r w:rsidRPr="009D519D">
              <w:rPr>
                <w:rFonts w:ascii="標楷體" w:eastAsia="標楷體" w:hAnsi="標楷體" w:cs="Times New Roman" w:hint="eastAsia"/>
                <w:szCs w:val="24"/>
                <w:u w:val="single"/>
              </w:rPr>
              <w:t>銷售前通知</w:t>
            </w:r>
            <w:r w:rsidRPr="009D519D">
              <w:rPr>
                <w:rFonts w:ascii="標楷體" w:eastAsia="標楷體" w:hAnsi="標楷體" w:cs="Times New Roman" w:hint="eastAsia"/>
                <w:szCs w:val="24"/>
              </w:rPr>
              <w:t>辦理方式如下：</w:t>
            </w:r>
          </w:p>
          <w:p w:rsidR="0057434E" w:rsidRPr="009D519D" w:rsidRDefault="0057434E" w:rsidP="00990AA4">
            <w:pPr>
              <w:adjustRightInd w:val="0"/>
              <w:snapToGrid w:val="0"/>
              <w:spacing w:afterLines="50" w:after="180" w:line="400" w:lineRule="exact"/>
              <w:jc w:val="both"/>
              <w:rPr>
                <w:rFonts w:ascii="標楷體" w:eastAsia="標楷體" w:hAnsi="標楷體" w:cs="Times New Roman"/>
                <w:szCs w:val="24"/>
              </w:rPr>
            </w:pPr>
            <w:r w:rsidRPr="00CC3A44">
              <w:rPr>
                <w:rFonts w:ascii="標楷體" w:eastAsia="標楷體" w:hAnsi="標楷體" w:cs="Times New Roman" w:hint="eastAsia"/>
                <w:szCs w:val="24"/>
                <w:u w:val="single"/>
              </w:rPr>
              <w:t>1.</w:t>
            </w:r>
            <w:r w:rsidRPr="009D519D">
              <w:rPr>
                <w:rFonts w:ascii="標楷體" w:eastAsia="標楷體" w:hAnsi="標楷體" w:cs="Times New Roman" w:hint="eastAsia"/>
                <w:szCs w:val="24"/>
                <w:u w:val="single"/>
              </w:rPr>
              <w:t>客戶</w:t>
            </w:r>
            <w:r w:rsidRPr="009D519D">
              <w:rPr>
                <w:rFonts w:ascii="標楷體" w:eastAsia="標楷體" w:hAnsi="標楷體" w:cs="Times New Roman" w:hint="eastAsia"/>
                <w:szCs w:val="24"/>
              </w:rPr>
              <w:t>至證券投資信託事業或總代理人處透過網路平台下單時，證券投資信託事業或總代理人將提供</w:t>
            </w:r>
            <w:proofErr w:type="gramStart"/>
            <w:r w:rsidRPr="009D519D">
              <w:rPr>
                <w:rFonts w:ascii="標楷體" w:eastAsia="標楷體" w:hAnsi="標楷體" w:cs="Times New Roman" w:hint="eastAsia"/>
                <w:szCs w:val="24"/>
              </w:rPr>
              <w:t>一</w:t>
            </w:r>
            <w:proofErr w:type="gramEnd"/>
            <w:r w:rsidRPr="009D519D">
              <w:rPr>
                <w:rFonts w:ascii="標楷體" w:eastAsia="標楷體" w:hAnsi="標楷體" w:cs="Times New Roman" w:hint="eastAsia"/>
                <w:szCs w:val="24"/>
              </w:rPr>
              <w:t>連結訊息，若</w:t>
            </w:r>
            <w:r w:rsidRPr="009D519D">
              <w:rPr>
                <w:rFonts w:ascii="標楷體" w:eastAsia="標楷體" w:hAnsi="標楷體" w:cs="Times New Roman" w:hint="eastAsia"/>
                <w:szCs w:val="24"/>
                <w:u w:val="single"/>
              </w:rPr>
              <w:t>客戶</w:t>
            </w:r>
            <w:r w:rsidRPr="009D519D">
              <w:rPr>
                <w:rFonts w:ascii="標楷體" w:eastAsia="標楷體" w:hAnsi="標楷體" w:cs="Times New Roman" w:hint="eastAsia"/>
                <w:szCs w:val="24"/>
              </w:rPr>
              <w:t>係銷售機構</w:t>
            </w:r>
            <w:r w:rsidRPr="009D519D">
              <w:rPr>
                <w:rFonts w:ascii="標楷體" w:eastAsia="標楷體" w:hAnsi="標楷體" w:cs="Times New Roman" w:hint="eastAsia"/>
                <w:szCs w:val="24"/>
                <w:u w:val="single"/>
              </w:rPr>
              <w:t>之客戶</w:t>
            </w:r>
            <w:r w:rsidRPr="009D519D">
              <w:rPr>
                <w:rFonts w:ascii="標楷體" w:eastAsia="標楷體" w:hAnsi="標楷體" w:cs="Times New Roman" w:hint="eastAsia"/>
                <w:szCs w:val="24"/>
              </w:rPr>
              <w:t>，可自行透過該連結網址查詢銷售機構公告相關資訊的網址及其他服務方式，並自行聯繫銷售機構或瀏覽相關訊息。</w:t>
            </w:r>
          </w:p>
          <w:p w:rsidR="0057434E" w:rsidRPr="009D519D" w:rsidRDefault="0057434E" w:rsidP="00990AA4">
            <w:pPr>
              <w:adjustRightInd w:val="0"/>
              <w:snapToGrid w:val="0"/>
              <w:spacing w:afterLines="50" w:after="180" w:line="400" w:lineRule="exact"/>
              <w:jc w:val="both"/>
              <w:rPr>
                <w:rFonts w:ascii="標楷體" w:eastAsia="標楷體" w:hAnsi="標楷體" w:cs="Times New Roman"/>
                <w:szCs w:val="24"/>
              </w:rPr>
            </w:pPr>
            <w:r w:rsidRPr="00CC3A44">
              <w:rPr>
                <w:rFonts w:ascii="標楷體" w:eastAsia="標楷體" w:hAnsi="標楷體" w:cs="Times New Roman" w:hint="eastAsia"/>
                <w:szCs w:val="24"/>
                <w:u w:val="single"/>
              </w:rPr>
              <w:t>2.</w:t>
            </w:r>
            <w:r w:rsidRPr="009D519D">
              <w:rPr>
                <w:rFonts w:ascii="標楷體" w:eastAsia="標楷體" w:hAnsi="標楷體" w:cs="Times New Roman" w:hint="eastAsia"/>
                <w:szCs w:val="24"/>
                <w:u w:val="single"/>
              </w:rPr>
              <w:t>客戶</w:t>
            </w:r>
            <w:r w:rsidRPr="009D519D">
              <w:rPr>
                <w:rFonts w:ascii="標楷體" w:eastAsia="標楷體" w:hAnsi="標楷體" w:cs="Times New Roman" w:hint="eastAsia"/>
                <w:szCs w:val="24"/>
              </w:rPr>
              <w:t>點選進入連結網址，</w:t>
            </w:r>
            <w:proofErr w:type="gramStart"/>
            <w:r w:rsidRPr="009D519D">
              <w:rPr>
                <w:rFonts w:ascii="標楷體" w:eastAsia="標楷體" w:hAnsi="標楷體" w:cs="Times New Roman" w:hint="eastAsia"/>
                <w:szCs w:val="24"/>
              </w:rPr>
              <w:t>嗣</w:t>
            </w:r>
            <w:proofErr w:type="gramEnd"/>
            <w:r w:rsidRPr="009D519D">
              <w:rPr>
                <w:rFonts w:ascii="標楷體" w:eastAsia="標楷體" w:hAnsi="標楷體" w:cs="Times New Roman" w:hint="eastAsia"/>
                <w:szCs w:val="24"/>
                <w:u w:val="single"/>
              </w:rPr>
              <w:t>客戶</w:t>
            </w:r>
            <w:r w:rsidRPr="009D519D">
              <w:rPr>
                <w:rFonts w:ascii="標楷體" w:eastAsia="標楷體" w:hAnsi="標楷體" w:cs="Times New Roman" w:hint="eastAsia"/>
                <w:szCs w:val="24"/>
              </w:rPr>
              <w:t>已聯繫銷售機構或瀏覽相關訊息或事先業已知悉通路報酬項目及內容者，</w:t>
            </w:r>
            <w:r w:rsidRPr="009D519D">
              <w:rPr>
                <w:rFonts w:ascii="標楷體" w:eastAsia="標楷體" w:hAnsi="標楷體" w:cs="Times New Roman" w:hint="eastAsia"/>
                <w:szCs w:val="24"/>
                <w:u w:val="single"/>
              </w:rPr>
              <w:t>需</w:t>
            </w:r>
            <w:r w:rsidRPr="009D519D">
              <w:rPr>
                <w:rFonts w:ascii="標楷體" w:eastAsia="標楷體" w:hAnsi="標楷體" w:cs="Times New Roman" w:hint="eastAsia"/>
                <w:szCs w:val="24"/>
              </w:rPr>
              <w:t>於網</w:t>
            </w:r>
            <w:r w:rsidRPr="009D519D">
              <w:rPr>
                <w:rFonts w:ascii="標楷體" w:eastAsia="標楷體" w:hAnsi="標楷體" w:cs="Times New Roman" w:hint="eastAsia"/>
                <w:szCs w:val="24"/>
              </w:rPr>
              <w:lastRenderedPageBreak/>
              <w:t>路交易流程確認已知悉通路報酬項目及內容，方得進行下一步申購交易。</w:t>
            </w:r>
          </w:p>
          <w:p w:rsidR="0057434E" w:rsidRPr="009D519D" w:rsidRDefault="0057434E" w:rsidP="00990AA4">
            <w:pPr>
              <w:adjustRightInd w:val="0"/>
              <w:snapToGrid w:val="0"/>
              <w:spacing w:afterLines="50" w:after="180" w:line="400" w:lineRule="exact"/>
              <w:jc w:val="both"/>
              <w:rPr>
                <w:rFonts w:ascii="標楷體" w:eastAsia="標楷體" w:hAnsi="標楷體" w:cs="Times New Roman"/>
                <w:szCs w:val="24"/>
              </w:rPr>
            </w:pPr>
            <w:r w:rsidRPr="00CC3A44">
              <w:rPr>
                <w:rFonts w:ascii="標楷體" w:eastAsia="標楷體" w:hAnsi="標楷體" w:cs="Times New Roman" w:hint="eastAsia"/>
                <w:szCs w:val="24"/>
                <w:u w:val="single"/>
              </w:rPr>
              <w:t>3.</w:t>
            </w:r>
            <w:r w:rsidRPr="009D519D">
              <w:rPr>
                <w:rFonts w:ascii="標楷體" w:eastAsia="標楷體" w:hAnsi="標楷體" w:cs="Times New Roman" w:hint="eastAsia"/>
                <w:szCs w:val="24"/>
              </w:rPr>
              <w:t>證券投資信託事業或總代理人必須留存確認投資人已知悉通路報酬項目及內容之稽核軌跡。</w:t>
            </w:r>
          </w:p>
        </w:tc>
        <w:tc>
          <w:tcPr>
            <w:tcW w:w="3227" w:type="dxa"/>
          </w:tcPr>
          <w:p w:rsidR="0057434E" w:rsidRPr="009D519D" w:rsidRDefault="0057434E" w:rsidP="00990AA4">
            <w:pPr>
              <w:adjustRightInd w:val="0"/>
              <w:snapToGrid w:val="0"/>
              <w:spacing w:afterLines="50" w:after="180" w:line="400" w:lineRule="exact"/>
              <w:jc w:val="both"/>
              <w:rPr>
                <w:rFonts w:ascii="標楷體" w:eastAsia="標楷體" w:hAnsi="標楷體" w:cs="Times New Roman"/>
                <w:szCs w:val="24"/>
              </w:rPr>
            </w:pPr>
            <w:proofErr w:type="gramStart"/>
            <w:r w:rsidRPr="009D519D">
              <w:rPr>
                <w:rFonts w:ascii="標楷體" w:eastAsia="標楷體" w:hAnsi="標楷體" w:cs="Times New Roman" w:hint="eastAsia"/>
                <w:szCs w:val="24"/>
              </w:rPr>
              <w:lastRenderedPageBreak/>
              <w:t>題次及</w:t>
            </w:r>
            <w:proofErr w:type="gramEnd"/>
            <w:r w:rsidRPr="009D519D">
              <w:rPr>
                <w:rFonts w:ascii="標楷體" w:eastAsia="標楷體" w:hAnsi="標楷體" w:cs="Times New Roman" w:hint="eastAsia"/>
                <w:szCs w:val="24"/>
              </w:rPr>
              <w:t>文字調整。</w:t>
            </w:r>
          </w:p>
        </w:tc>
      </w:tr>
      <w:tr w:rsidR="009D519D" w:rsidRPr="009D519D" w:rsidTr="00720289">
        <w:trPr>
          <w:trHeight w:val="2317"/>
        </w:trPr>
        <w:tc>
          <w:tcPr>
            <w:tcW w:w="3227" w:type="dxa"/>
          </w:tcPr>
          <w:p w:rsidR="0057434E" w:rsidRPr="009D519D" w:rsidRDefault="0057434E" w:rsidP="00990AA4">
            <w:pPr>
              <w:adjustRightInd w:val="0"/>
              <w:snapToGrid w:val="0"/>
              <w:spacing w:afterLines="50" w:after="180" w:line="400" w:lineRule="exact"/>
              <w:jc w:val="both"/>
              <w:rPr>
                <w:rFonts w:ascii="標楷體" w:eastAsia="標楷體" w:hAnsi="標楷體" w:cs="Times New Roman"/>
                <w:szCs w:val="24"/>
              </w:rPr>
            </w:pPr>
            <w:r w:rsidRPr="009D519D">
              <w:rPr>
                <w:rFonts w:ascii="標楷體" w:eastAsia="標楷體" w:hAnsi="標楷體" w:cs="Times New Roman" w:hint="eastAsia"/>
                <w:szCs w:val="24"/>
                <w:u w:val="single"/>
              </w:rPr>
              <w:lastRenderedPageBreak/>
              <w:t>八</w:t>
            </w:r>
            <w:r w:rsidRPr="009D519D">
              <w:rPr>
                <w:rFonts w:ascii="標楷體" w:eastAsia="標楷體" w:hAnsi="標楷體" w:cs="Times New Roman" w:hint="eastAsia"/>
                <w:szCs w:val="24"/>
              </w:rPr>
              <w:t>、就本施行要點第六條揭露內容變動之通知，應如何適用？</w:t>
            </w:r>
          </w:p>
          <w:p w:rsidR="0057434E" w:rsidRPr="009D519D" w:rsidRDefault="0057434E" w:rsidP="00990AA4">
            <w:pPr>
              <w:adjustRightInd w:val="0"/>
              <w:snapToGrid w:val="0"/>
              <w:spacing w:afterLines="50" w:after="180" w:line="400" w:lineRule="exact"/>
              <w:jc w:val="both"/>
              <w:rPr>
                <w:rFonts w:ascii="標楷體" w:eastAsia="標楷體" w:hAnsi="標楷體" w:cs="Times New Roman"/>
                <w:szCs w:val="24"/>
              </w:rPr>
            </w:pPr>
            <w:r w:rsidRPr="009D519D">
              <w:rPr>
                <w:rFonts w:ascii="標楷體" w:eastAsia="標楷體" w:hAnsi="標楷體" w:cs="Times New Roman" w:hint="eastAsia"/>
                <w:szCs w:val="24"/>
              </w:rPr>
              <w:t>說明：</w:t>
            </w:r>
          </w:p>
          <w:p w:rsidR="0057434E" w:rsidRPr="009D519D" w:rsidRDefault="0057434E" w:rsidP="00990AA4">
            <w:pPr>
              <w:adjustRightInd w:val="0"/>
              <w:snapToGrid w:val="0"/>
              <w:spacing w:afterLines="50" w:after="180" w:line="400" w:lineRule="exact"/>
              <w:jc w:val="both"/>
              <w:rPr>
                <w:rFonts w:ascii="標楷體" w:eastAsia="標楷體" w:hAnsi="標楷體" w:cs="Times New Roman"/>
                <w:szCs w:val="24"/>
              </w:rPr>
            </w:pPr>
            <w:r w:rsidRPr="009D519D">
              <w:rPr>
                <w:rFonts w:ascii="標楷體" w:eastAsia="標楷體" w:hAnsi="標楷體" w:cs="Times New Roman" w:hint="eastAsia"/>
                <w:szCs w:val="24"/>
              </w:rPr>
              <w:t>(</w:t>
            </w:r>
            <w:proofErr w:type="gramStart"/>
            <w:r w:rsidRPr="009D519D">
              <w:rPr>
                <w:rFonts w:ascii="標楷體" w:eastAsia="標楷體" w:hAnsi="標楷體" w:cs="Times New Roman" w:hint="eastAsia"/>
                <w:szCs w:val="24"/>
              </w:rPr>
              <w:t>一</w:t>
            </w:r>
            <w:proofErr w:type="gramEnd"/>
            <w:r w:rsidRPr="009D519D">
              <w:rPr>
                <w:rFonts w:ascii="標楷體" w:eastAsia="標楷體" w:hAnsi="標楷體" w:cs="Times New Roman" w:hint="eastAsia"/>
                <w:szCs w:val="24"/>
              </w:rPr>
              <w:t>)有關修正銷售契約約定涉及通路報酬變動、總代理人或銷售機構適用之費率級距變動或產品說明會、員工教育訓練年度贊助費用及其他報酬達揭露門檻，致銷售機構就個別基金收受之通路報酬變動者，其變動之發生可能於當月任何時點，為明確作業流程，</w:t>
            </w:r>
            <w:proofErr w:type="gramStart"/>
            <w:r w:rsidRPr="009D519D">
              <w:rPr>
                <w:rFonts w:ascii="標楷體" w:eastAsia="標楷體" w:hAnsi="標楷體" w:cs="Times New Roman" w:hint="eastAsia"/>
                <w:szCs w:val="24"/>
              </w:rPr>
              <w:t>爰</w:t>
            </w:r>
            <w:proofErr w:type="gramEnd"/>
            <w:r w:rsidRPr="009D519D">
              <w:rPr>
                <w:rFonts w:ascii="標楷體" w:eastAsia="標楷體" w:hAnsi="標楷體" w:cs="Times New Roman" w:hint="eastAsia"/>
                <w:szCs w:val="24"/>
              </w:rPr>
              <w:t>明定於變動後次月月底前通知。</w:t>
            </w:r>
          </w:p>
          <w:p w:rsidR="0057434E" w:rsidRPr="009D519D" w:rsidRDefault="0057434E" w:rsidP="00990AA4">
            <w:pPr>
              <w:adjustRightInd w:val="0"/>
              <w:snapToGrid w:val="0"/>
              <w:spacing w:afterLines="50" w:after="180" w:line="400" w:lineRule="exact"/>
              <w:jc w:val="both"/>
              <w:rPr>
                <w:rFonts w:ascii="標楷體" w:eastAsia="標楷體" w:hAnsi="標楷體" w:cs="Times New Roman"/>
                <w:szCs w:val="24"/>
              </w:rPr>
            </w:pPr>
            <w:r w:rsidRPr="009D519D">
              <w:rPr>
                <w:rFonts w:ascii="標楷體" w:eastAsia="標楷體" w:hAnsi="標楷體" w:cs="Times New Roman" w:hint="eastAsia"/>
                <w:szCs w:val="24"/>
              </w:rPr>
              <w:t>(二)變動通知若</w:t>
            </w:r>
            <w:proofErr w:type="gramStart"/>
            <w:r w:rsidRPr="009D519D">
              <w:rPr>
                <w:rFonts w:ascii="標楷體" w:eastAsia="標楷體" w:hAnsi="標楷體" w:cs="Times New Roman" w:hint="eastAsia"/>
                <w:szCs w:val="24"/>
              </w:rPr>
              <w:t>採</w:t>
            </w:r>
            <w:proofErr w:type="gramEnd"/>
            <w:r w:rsidRPr="009D519D">
              <w:rPr>
                <w:rFonts w:ascii="標楷體" w:eastAsia="標楷體" w:hAnsi="標楷體" w:cs="Times New Roman" w:hint="eastAsia"/>
                <w:szCs w:val="24"/>
              </w:rPr>
              <w:t>網頁公告方式，無須事前經投資人同意，惟亦可於事前告知之揭露表單附註「未來若相關通路報酬變動將於本公司（銀行）網頁上公告」，且通知對象不限於特定持有基金之投資人。</w:t>
            </w:r>
          </w:p>
        </w:tc>
        <w:tc>
          <w:tcPr>
            <w:tcW w:w="3227" w:type="dxa"/>
          </w:tcPr>
          <w:p w:rsidR="0057434E" w:rsidRPr="009D519D" w:rsidRDefault="0057434E" w:rsidP="00990AA4">
            <w:pPr>
              <w:adjustRightInd w:val="0"/>
              <w:snapToGrid w:val="0"/>
              <w:spacing w:afterLines="50" w:after="180" w:line="400" w:lineRule="exact"/>
              <w:jc w:val="both"/>
              <w:rPr>
                <w:rFonts w:ascii="標楷體" w:eastAsia="標楷體" w:hAnsi="標楷體" w:cs="Times New Roman"/>
                <w:szCs w:val="24"/>
              </w:rPr>
            </w:pPr>
            <w:r w:rsidRPr="009D519D">
              <w:rPr>
                <w:rFonts w:ascii="標楷體" w:eastAsia="標楷體" w:hAnsi="標楷體" w:cs="Times New Roman" w:hint="eastAsia"/>
                <w:szCs w:val="24"/>
                <w:u w:val="single"/>
              </w:rPr>
              <w:t>七</w:t>
            </w:r>
            <w:r w:rsidRPr="009D519D">
              <w:rPr>
                <w:rFonts w:ascii="標楷體" w:eastAsia="標楷體" w:hAnsi="標楷體" w:cs="Times New Roman" w:hint="eastAsia"/>
                <w:szCs w:val="24"/>
              </w:rPr>
              <w:t>、就本施行要點第六條揭露內容變動之通知，應如何適用？</w:t>
            </w:r>
          </w:p>
          <w:p w:rsidR="0057434E" w:rsidRPr="009D519D" w:rsidRDefault="0057434E" w:rsidP="00990AA4">
            <w:pPr>
              <w:adjustRightInd w:val="0"/>
              <w:snapToGrid w:val="0"/>
              <w:spacing w:afterLines="50" w:after="180" w:line="400" w:lineRule="exact"/>
              <w:jc w:val="both"/>
              <w:rPr>
                <w:rFonts w:ascii="標楷體" w:eastAsia="標楷體" w:hAnsi="標楷體" w:cs="Times New Roman"/>
                <w:szCs w:val="24"/>
              </w:rPr>
            </w:pPr>
            <w:r w:rsidRPr="009D519D">
              <w:rPr>
                <w:rFonts w:ascii="標楷體" w:eastAsia="標楷體" w:hAnsi="標楷體" w:cs="Times New Roman" w:hint="eastAsia"/>
                <w:szCs w:val="24"/>
              </w:rPr>
              <w:t>說明：</w:t>
            </w:r>
          </w:p>
          <w:p w:rsidR="0057434E" w:rsidRPr="009D519D" w:rsidRDefault="0057434E" w:rsidP="00990AA4">
            <w:pPr>
              <w:adjustRightInd w:val="0"/>
              <w:snapToGrid w:val="0"/>
              <w:spacing w:afterLines="50" w:after="180" w:line="400" w:lineRule="exact"/>
              <w:jc w:val="both"/>
              <w:rPr>
                <w:rFonts w:ascii="標楷體" w:eastAsia="標楷體" w:hAnsi="標楷體" w:cs="Times New Roman"/>
                <w:szCs w:val="24"/>
              </w:rPr>
            </w:pPr>
            <w:r w:rsidRPr="009D519D">
              <w:rPr>
                <w:rFonts w:ascii="標楷體" w:eastAsia="標楷體" w:hAnsi="標楷體" w:cs="Times New Roman" w:hint="eastAsia"/>
                <w:szCs w:val="24"/>
              </w:rPr>
              <w:t>(</w:t>
            </w:r>
            <w:proofErr w:type="gramStart"/>
            <w:r w:rsidRPr="009D519D">
              <w:rPr>
                <w:rFonts w:ascii="標楷體" w:eastAsia="標楷體" w:hAnsi="標楷體" w:cs="Times New Roman" w:hint="eastAsia"/>
                <w:szCs w:val="24"/>
              </w:rPr>
              <w:t>一</w:t>
            </w:r>
            <w:proofErr w:type="gramEnd"/>
            <w:r w:rsidRPr="009D519D">
              <w:rPr>
                <w:rFonts w:ascii="標楷體" w:eastAsia="標楷體" w:hAnsi="標楷體" w:cs="Times New Roman" w:hint="eastAsia"/>
                <w:szCs w:val="24"/>
              </w:rPr>
              <w:t>)有關修正銷售契約約定涉及通路報酬變動、總代理人或銷售機構適用之費率級距變動或產品說明會、員工教育訓練年度贊助費用及其他報酬達揭露門檻，致銷售機構就個別基金收受之通路報酬變動者，其變動之發生可能於當月任何時點，為明確作業流程，</w:t>
            </w:r>
            <w:proofErr w:type="gramStart"/>
            <w:r w:rsidRPr="009D519D">
              <w:rPr>
                <w:rFonts w:ascii="標楷體" w:eastAsia="標楷體" w:hAnsi="標楷體" w:cs="Times New Roman" w:hint="eastAsia"/>
                <w:szCs w:val="24"/>
              </w:rPr>
              <w:t>爰</w:t>
            </w:r>
            <w:proofErr w:type="gramEnd"/>
            <w:r w:rsidRPr="009D519D">
              <w:rPr>
                <w:rFonts w:ascii="標楷體" w:eastAsia="標楷體" w:hAnsi="標楷體" w:cs="Times New Roman" w:hint="eastAsia"/>
                <w:szCs w:val="24"/>
              </w:rPr>
              <w:t>明定於變動後次月月底前通知。</w:t>
            </w:r>
          </w:p>
          <w:p w:rsidR="0057434E" w:rsidRPr="009D519D" w:rsidRDefault="0057434E" w:rsidP="00990AA4">
            <w:pPr>
              <w:adjustRightInd w:val="0"/>
              <w:snapToGrid w:val="0"/>
              <w:spacing w:afterLines="50" w:after="180" w:line="400" w:lineRule="exact"/>
              <w:jc w:val="both"/>
              <w:rPr>
                <w:rFonts w:ascii="標楷體" w:eastAsia="標楷體" w:hAnsi="標楷體" w:cs="Times New Roman"/>
                <w:szCs w:val="24"/>
              </w:rPr>
            </w:pPr>
            <w:r w:rsidRPr="009D519D">
              <w:rPr>
                <w:rFonts w:ascii="標楷體" w:eastAsia="標楷體" w:hAnsi="標楷體" w:cs="Times New Roman" w:hint="eastAsia"/>
                <w:szCs w:val="24"/>
              </w:rPr>
              <w:t>(二)變動通知若</w:t>
            </w:r>
            <w:proofErr w:type="gramStart"/>
            <w:r w:rsidRPr="009D519D">
              <w:rPr>
                <w:rFonts w:ascii="標楷體" w:eastAsia="標楷體" w:hAnsi="標楷體" w:cs="Times New Roman" w:hint="eastAsia"/>
                <w:szCs w:val="24"/>
              </w:rPr>
              <w:t>採</w:t>
            </w:r>
            <w:proofErr w:type="gramEnd"/>
            <w:r w:rsidRPr="009D519D">
              <w:rPr>
                <w:rFonts w:ascii="標楷體" w:eastAsia="標楷體" w:hAnsi="標楷體" w:cs="Times New Roman" w:hint="eastAsia"/>
                <w:szCs w:val="24"/>
              </w:rPr>
              <w:t>網頁公告方式，無須事前經投資人同意，惟亦可於事前告知之揭露表單附註「未來若相關通路報酬變動將於本公司（銀行）網頁上公告」，且通知對象不限於特定持有基金之投資人。</w:t>
            </w:r>
          </w:p>
        </w:tc>
        <w:tc>
          <w:tcPr>
            <w:tcW w:w="3227" w:type="dxa"/>
          </w:tcPr>
          <w:p w:rsidR="0057434E" w:rsidRPr="009D519D" w:rsidRDefault="0057434E" w:rsidP="00990AA4">
            <w:pPr>
              <w:adjustRightInd w:val="0"/>
              <w:snapToGrid w:val="0"/>
              <w:spacing w:afterLines="50" w:after="180" w:line="400" w:lineRule="exact"/>
              <w:jc w:val="both"/>
              <w:rPr>
                <w:rFonts w:ascii="標楷體" w:eastAsia="標楷體" w:hAnsi="標楷體" w:cs="Times New Roman"/>
                <w:szCs w:val="24"/>
              </w:rPr>
            </w:pPr>
            <w:proofErr w:type="gramStart"/>
            <w:r w:rsidRPr="009D519D">
              <w:rPr>
                <w:rFonts w:ascii="標楷體" w:eastAsia="標楷體" w:hAnsi="標楷體" w:cs="Times New Roman" w:hint="eastAsia"/>
                <w:szCs w:val="24"/>
              </w:rPr>
              <w:t>題次調整</w:t>
            </w:r>
            <w:proofErr w:type="gramEnd"/>
            <w:r w:rsidRPr="009D519D">
              <w:rPr>
                <w:rFonts w:ascii="標楷體" w:eastAsia="標楷體" w:hAnsi="標楷體" w:cs="Times New Roman" w:hint="eastAsia"/>
                <w:szCs w:val="24"/>
              </w:rPr>
              <w:t>。</w:t>
            </w:r>
          </w:p>
        </w:tc>
      </w:tr>
      <w:tr w:rsidR="009D519D" w:rsidRPr="009D519D" w:rsidTr="00720289">
        <w:trPr>
          <w:trHeight w:val="1041"/>
        </w:trPr>
        <w:tc>
          <w:tcPr>
            <w:tcW w:w="3227" w:type="dxa"/>
          </w:tcPr>
          <w:p w:rsidR="0057434E" w:rsidRPr="009D519D" w:rsidRDefault="0057434E" w:rsidP="00990AA4">
            <w:pPr>
              <w:adjustRightInd w:val="0"/>
              <w:snapToGrid w:val="0"/>
              <w:spacing w:afterLines="50" w:after="180" w:line="400" w:lineRule="exact"/>
              <w:jc w:val="both"/>
              <w:rPr>
                <w:rFonts w:ascii="標楷體" w:eastAsia="標楷體" w:hAnsi="標楷體" w:cs="Times New Roman"/>
                <w:szCs w:val="24"/>
              </w:rPr>
            </w:pPr>
            <w:r w:rsidRPr="009D519D">
              <w:rPr>
                <w:rFonts w:ascii="標楷體" w:eastAsia="標楷體" w:hAnsi="標楷體" w:cs="Times New Roman" w:hint="eastAsia"/>
                <w:szCs w:val="24"/>
                <w:u w:val="single"/>
              </w:rPr>
              <w:lastRenderedPageBreak/>
              <w:t>九</w:t>
            </w:r>
            <w:r w:rsidRPr="009D519D">
              <w:rPr>
                <w:rFonts w:ascii="標楷體" w:eastAsia="標楷體" w:hAnsi="標楷體" w:cs="Times New Roman" w:hint="eastAsia"/>
                <w:szCs w:val="24"/>
              </w:rPr>
              <w:t>、</w:t>
            </w:r>
            <w:proofErr w:type="gramStart"/>
            <w:r w:rsidRPr="009D519D">
              <w:rPr>
                <w:rFonts w:ascii="標楷體" w:eastAsia="標楷體" w:hAnsi="標楷體" w:cs="Times New Roman" w:hint="eastAsia"/>
                <w:szCs w:val="24"/>
              </w:rPr>
              <w:t>爰</w:t>
            </w:r>
            <w:proofErr w:type="gramEnd"/>
            <w:r w:rsidRPr="009D519D">
              <w:rPr>
                <w:rFonts w:ascii="標楷體" w:eastAsia="標楷體" w:hAnsi="標楷體" w:cs="Times New Roman" w:hint="eastAsia"/>
                <w:szCs w:val="24"/>
              </w:rPr>
              <w:t>境外基金管理辦法及證券投資信託事業募集證券投資信託基金處理準則，有關銷售機構及其人員辦理基金銷售業務，不得向境外基金機構、總代理人或證券投資信託事業收取銷售契約約定以外之報酬、費用或其他利益之規定乙事，就銷售機構與基金公司之銷售契約，其回覆作業方式應如何進行？</w:t>
            </w:r>
          </w:p>
          <w:p w:rsidR="0057434E" w:rsidRPr="009D519D" w:rsidRDefault="0057434E" w:rsidP="00990AA4">
            <w:pPr>
              <w:adjustRightInd w:val="0"/>
              <w:snapToGrid w:val="0"/>
              <w:spacing w:afterLines="50" w:after="180" w:line="400" w:lineRule="exact"/>
              <w:jc w:val="both"/>
              <w:rPr>
                <w:rFonts w:ascii="標楷體" w:eastAsia="標楷體" w:hAnsi="標楷體" w:cs="Times New Roman"/>
                <w:szCs w:val="24"/>
              </w:rPr>
            </w:pPr>
            <w:r w:rsidRPr="009D519D">
              <w:rPr>
                <w:rFonts w:ascii="標楷體" w:eastAsia="標楷體" w:hAnsi="標楷體" w:cs="Times New Roman" w:hint="eastAsia"/>
                <w:szCs w:val="24"/>
              </w:rPr>
              <w:t>說明：有關通路報酬方式之約定，考量基金公司與銷售機構間對於通路報酬之</w:t>
            </w:r>
            <w:r w:rsidRPr="009D519D">
              <w:rPr>
                <w:rFonts w:ascii="標楷體" w:eastAsia="標楷體" w:hAnsi="標楷體" w:cs="Times New Roman" w:hint="eastAsia"/>
                <w:szCs w:val="24"/>
                <w:u w:val="single"/>
              </w:rPr>
              <w:t>項目</w:t>
            </w:r>
            <w:r w:rsidRPr="009D519D">
              <w:rPr>
                <w:rFonts w:ascii="標楷體" w:eastAsia="標楷體" w:hAnsi="標楷體" w:cs="Times New Roman" w:hint="eastAsia"/>
                <w:szCs w:val="24"/>
              </w:rPr>
              <w:t>、費率/金額條件等已有固定往來模式，銷售契約及其增補契約應載明通路報酬之</w:t>
            </w:r>
            <w:r w:rsidRPr="009D519D">
              <w:rPr>
                <w:rFonts w:ascii="標楷體" w:eastAsia="標楷體" w:hAnsi="標楷體" w:cs="Times New Roman" w:hint="eastAsia"/>
                <w:szCs w:val="24"/>
                <w:u w:val="single"/>
              </w:rPr>
              <w:t>項目</w:t>
            </w:r>
            <w:r w:rsidRPr="009D519D">
              <w:rPr>
                <w:rFonts w:ascii="標楷體" w:eastAsia="標楷體" w:hAnsi="標楷體" w:cs="Times New Roman" w:hint="eastAsia"/>
                <w:szCs w:val="24"/>
              </w:rPr>
              <w:t>及費率/金額條件，若無法確定費率/金額條件者，可約定嗣後以一方發文要約，另一方回覆承諾與否之換文方式約定費率/金額條件。</w:t>
            </w:r>
            <w:proofErr w:type="gramStart"/>
            <w:r w:rsidRPr="009D519D">
              <w:rPr>
                <w:rFonts w:ascii="標楷體" w:eastAsia="標楷體" w:hAnsi="標楷體" w:cs="Times New Roman" w:hint="eastAsia"/>
                <w:szCs w:val="24"/>
              </w:rPr>
              <w:t>另</w:t>
            </w:r>
            <w:proofErr w:type="gramEnd"/>
            <w:r w:rsidRPr="009D519D">
              <w:rPr>
                <w:rFonts w:ascii="標楷體" w:eastAsia="標楷體" w:hAnsi="標楷體" w:cs="Times New Roman" w:hint="eastAsia"/>
                <w:szCs w:val="24"/>
              </w:rPr>
              <w:t>，就另一方回覆承諾之方式，應以金融機構間雙方約定或依內部授權，選擇以書面、電子郵件等方式以回覆承諾他方之要約。</w:t>
            </w:r>
          </w:p>
          <w:p w:rsidR="0057434E" w:rsidRPr="009D519D" w:rsidRDefault="0057434E" w:rsidP="00990AA4">
            <w:pPr>
              <w:adjustRightInd w:val="0"/>
              <w:snapToGrid w:val="0"/>
              <w:spacing w:afterLines="50" w:after="180" w:line="400" w:lineRule="exact"/>
              <w:jc w:val="both"/>
              <w:rPr>
                <w:rFonts w:ascii="標楷體" w:eastAsia="標楷體" w:hAnsi="標楷體" w:cs="Times New Roman"/>
                <w:szCs w:val="24"/>
              </w:rPr>
            </w:pPr>
          </w:p>
          <w:p w:rsidR="0057434E" w:rsidRPr="009D519D" w:rsidRDefault="0057434E" w:rsidP="00990AA4">
            <w:pPr>
              <w:adjustRightInd w:val="0"/>
              <w:snapToGrid w:val="0"/>
              <w:spacing w:afterLines="50" w:after="180" w:line="400" w:lineRule="exact"/>
              <w:jc w:val="both"/>
              <w:rPr>
                <w:rFonts w:ascii="標楷體" w:eastAsia="標楷體" w:hAnsi="標楷體" w:cs="Times New Roman"/>
                <w:szCs w:val="24"/>
              </w:rPr>
            </w:pPr>
          </w:p>
          <w:tbl>
            <w:tblPr>
              <w:tblpPr w:leftFromText="180" w:rightFromText="180" w:vertAnchor="text" w:horzAnchor="margin" w:tblpXSpec="center" w:tblpY="3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001"/>
            </w:tblGrid>
            <w:tr w:rsidR="009D519D" w:rsidRPr="009D519D" w:rsidTr="006052E7">
              <w:trPr>
                <w:trHeight w:val="438"/>
              </w:trPr>
              <w:tc>
                <w:tcPr>
                  <w:tcW w:w="9720" w:type="dxa"/>
                </w:tcPr>
                <w:p w:rsidR="0057434E" w:rsidRPr="009D519D" w:rsidRDefault="0057434E" w:rsidP="00990AA4">
                  <w:pPr>
                    <w:pStyle w:val="2"/>
                    <w:spacing w:afterLines="50" w:after="180" w:line="400" w:lineRule="exact"/>
                    <w:ind w:left="0"/>
                    <w:jc w:val="both"/>
                    <w:rPr>
                      <w:b/>
                      <w:bCs/>
                      <w:sz w:val="24"/>
                    </w:rPr>
                  </w:pPr>
                  <w:r w:rsidRPr="009D519D">
                    <w:rPr>
                      <w:rFonts w:hint="eastAsia"/>
                      <w:b/>
                      <w:bCs/>
                      <w:sz w:val="24"/>
                    </w:rPr>
                    <w:t>各銷售機構若有關於基金通路報酬揭露事宜之相關意見及建議，敬請先洽各相關公</w:t>
                  </w:r>
                  <w:r w:rsidRPr="009D519D">
                    <w:rPr>
                      <w:rFonts w:hint="eastAsia"/>
                      <w:b/>
                      <w:bCs/>
                      <w:sz w:val="24"/>
                    </w:rPr>
                    <w:lastRenderedPageBreak/>
                    <w:t>會詢問。</w:t>
                  </w:r>
                </w:p>
              </w:tc>
            </w:tr>
          </w:tbl>
          <w:p w:rsidR="0057434E" w:rsidRPr="009D519D" w:rsidRDefault="0057434E" w:rsidP="00990AA4">
            <w:pPr>
              <w:adjustRightInd w:val="0"/>
              <w:snapToGrid w:val="0"/>
              <w:spacing w:afterLines="50" w:after="180" w:line="400" w:lineRule="exact"/>
              <w:jc w:val="both"/>
              <w:rPr>
                <w:rFonts w:ascii="標楷體" w:eastAsia="標楷體" w:hAnsi="標楷體" w:cs="Times New Roman"/>
                <w:szCs w:val="24"/>
              </w:rPr>
            </w:pPr>
          </w:p>
        </w:tc>
        <w:tc>
          <w:tcPr>
            <w:tcW w:w="3227" w:type="dxa"/>
          </w:tcPr>
          <w:p w:rsidR="0057434E" w:rsidRPr="009D519D" w:rsidRDefault="0057434E" w:rsidP="00990AA4">
            <w:pPr>
              <w:adjustRightInd w:val="0"/>
              <w:snapToGrid w:val="0"/>
              <w:spacing w:afterLines="50" w:after="180" w:line="400" w:lineRule="exact"/>
              <w:jc w:val="both"/>
              <w:rPr>
                <w:rFonts w:ascii="標楷體" w:eastAsia="標楷體" w:hAnsi="標楷體" w:cs="Times New Roman"/>
                <w:szCs w:val="24"/>
              </w:rPr>
            </w:pPr>
            <w:r w:rsidRPr="009D519D">
              <w:rPr>
                <w:rFonts w:ascii="標楷體" w:eastAsia="標楷體" w:hAnsi="標楷體" w:cs="Times New Roman" w:hint="eastAsia"/>
                <w:szCs w:val="24"/>
                <w:u w:val="single"/>
              </w:rPr>
              <w:lastRenderedPageBreak/>
              <w:t>八</w:t>
            </w:r>
            <w:r w:rsidRPr="009D519D">
              <w:rPr>
                <w:rFonts w:ascii="標楷體" w:eastAsia="標楷體" w:hAnsi="標楷體" w:cs="Times New Roman" w:hint="eastAsia"/>
                <w:szCs w:val="24"/>
              </w:rPr>
              <w:t>、</w:t>
            </w:r>
            <w:proofErr w:type="gramStart"/>
            <w:r w:rsidRPr="009D519D">
              <w:rPr>
                <w:rFonts w:ascii="標楷體" w:eastAsia="標楷體" w:hAnsi="標楷體" w:cs="Times New Roman" w:hint="eastAsia"/>
                <w:szCs w:val="24"/>
              </w:rPr>
              <w:t>爰</w:t>
            </w:r>
            <w:proofErr w:type="gramEnd"/>
            <w:r w:rsidRPr="009D519D">
              <w:rPr>
                <w:rFonts w:ascii="標楷體" w:eastAsia="標楷體" w:hAnsi="標楷體" w:cs="Times New Roman" w:hint="eastAsia"/>
                <w:szCs w:val="24"/>
              </w:rPr>
              <w:t>境外基金管理辦法及證券投資信託事業募集證券投資信託基金處理準則，有關銷售機構及其人員辦理基金銷售業務，不得向境外基金機構、總代理人或證券投資信託事業收取銷售契約約定以外之報酬、費用或其他利益之規定乙事，就銷售機構與基金公司之銷售契約，其回覆作業方式應如何進行？</w:t>
            </w:r>
          </w:p>
          <w:p w:rsidR="0057434E" w:rsidRPr="009D519D" w:rsidRDefault="0057434E" w:rsidP="00990AA4">
            <w:pPr>
              <w:adjustRightInd w:val="0"/>
              <w:snapToGrid w:val="0"/>
              <w:spacing w:afterLines="50" w:after="180" w:line="400" w:lineRule="exact"/>
              <w:jc w:val="both"/>
              <w:rPr>
                <w:rFonts w:ascii="標楷體" w:eastAsia="標楷體" w:hAnsi="標楷體" w:cs="Times New Roman"/>
                <w:szCs w:val="24"/>
              </w:rPr>
            </w:pPr>
            <w:r w:rsidRPr="009D519D">
              <w:rPr>
                <w:rFonts w:ascii="標楷體" w:eastAsia="標楷體" w:hAnsi="標楷體" w:cs="Times New Roman" w:hint="eastAsia"/>
                <w:szCs w:val="24"/>
              </w:rPr>
              <w:t>說明：</w:t>
            </w:r>
            <w:proofErr w:type="gramStart"/>
            <w:r w:rsidRPr="009D519D">
              <w:rPr>
                <w:rFonts w:ascii="標楷體" w:eastAsia="標楷體" w:hAnsi="標楷體" w:cs="Times New Roman" w:hint="eastAsia"/>
                <w:szCs w:val="24"/>
                <w:u w:val="single"/>
              </w:rPr>
              <w:t>爰</w:t>
            </w:r>
            <w:proofErr w:type="gramEnd"/>
            <w:r w:rsidRPr="009D519D">
              <w:rPr>
                <w:rFonts w:ascii="標楷體" w:eastAsia="標楷體" w:hAnsi="標楷體" w:cs="Times New Roman" w:hint="eastAsia"/>
                <w:szCs w:val="24"/>
                <w:u w:val="single"/>
              </w:rPr>
              <w:t>依行政院金融監督管理委員會於100年3月4日金</w:t>
            </w:r>
            <w:proofErr w:type="gramStart"/>
            <w:r w:rsidRPr="009D519D">
              <w:rPr>
                <w:rFonts w:ascii="標楷體" w:eastAsia="標楷體" w:hAnsi="標楷體" w:cs="Times New Roman" w:hint="eastAsia"/>
                <w:szCs w:val="24"/>
                <w:u w:val="single"/>
              </w:rPr>
              <w:t>管證投字</w:t>
            </w:r>
            <w:proofErr w:type="gramEnd"/>
            <w:r w:rsidRPr="009D519D">
              <w:rPr>
                <w:rFonts w:ascii="標楷體" w:eastAsia="標楷體" w:hAnsi="標楷體" w:cs="Times New Roman" w:hint="eastAsia"/>
                <w:szCs w:val="24"/>
                <w:u w:val="single"/>
              </w:rPr>
              <w:t>第1000000602號函說明，</w:t>
            </w:r>
            <w:r w:rsidRPr="009D519D">
              <w:rPr>
                <w:rFonts w:ascii="標楷體" w:eastAsia="標楷體" w:hAnsi="標楷體" w:cs="Times New Roman" w:hint="eastAsia"/>
                <w:szCs w:val="24"/>
              </w:rPr>
              <w:t>有關通路報酬方式之約定，考量基金公司與銷售機構間對於通路報酬之</w:t>
            </w:r>
            <w:r w:rsidRPr="009D519D">
              <w:rPr>
                <w:rFonts w:ascii="標楷體" w:eastAsia="標楷體" w:hAnsi="標楷體" w:cs="Times New Roman" w:hint="eastAsia"/>
                <w:szCs w:val="24"/>
                <w:u w:val="single"/>
              </w:rPr>
              <w:t>類型</w:t>
            </w:r>
            <w:r w:rsidRPr="009D519D">
              <w:rPr>
                <w:rFonts w:ascii="標楷體" w:eastAsia="標楷體" w:hAnsi="標楷體" w:cs="Times New Roman" w:hint="eastAsia"/>
                <w:szCs w:val="24"/>
              </w:rPr>
              <w:t>、費率/金額條件等已有固定往來模式，銷售契約及其增補契約應載明通路報酬之</w:t>
            </w:r>
            <w:r w:rsidRPr="009D519D">
              <w:rPr>
                <w:rFonts w:ascii="標楷體" w:eastAsia="標楷體" w:hAnsi="標楷體" w:cs="Times New Roman" w:hint="eastAsia"/>
                <w:szCs w:val="24"/>
                <w:u w:val="single"/>
              </w:rPr>
              <w:t>類型</w:t>
            </w:r>
            <w:r w:rsidRPr="009D519D">
              <w:rPr>
                <w:rFonts w:ascii="標楷體" w:eastAsia="標楷體" w:hAnsi="標楷體" w:cs="Times New Roman" w:hint="eastAsia"/>
                <w:szCs w:val="24"/>
              </w:rPr>
              <w:t>及費率/金額條件，若無法確定費率/金額條件者，可約定嗣後以一方發文要約，另一方回覆承諾與否之換文方式約定費率/金額條件。</w:t>
            </w:r>
            <w:proofErr w:type="gramStart"/>
            <w:r w:rsidRPr="009D519D">
              <w:rPr>
                <w:rFonts w:ascii="標楷體" w:eastAsia="標楷體" w:hAnsi="標楷體" w:cs="Times New Roman" w:hint="eastAsia"/>
                <w:szCs w:val="24"/>
              </w:rPr>
              <w:t>另</w:t>
            </w:r>
            <w:proofErr w:type="gramEnd"/>
            <w:r w:rsidRPr="009D519D">
              <w:rPr>
                <w:rFonts w:ascii="標楷體" w:eastAsia="標楷體" w:hAnsi="標楷體" w:cs="Times New Roman" w:hint="eastAsia"/>
                <w:szCs w:val="24"/>
              </w:rPr>
              <w:t>，就另一方回覆承諾之方式，應以金融機構間雙方約定或依內部授權，選擇以書面、電子郵件等方式以回覆承諾他方之要約。</w:t>
            </w:r>
          </w:p>
          <w:tbl>
            <w:tblPr>
              <w:tblpPr w:leftFromText="180" w:rightFromText="180" w:vertAnchor="text" w:horzAnchor="margin" w:tblpXSpec="center" w:tblpY="3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001"/>
            </w:tblGrid>
            <w:tr w:rsidR="009D519D" w:rsidRPr="009D519D" w:rsidTr="004D41F2">
              <w:trPr>
                <w:trHeight w:val="438"/>
              </w:trPr>
              <w:tc>
                <w:tcPr>
                  <w:tcW w:w="9720" w:type="dxa"/>
                </w:tcPr>
                <w:p w:rsidR="0057434E" w:rsidRPr="009D519D" w:rsidRDefault="0057434E" w:rsidP="00990AA4">
                  <w:pPr>
                    <w:pStyle w:val="2"/>
                    <w:spacing w:afterLines="50" w:after="180" w:line="400" w:lineRule="exact"/>
                    <w:ind w:left="0"/>
                    <w:jc w:val="both"/>
                    <w:rPr>
                      <w:b/>
                      <w:bCs/>
                      <w:sz w:val="24"/>
                    </w:rPr>
                  </w:pPr>
                  <w:r w:rsidRPr="009D519D">
                    <w:rPr>
                      <w:rFonts w:hint="eastAsia"/>
                      <w:b/>
                      <w:bCs/>
                      <w:sz w:val="24"/>
                    </w:rPr>
                    <w:t>各銷售機構若有關於基金通路報酬揭露事宜之相關意見及建議，敬請先洽各相關公</w:t>
                  </w:r>
                  <w:r w:rsidRPr="009D519D">
                    <w:rPr>
                      <w:rFonts w:hint="eastAsia"/>
                      <w:b/>
                      <w:bCs/>
                      <w:sz w:val="24"/>
                    </w:rPr>
                    <w:lastRenderedPageBreak/>
                    <w:t>會詢問。</w:t>
                  </w:r>
                </w:p>
              </w:tc>
            </w:tr>
          </w:tbl>
          <w:p w:rsidR="0057434E" w:rsidRPr="009D519D" w:rsidRDefault="0057434E" w:rsidP="00990AA4">
            <w:pPr>
              <w:adjustRightInd w:val="0"/>
              <w:snapToGrid w:val="0"/>
              <w:spacing w:afterLines="50" w:after="180" w:line="400" w:lineRule="exact"/>
              <w:jc w:val="both"/>
              <w:rPr>
                <w:rFonts w:ascii="標楷體" w:eastAsia="標楷體" w:hAnsi="標楷體" w:cs="Times New Roman"/>
                <w:szCs w:val="24"/>
              </w:rPr>
            </w:pPr>
          </w:p>
        </w:tc>
        <w:tc>
          <w:tcPr>
            <w:tcW w:w="3227" w:type="dxa"/>
          </w:tcPr>
          <w:p w:rsidR="0057434E" w:rsidRPr="009D519D" w:rsidRDefault="0057434E" w:rsidP="00185180">
            <w:pPr>
              <w:adjustRightInd w:val="0"/>
              <w:snapToGrid w:val="0"/>
              <w:spacing w:afterLines="50" w:after="180" w:line="400" w:lineRule="exact"/>
              <w:jc w:val="both"/>
              <w:rPr>
                <w:rFonts w:ascii="標楷體" w:eastAsia="標楷體" w:hAnsi="標楷體" w:cs="Times New Roman"/>
                <w:szCs w:val="24"/>
              </w:rPr>
            </w:pPr>
            <w:proofErr w:type="gramStart"/>
            <w:r w:rsidRPr="009D519D">
              <w:rPr>
                <w:rFonts w:ascii="標楷體" w:eastAsia="標楷體" w:hAnsi="標楷體" w:cs="Times New Roman" w:hint="eastAsia"/>
                <w:szCs w:val="24"/>
              </w:rPr>
              <w:lastRenderedPageBreak/>
              <w:t>題次</w:t>
            </w:r>
            <w:r w:rsidR="009A016F">
              <w:rPr>
                <w:rFonts w:ascii="標楷體" w:eastAsia="標楷體" w:hAnsi="標楷體" w:cs="Times New Roman" w:hint="eastAsia"/>
                <w:szCs w:val="24"/>
              </w:rPr>
              <w:t>及</w:t>
            </w:r>
            <w:proofErr w:type="gramEnd"/>
            <w:r w:rsidR="009A016F">
              <w:rPr>
                <w:rFonts w:ascii="標楷體" w:eastAsia="標楷體" w:hAnsi="標楷體" w:cs="Times New Roman" w:hint="eastAsia"/>
                <w:szCs w:val="24"/>
              </w:rPr>
              <w:t>文字</w:t>
            </w:r>
            <w:r w:rsidRPr="009D519D">
              <w:rPr>
                <w:rFonts w:ascii="標楷體" w:eastAsia="標楷體" w:hAnsi="標楷體" w:cs="Times New Roman" w:hint="eastAsia"/>
                <w:szCs w:val="24"/>
              </w:rPr>
              <w:t>調整。</w:t>
            </w:r>
          </w:p>
          <w:p w:rsidR="0057434E" w:rsidRPr="009D519D" w:rsidRDefault="0057434E" w:rsidP="00990AA4">
            <w:pPr>
              <w:adjustRightInd w:val="0"/>
              <w:snapToGrid w:val="0"/>
              <w:spacing w:afterLines="50" w:after="180" w:line="400" w:lineRule="exact"/>
              <w:jc w:val="both"/>
              <w:rPr>
                <w:rFonts w:ascii="標楷體" w:eastAsia="標楷體" w:hAnsi="標楷體" w:cs="Times New Roman"/>
                <w:szCs w:val="24"/>
              </w:rPr>
            </w:pPr>
          </w:p>
          <w:p w:rsidR="0057434E" w:rsidRPr="009D519D" w:rsidRDefault="0057434E" w:rsidP="00990AA4">
            <w:pPr>
              <w:adjustRightInd w:val="0"/>
              <w:snapToGrid w:val="0"/>
              <w:spacing w:afterLines="50" w:after="180" w:line="400" w:lineRule="exact"/>
              <w:jc w:val="both"/>
              <w:rPr>
                <w:rFonts w:ascii="標楷體" w:eastAsia="標楷體" w:hAnsi="標楷體" w:cs="Times New Roman"/>
                <w:szCs w:val="24"/>
              </w:rPr>
            </w:pPr>
          </w:p>
          <w:p w:rsidR="0057434E" w:rsidRPr="009D519D" w:rsidRDefault="0057434E" w:rsidP="00990AA4">
            <w:pPr>
              <w:adjustRightInd w:val="0"/>
              <w:snapToGrid w:val="0"/>
              <w:spacing w:afterLines="50" w:after="180" w:line="400" w:lineRule="exact"/>
              <w:jc w:val="both"/>
              <w:rPr>
                <w:rFonts w:ascii="標楷體" w:eastAsia="標楷體" w:hAnsi="標楷體" w:cs="Times New Roman"/>
                <w:szCs w:val="24"/>
              </w:rPr>
            </w:pPr>
          </w:p>
          <w:p w:rsidR="0057434E" w:rsidRPr="009D519D" w:rsidRDefault="0057434E" w:rsidP="00990AA4">
            <w:pPr>
              <w:adjustRightInd w:val="0"/>
              <w:snapToGrid w:val="0"/>
              <w:spacing w:afterLines="50" w:after="180" w:line="400" w:lineRule="exact"/>
              <w:jc w:val="both"/>
              <w:rPr>
                <w:rFonts w:ascii="標楷體" w:eastAsia="標楷體" w:hAnsi="標楷體" w:cs="Times New Roman"/>
                <w:szCs w:val="24"/>
              </w:rPr>
            </w:pPr>
          </w:p>
          <w:p w:rsidR="0057434E" w:rsidRPr="009D519D" w:rsidRDefault="0057434E" w:rsidP="00990AA4">
            <w:pPr>
              <w:adjustRightInd w:val="0"/>
              <w:snapToGrid w:val="0"/>
              <w:spacing w:afterLines="50" w:after="180" w:line="400" w:lineRule="exact"/>
              <w:jc w:val="both"/>
              <w:rPr>
                <w:rFonts w:ascii="標楷體" w:eastAsia="標楷體" w:hAnsi="標楷體" w:cs="Times New Roman"/>
                <w:szCs w:val="24"/>
              </w:rPr>
            </w:pPr>
          </w:p>
          <w:p w:rsidR="0057434E" w:rsidRPr="009D519D" w:rsidRDefault="0057434E" w:rsidP="00990AA4">
            <w:pPr>
              <w:adjustRightInd w:val="0"/>
              <w:snapToGrid w:val="0"/>
              <w:spacing w:afterLines="50" w:after="180" w:line="400" w:lineRule="exact"/>
              <w:jc w:val="both"/>
              <w:rPr>
                <w:rFonts w:ascii="標楷體" w:eastAsia="標楷體" w:hAnsi="標楷體" w:cs="Times New Roman"/>
                <w:szCs w:val="24"/>
              </w:rPr>
            </w:pPr>
          </w:p>
          <w:p w:rsidR="0057434E" w:rsidRPr="009D519D" w:rsidRDefault="0057434E" w:rsidP="00990AA4">
            <w:pPr>
              <w:adjustRightInd w:val="0"/>
              <w:snapToGrid w:val="0"/>
              <w:spacing w:afterLines="50" w:after="180" w:line="400" w:lineRule="exact"/>
              <w:jc w:val="both"/>
              <w:rPr>
                <w:rFonts w:ascii="標楷體" w:eastAsia="標楷體" w:hAnsi="標楷體" w:cs="Times New Roman"/>
                <w:szCs w:val="24"/>
              </w:rPr>
            </w:pPr>
          </w:p>
          <w:p w:rsidR="0057434E" w:rsidRPr="009A016F" w:rsidRDefault="0057434E" w:rsidP="009A016F">
            <w:pPr>
              <w:adjustRightInd w:val="0"/>
              <w:snapToGrid w:val="0"/>
              <w:spacing w:afterLines="50" w:after="180" w:line="400" w:lineRule="exact"/>
              <w:jc w:val="both"/>
              <w:rPr>
                <w:rFonts w:ascii="標楷體" w:eastAsia="標楷體" w:hAnsi="標楷體" w:cs="Times New Roman"/>
                <w:szCs w:val="24"/>
              </w:rPr>
            </w:pPr>
          </w:p>
          <w:p w:rsidR="0057434E" w:rsidRPr="009D519D" w:rsidRDefault="0057434E" w:rsidP="00990AA4">
            <w:pPr>
              <w:adjustRightInd w:val="0"/>
              <w:snapToGrid w:val="0"/>
              <w:spacing w:afterLines="50" w:after="180" w:line="400" w:lineRule="exact"/>
              <w:jc w:val="both"/>
              <w:rPr>
                <w:rFonts w:ascii="標楷體" w:eastAsia="標楷體" w:hAnsi="標楷體" w:cs="Times New Roman"/>
                <w:szCs w:val="24"/>
              </w:rPr>
            </w:pPr>
          </w:p>
        </w:tc>
      </w:tr>
    </w:tbl>
    <w:p w:rsidR="00F41505" w:rsidRDefault="00F41505" w:rsidP="007C3DED">
      <w:pPr>
        <w:widowControl/>
        <w:spacing w:afterLines="100" w:after="360" w:line="400" w:lineRule="exact"/>
        <w:ind w:leftChars="-177" w:rightChars="-236" w:right="-566" w:hangingChars="177" w:hanging="425"/>
        <w:rPr>
          <w:rFonts w:ascii="標楷體" w:eastAsia="標楷體" w:hAnsi="標楷體"/>
        </w:rPr>
      </w:pPr>
    </w:p>
    <w:p w:rsidR="00443940" w:rsidRPr="00443940" w:rsidRDefault="001B48C3" w:rsidP="001B48C3">
      <w:pPr>
        <w:widowControl/>
        <w:spacing w:afterLines="100" w:after="360" w:line="400" w:lineRule="exact"/>
        <w:ind w:leftChars="-177" w:rightChars="-236" w:right="-566" w:hangingChars="177" w:hanging="425"/>
        <w:rPr>
          <w:rFonts w:ascii="Times New Roman" w:eastAsia="標楷體" w:hAnsi="標楷體" w:cs="Times New Roman"/>
          <w:snapToGrid w:val="0"/>
          <w:color w:val="000000"/>
          <w:kern w:val="0"/>
          <w:sz w:val="28"/>
          <w:szCs w:val="20"/>
          <w:bdr w:val="single" w:sz="4" w:space="0" w:color="auto"/>
          <w:shd w:val="pct15" w:color="auto" w:fill="FFFFFF"/>
        </w:rPr>
      </w:pPr>
      <w:r>
        <w:rPr>
          <w:rFonts w:ascii="標楷體" w:eastAsia="標楷體" w:hAnsi="標楷體" w:hint="eastAsia"/>
        </w:rPr>
        <w:t xml:space="preserve">第六題 </w:t>
      </w:r>
      <w:r w:rsidR="00443940" w:rsidRPr="00443940">
        <w:rPr>
          <w:rFonts w:ascii="Times New Roman" w:eastAsia="標楷體" w:hAnsi="標楷體" w:cs="Times New Roman" w:hint="eastAsia"/>
          <w:noProof/>
          <w:color w:val="000000"/>
          <w:kern w:val="0"/>
          <w:sz w:val="28"/>
          <w:szCs w:val="20"/>
        </w:rPr>
        <mc:AlternateContent>
          <mc:Choice Requires="wpg">
            <w:drawing>
              <wp:anchor distT="0" distB="0" distL="114300" distR="114300" simplePos="0" relativeHeight="251659264" behindDoc="0" locked="0" layoutInCell="1" allowOverlap="1" wp14:anchorId="54D10F47" wp14:editId="7343F8A6">
                <wp:simplePos x="0" y="0"/>
                <wp:positionH relativeFrom="column">
                  <wp:posOffset>-265141</wp:posOffset>
                </wp:positionH>
                <wp:positionV relativeFrom="paragraph">
                  <wp:posOffset>190500</wp:posOffset>
                </wp:positionV>
                <wp:extent cx="6297212" cy="4452372"/>
                <wp:effectExtent l="0" t="0" r="27940" b="24765"/>
                <wp:wrapNone/>
                <wp:docPr id="1" name="群組 1"/>
                <wp:cNvGraphicFramePr/>
                <a:graphic xmlns:a="http://schemas.openxmlformats.org/drawingml/2006/main">
                  <a:graphicData uri="http://schemas.microsoft.com/office/word/2010/wordprocessingGroup">
                    <wpg:wgp>
                      <wpg:cNvGrpSpPr/>
                      <wpg:grpSpPr>
                        <a:xfrm>
                          <a:off x="0" y="0"/>
                          <a:ext cx="6297212" cy="4452372"/>
                          <a:chOff x="0" y="0"/>
                          <a:chExt cx="6297212" cy="4452372"/>
                        </a:xfrm>
                      </wpg:grpSpPr>
                      <wps:wsp>
                        <wps:cNvPr id="338" name="直線接點 338"/>
                        <wps:cNvCnPr>
                          <a:cxnSpLocks noChangeShapeType="1"/>
                        </wps:cNvCnPr>
                        <wps:spPr bwMode="auto">
                          <a:xfrm>
                            <a:off x="2146852" y="3299792"/>
                            <a:ext cx="112839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7" name="文字方塊 2"/>
                        <wps:cNvSpPr txBox="1">
                          <a:spLocks noChangeArrowheads="1"/>
                        </wps:cNvSpPr>
                        <wps:spPr bwMode="auto">
                          <a:xfrm>
                            <a:off x="0" y="1526651"/>
                            <a:ext cx="1081378" cy="787179"/>
                          </a:xfrm>
                          <a:prstGeom prst="rect">
                            <a:avLst/>
                          </a:prstGeom>
                          <a:noFill/>
                          <a:ln w="9525">
                            <a:solidFill>
                              <a:srgbClr val="000000"/>
                            </a:solidFill>
                            <a:miter lim="800000"/>
                            <a:headEnd/>
                            <a:tailEnd/>
                          </a:ln>
                        </wps:spPr>
                        <wps:txbx>
                          <w:txbxContent>
                            <w:p w:rsidR="00443940" w:rsidRPr="00414051" w:rsidRDefault="00443940" w:rsidP="00443940">
                              <w:pPr>
                                <w:ind w:rightChars="-34" w:right="-82"/>
                                <w:jc w:val="both"/>
                                <w:rPr>
                                  <w:rFonts w:eastAsia="標楷體" w:hAnsi="標楷體"/>
                                  <w:snapToGrid w:val="0"/>
                                  <w:color w:val="000000"/>
                                  <w:kern w:val="0"/>
                                </w:rPr>
                              </w:pPr>
                              <w:r w:rsidRPr="00414051">
                                <w:rPr>
                                  <w:rFonts w:eastAsia="標楷體" w:hAnsi="標楷體" w:hint="eastAsia"/>
                                  <w:snapToGrid w:val="0"/>
                                  <w:color w:val="000000"/>
                                  <w:kern w:val="0"/>
                                </w:rPr>
                                <w:t>投資人</w:t>
                              </w:r>
                              <w:r w:rsidRPr="00414051">
                                <w:rPr>
                                  <w:rFonts w:eastAsia="標楷體" w:hAnsi="標楷體" w:hint="eastAsia"/>
                                  <w:snapToGrid w:val="0"/>
                                  <w:color w:val="000000"/>
                                  <w:kern w:val="0"/>
                                </w:rPr>
                                <w:t>call in</w:t>
                              </w:r>
                            </w:p>
                            <w:p w:rsidR="00443940" w:rsidRDefault="00443940" w:rsidP="00443940">
                              <w:r w:rsidRPr="00414051">
                                <w:rPr>
                                  <w:rFonts w:eastAsia="標楷體" w:hAnsi="標楷體" w:hint="eastAsia"/>
                                  <w:snapToGrid w:val="0"/>
                                  <w:color w:val="000000"/>
                                  <w:kern w:val="0"/>
                                </w:rPr>
                                <w:t>(</w:t>
                              </w:r>
                              <w:r w:rsidRPr="00414051">
                                <w:rPr>
                                  <w:rFonts w:eastAsia="標楷體" w:hAnsi="標楷體" w:hint="eastAsia"/>
                                  <w:snapToGrid w:val="0"/>
                                  <w:color w:val="000000"/>
                                  <w:kern w:val="0"/>
                                </w:rPr>
                                <w:t>確認人別資訊</w:t>
                              </w:r>
                              <w:r>
                                <w:rPr>
                                  <w:rFonts w:eastAsia="標楷體" w:hAnsi="標楷體" w:hint="eastAsia"/>
                                  <w:snapToGrid w:val="0"/>
                                  <w:color w:val="000000"/>
                                  <w:kern w:val="0"/>
                                </w:rPr>
                                <w:t>)</w:t>
                              </w:r>
                            </w:p>
                          </w:txbxContent>
                        </wps:txbx>
                        <wps:bodyPr rot="0" vert="horz" wrap="square" lIns="91440" tIns="45720" rIns="91440" bIns="45720" anchor="t" anchorCtr="0">
                          <a:spAutoFit/>
                        </wps:bodyPr>
                      </wps:wsp>
                      <wps:wsp>
                        <wps:cNvPr id="299" name="直線接點 299"/>
                        <wps:cNvCnPr>
                          <a:cxnSpLocks noChangeShapeType="1"/>
                        </wps:cNvCnPr>
                        <wps:spPr bwMode="auto">
                          <a:xfrm flipV="1">
                            <a:off x="1081378" y="1009816"/>
                            <a:ext cx="389255" cy="5770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0" name="文字方塊 2"/>
                        <wps:cNvSpPr txBox="1">
                          <a:spLocks noChangeArrowheads="1"/>
                        </wps:cNvSpPr>
                        <wps:spPr bwMode="auto">
                          <a:xfrm>
                            <a:off x="1478943" y="469127"/>
                            <a:ext cx="1486535" cy="1033145"/>
                          </a:xfrm>
                          <a:prstGeom prst="rect">
                            <a:avLst/>
                          </a:prstGeom>
                          <a:noFill/>
                          <a:ln w="9525">
                            <a:solidFill>
                              <a:srgbClr val="000000"/>
                            </a:solidFill>
                            <a:miter lim="800000"/>
                            <a:headEnd/>
                            <a:tailEnd/>
                          </a:ln>
                        </wps:spPr>
                        <wps:txbx>
                          <w:txbxContent>
                            <w:p w:rsidR="00443940" w:rsidRPr="00CF6AC2" w:rsidRDefault="00443940" w:rsidP="00443940">
                              <w:pPr>
                                <w:ind w:rightChars="-34" w:right="-82"/>
                                <w:jc w:val="both"/>
                              </w:pPr>
                              <w:r w:rsidRPr="00414051">
                                <w:rPr>
                                  <w:rFonts w:eastAsia="標楷體" w:hAnsi="標楷體" w:hint="eastAsia"/>
                                  <w:snapToGrid w:val="0"/>
                                  <w:color w:val="000000"/>
                                  <w:kern w:val="0"/>
                                </w:rPr>
                                <w:t>投資人已知悉基金通路報酬費率項目內容</w:t>
                              </w:r>
                              <w:r w:rsidRPr="00414051">
                                <w:rPr>
                                  <w:rFonts w:eastAsia="標楷體" w:hAnsi="標楷體" w:hint="eastAsia"/>
                                  <w:snapToGrid w:val="0"/>
                                  <w:color w:val="000000"/>
                                  <w:kern w:val="0"/>
                                </w:rPr>
                                <w:t>(</w:t>
                              </w:r>
                              <w:r w:rsidRPr="00414051">
                                <w:rPr>
                                  <w:rFonts w:eastAsia="標楷體" w:hAnsi="標楷體" w:hint="eastAsia"/>
                                  <w:snapToGrid w:val="0"/>
                                  <w:color w:val="000000"/>
                                  <w:kern w:val="0"/>
                                </w:rPr>
                                <w:t>投資人需口頭或按鍵確認</w:t>
                              </w:r>
                              <w:r w:rsidRPr="00414051">
                                <w:rPr>
                                  <w:rFonts w:eastAsia="標楷體" w:hAnsi="標楷體" w:hint="eastAsia"/>
                                  <w:snapToGrid w:val="0"/>
                                  <w:color w:val="000000"/>
                                  <w:kern w:val="0"/>
                                </w:rPr>
                                <w:t>)</w:t>
                              </w:r>
                              <w:r w:rsidRPr="00CF6AC2">
                                <w:t xml:space="preserve"> </w:t>
                              </w:r>
                            </w:p>
                          </w:txbxContent>
                        </wps:txbx>
                        <wps:bodyPr rot="0" vert="horz" wrap="square" lIns="91440" tIns="45720" rIns="91440" bIns="45720" anchor="t" anchorCtr="0">
                          <a:noAutofit/>
                        </wps:bodyPr>
                      </wps:wsp>
                      <wps:wsp>
                        <wps:cNvPr id="323" name="直線接點 323"/>
                        <wps:cNvCnPr>
                          <a:cxnSpLocks noChangeShapeType="1"/>
                        </wps:cNvCnPr>
                        <wps:spPr bwMode="auto">
                          <a:xfrm>
                            <a:off x="1081378" y="2162755"/>
                            <a:ext cx="393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4" name="文字方塊 2"/>
                        <wps:cNvSpPr txBox="1">
                          <a:spLocks noChangeArrowheads="1"/>
                        </wps:cNvSpPr>
                        <wps:spPr bwMode="auto">
                          <a:xfrm>
                            <a:off x="1510748" y="1956021"/>
                            <a:ext cx="1319530" cy="770890"/>
                          </a:xfrm>
                          <a:prstGeom prst="rect">
                            <a:avLst/>
                          </a:prstGeom>
                          <a:noFill/>
                          <a:ln w="9525">
                            <a:solidFill>
                              <a:srgbClr val="000000"/>
                            </a:solidFill>
                            <a:miter lim="800000"/>
                            <a:headEnd/>
                            <a:tailEnd/>
                          </a:ln>
                        </wps:spPr>
                        <wps:txbx>
                          <w:txbxContent>
                            <w:p w:rsidR="00443940" w:rsidRPr="0087278D" w:rsidRDefault="00443940" w:rsidP="00443940">
                              <w:pPr>
                                <w:ind w:rightChars="-34" w:right="-82"/>
                                <w:jc w:val="both"/>
                                <w:rPr>
                                  <w:rFonts w:eastAsia="標楷體" w:hAnsi="標楷體"/>
                                  <w:snapToGrid w:val="0"/>
                                  <w:color w:val="000000"/>
                                  <w:kern w:val="0"/>
                                </w:rPr>
                              </w:pPr>
                              <w:r w:rsidRPr="0087278D">
                                <w:rPr>
                                  <w:rFonts w:eastAsia="標楷體" w:hAnsi="標楷體" w:hint="eastAsia"/>
                                  <w:snapToGrid w:val="0"/>
                                  <w:color w:val="000000"/>
                                  <w:kern w:val="0"/>
                                </w:rPr>
                                <w:t>投資人口頭或按鍵表示</w:t>
                              </w:r>
                              <w:proofErr w:type="gramStart"/>
                              <w:r w:rsidRPr="0087278D">
                                <w:rPr>
                                  <w:rFonts w:eastAsia="標楷體" w:hAnsi="標楷體" w:hint="eastAsia"/>
                                  <w:snapToGrid w:val="0"/>
                                  <w:color w:val="000000"/>
                                  <w:kern w:val="0"/>
                                </w:rPr>
                                <w:t>不</w:t>
                              </w:r>
                              <w:proofErr w:type="gramEnd"/>
                              <w:r w:rsidRPr="0087278D">
                                <w:rPr>
                                  <w:rFonts w:eastAsia="標楷體" w:hAnsi="標楷體" w:hint="eastAsia"/>
                                  <w:snapToGrid w:val="0"/>
                                  <w:color w:val="000000"/>
                                  <w:kern w:val="0"/>
                                </w:rPr>
                                <w:t>知悉或未確認取得管道。</w:t>
                              </w:r>
                            </w:p>
                          </w:txbxContent>
                        </wps:txbx>
                        <wps:bodyPr rot="0" vert="horz" wrap="square" lIns="91440" tIns="45720" rIns="91440" bIns="45720" anchor="t" anchorCtr="0">
                          <a:noAutofit/>
                        </wps:bodyPr>
                      </wps:wsp>
                      <wps:wsp>
                        <wps:cNvPr id="325" name="直線接點 325"/>
                        <wps:cNvCnPr>
                          <a:cxnSpLocks noChangeShapeType="1"/>
                        </wps:cNvCnPr>
                        <wps:spPr bwMode="auto">
                          <a:xfrm>
                            <a:off x="2965837" y="890546"/>
                            <a:ext cx="373711"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6" name="文字方塊 2"/>
                        <wps:cNvSpPr txBox="1">
                          <a:spLocks noChangeArrowheads="1"/>
                        </wps:cNvSpPr>
                        <wps:spPr bwMode="auto">
                          <a:xfrm>
                            <a:off x="3339548" y="0"/>
                            <a:ext cx="1486535" cy="1717481"/>
                          </a:xfrm>
                          <a:prstGeom prst="rect">
                            <a:avLst/>
                          </a:prstGeom>
                          <a:noFill/>
                          <a:ln w="9525">
                            <a:solidFill>
                              <a:srgbClr val="000000"/>
                            </a:solidFill>
                            <a:miter lim="800000"/>
                            <a:headEnd/>
                            <a:tailEnd/>
                          </a:ln>
                        </wps:spPr>
                        <wps:txbx>
                          <w:txbxContent>
                            <w:p w:rsidR="00443940" w:rsidRPr="0087278D" w:rsidRDefault="00443940" w:rsidP="00443940">
                              <w:pPr>
                                <w:ind w:rightChars="-34" w:right="-82"/>
                                <w:jc w:val="both"/>
                                <w:rPr>
                                  <w:rFonts w:eastAsia="標楷體" w:hAnsi="標楷體"/>
                                  <w:snapToGrid w:val="0"/>
                                  <w:color w:val="000000"/>
                                  <w:kern w:val="0"/>
                                </w:rPr>
                              </w:pPr>
                              <w:r w:rsidRPr="0087278D">
                                <w:rPr>
                                  <w:rFonts w:eastAsia="標楷體" w:hAnsi="標楷體" w:hint="eastAsia"/>
                                  <w:snapToGrid w:val="0"/>
                                  <w:color w:val="000000"/>
                                  <w:kern w:val="0"/>
                                </w:rPr>
                                <w:t>投資人確認取得內容之管道：</w:t>
                              </w:r>
                            </w:p>
                            <w:p w:rsidR="00443940" w:rsidRPr="0087278D" w:rsidRDefault="00443940" w:rsidP="00443940">
                              <w:pPr>
                                <w:ind w:rightChars="-34" w:right="-82"/>
                                <w:jc w:val="both"/>
                                <w:rPr>
                                  <w:rFonts w:eastAsia="標楷體" w:hAnsi="標楷體"/>
                                  <w:snapToGrid w:val="0"/>
                                  <w:color w:val="000000"/>
                                  <w:kern w:val="0"/>
                                </w:rPr>
                              </w:pPr>
                              <w:r w:rsidRPr="0087278D">
                                <w:rPr>
                                  <w:rFonts w:eastAsia="標楷體" w:hAnsi="標楷體" w:hint="eastAsia"/>
                                  <w:snapToGrid w:val="0"/>
                                  <w:color w:val="000000"/>
                                  <w:kern w:val="0"/>
                                </w:rPr>
                                <w:t>1.</w:t>
                              </w:r>
                              <w:r w:rsidRPr="0087278D">
                                <w:rPr>
                                  <w:rFonts w:eastAsia="標楷體" w:hAnsi="標楷體" w:hint="eastAsia"/>
                                  <w:snapToGrid w:val="0"/>
                                  <w:color w:val="000000"/>
                                  <w:kern w:val="0"/>
                                </w:rPr>
                                <w:t>網站</w:t>
                              </w:r>
                            </w:p>
                            <w:p w:rsidR="00443940" w:rsidRPr="0087278D" w:rsidRDefault="00443940" w:rsidP="00443940">
                              <w:pPr>
                                <w:ind w:rightChars="-34" w:right="-82"/>
                                <w:jc w:val="both"/>
                                <w:rPr>
                                  <w:rFonts w:eastAsia="標楷體" w:hAnsi="標楷體"/>
                                  <w:snapToGrid w:val="0"/>
                                  <w:color w:val="000000"/>
                                  <w:kern w:val="0"/>
                                </w:rPr>
                              </w:pPr>
                              <w:r w:rsidRPr="0087278D">
                                <w:rPr>
                                  <w:rFonts w:eastAsia="標楷體" w:hAnsi="標楷體" w:hint="eastAsia"/>
                                  <w:snapToGrid w:val="0"/>
                                  <w:color w:val="000000"/>
                                  <w:kern w:val="0"/>
                                </w:rPr>
                                <w:t>2.</w:t>
                              </w:r>
                              <w:r w:rsidRPr="0087278D">
                                <w:rPr>
                                  <w:rFonts w:eastAsia="標楷體" w:hAnsi="標楷體" w:hint="eastAsia"/>
                                  <w:snapToGrid w:val="0"/>
                                  <w:color w:val="000000"/>
                                  <w:kern w:val="0"/>
                                </w:rPr>
                                <w:t>語音</w:t>
                              </w:r>
                            </w:p>
                            <w:p w:rsidR="00443940" w:rsidRPr="0087278D" w:rsidRDefault="00443940" w:rsidP="00443940">
                              <w:pPr>
                                <w:ind w:rightChars="-34" w:right="-82"/>
                                <w:jc w:val="both"/>
                                <w:rPr>
                                  <w:rFonts w:eastAsia="標楷體" w:hAnsi="標楷體"/>
                                  <w:snapToGrid w:val="0"/>
                                  <w:color w:val="000000"/>
                                  <w:kern w:val="0"/>
                                </w:rPr>
                              </w:pPr>
                              <w:r w:rsidRPr="0087278D">
                                <w:rPr>
                                  <w:rFonts w:eastAsia="標楷體" w:hAnsi="標楷體" w:hint="eastAsia"/>
                                  <w:snapToGrid w:val="0"/>
                                  <w:color w:val="000000"/>
                                  <w:kern w:val="0"/>
                                </w:rPr>
                                <w:t>3.</w:t>
                              </w:r>
                              <w:r w:rsidRPr="0087278D">
                                <w:rPr>
                                  <w:rFonts w:eastAsia="標楷體" w:hAnsi="標楷體" w:hint="eastAsia"/>
                                  <w:snapToGrid w:val="0"/>
                                  <w:color w:val="000000"/>
                                  <w:kern w:val="0"/>
                                </w:rPr>
                                <w:t>傳真或</w:t>
                              </w:r>
                              <w:r w:rsidRPr="0087278D">
                                <w:rPr>
                                  <w:rFonts w:eastAsia="標楷體" w:hAnsi="標楷體" w:hint="eastAsia"/>
                                  <w:snapToGrid w:val="0"/>
                                  <w:color w:val="000000"/>
                                  <w:kern w:val="0"/>
                                </w:rPr>
                                <w:t>e-mail</w:t>
                              </w:r>
                            </w:p>
                            <w:p w:rsidR="00443940" w:rsidRPr="0087278D" w:rsidRDefault="00443940" w:rsidP="00443940">
                              <w:pPr>
                                <w:ind w:rightChars="-34" w:right="-82"/>
                                <w:jc w:val="both"/>
                                <w:rPr>
                                  <w:rFonts w:eastAsia="標楷體" w:hAnsi="標楷體"/>
                                  <w:snapToGrid w:val="0"/>
                                  <w:color w:val="000000"/>
                                  <w:kern w:val="0"/>
                                </w:rPr>
                              </w:pPr>
                              <w:r w:rsidRPr="0087278D">
                                <w:rPr>
                                  <w:rFonts w:eastAsia="標楷體" w:hAnsi="標楷體" w:hint="eastAsia"/>
                                  <w:snapToGrid w:val="0"/>
                                  <w:color w:val="000000"/>
                                  <w:kern w:val="0"/>
                                </w:rPr>
                                <w:t>4.</w:t>
                              </w:r>
                              <w:r w:rsidRPr="0087278D">
                                <w:rPr>
                                  <w:rFonts w:eastAsia="標楷體" w:hAnsi="標楷體" w:hint="eastAsia"/>
                                  <w:snapToGrid w:val="0"/>
                                  <w:color w:val="000000"/>
                                  <w:kern w:val="0"/>
                                </w:rPr>
                                <w:t>臨櫃</w:t>
                              </w:r>
                            </w:p>
                            <w:p w:rsidR="00443940" w:rsidRPr="00CF6AC2" w:rsidRDefault="00443940" w:rsidP="00443940">
                              <w:pPr>
                                <w:ind w:rightChars="-34" w:right="-82"/>
                                <w:jc w:val="both"/>
                              </w:pPr>
                              <w:r w:rsidRPr="0087278D">
                                <w:rPr>
                                  <w:rFonts w:eastAsia="標楷體" w:hAnsi="標楷體" w:hint="eastAsia"/>
                                  <w:snapToGrid w:val="0"/>
                                  <w:color w:val="000000"/>
                                  <w:kern w:val="0"/>
                                </w:rPr>
                                <w:t>5.</w:t>
                              </w:r>
                              <w:r w:rsidRPr="0087278D">
                                <w:rPr>
                                  <w:rFonts w:eastAsia="標楷體" w:hAnsi="標楷體" w:hint="eastAsia"/>
                                  <w:snapToGrid w:val="0"/>
                                  <w:color w:val="000000"/>
                                  <w:kern w:val="0"/>
                                </w:rPr>
                                <w:t>其他</w:t>
                              </w:r>
                            </w:p>
                          </w:txbxContent>
                        </wps:txbx>
                        <wps:bodyPr rot="0" vert="horz" wrap="square" lIns="91440" tIns="45720" rIns="91440" bIns="45720" anchor="t" anchorCtr="0">
                          <a:noAutofit/>
                        </wps:bodyPr>
                      </wps:wsp>
                      <wps:wsp>
                        <wps:cNvPr id="327" name="直線接點 327"/>
                        <wps:cNvCnPr>
                          <a:cxnSpLocks noChangeShapeType="1"/>
                        </wps:cNvCnPr>
                        <wps:spPr bwMode="auto">
                          <a:xfrm>
                            <a:off x="4826442" y="906449"/>
                            <a:ext cx="49720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8" name="文字方塊 2"/>
                        <wps:cNvSpPr txBox="1">
                          <a:spLocks noChangeArrowheads="1"/>
                        </wps:cNvSpPr>
                        <wps:spPr bwMode="auto">
                          <a:xfrm>
                            <a:off x="5343277" y="731520"/>
                            <a:ext cx="818515" cy="357505"/>
                          </a:xfrm>
                          <a:prstGeom prst="rect">
                            <a:avLst/>
                          </a:prstGeom>
                          <a:noFill/>
                          <a:ln w="9525">
                            <a:solidFill>
                              <a:srgbClr val="000000"/>
                            </a:solidFill>
                            <a:miter lim="800000"/>
                            <a:headEnd/>
                            <a:tailEnd/>
                          </a:ln>
                        </wps:spPr>
                        <wps:txbx>
                          <w:txbxContent>
                            <w:p w:rsidR="00443940" w:rsidRPr="0087278D" w:rsidRDefault="00443940" w:rsidP="00443940">
                              <w:pPr>
                                <w:ind w:rightChars="-34" w:right="-82"/>
                                <w:jc w:val="both"/>
                                <w:rPr>
                                  <w:rFonts w:ascii="標楷體" w:eastAsia="標楷體" w:hAnsi="標楷體"/>
                                </w:rPr>
                              </w:pPr>
                              <w:r w:rsidRPr="0087278D">
                                <w:rPr>
                                  <w:rFonts w:ascii="標楷體" w:eastAsia="標楷體" w:hAnsi="標楷體" w:hint="eastAsia"/>
                                </w:rPr>
                                <w:t>開始交易</w:t>
                              </w:r>
                            </w:p>
                          </w:txbxContent>
                        </wps:txbx>
                        <wps:bodyPr rot="0" vert="horz" wrap="square" lIns="91440" tIns="45720" rIns="91440" bIns="45720" anchor="t" anchorCtr="0">
                          <a:noAutofit/>
                        </wps:bodyPr>
                      </wps:wsp>
                      <wps:wsp>
                        <wps:cNvPr id="329" name="直線接點 329"/>
                        <wps:cNvCnPr>
                          <a:cxnSpLocks noChangeShapeType="1"/>
                        </wps:cNvCnPr>
                        <wps:spPr bwMode="auto">
                          <a:xfrm>
                            <a:off x="2830665" y="2305879"/>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0" name="文字方塊 2"/>
                        <wps:cNvSpPr txBox="1">
                          <a:spLocks noChangeArrowheads="1"/>
                        </wps:cNvSpPr>
                        <wps:spPr bwMode="auto">
                          <a:xfrm>
                            <a:off x="3291840" y="1963972"/>
                            <a:ext cx="1526540" cy="770890"/>
                          </a:xfrm>
                          <a:prstGeom prst="rect">
                            <a:avLst/>
                          </a:prstGeom>
                          <a:noFill/>
                          <a:ln w="9525">
                            <a:solidFill>
                              <a:srgbClr val="000000"/>
                            </a:solidFill>
                            <a:miter lim="800000"/>
                            <a:headEnd/>
                            <a:tailEnd/>
                          </a:ln>
                        </wps:spPr>
                        <wps:txbx>
                          <w:txbxContent>
                            <w:p w:rsidR="00443940" w:rsidRPr="0087278D" w:rsidRDefault="00443940" w:rsidP="00443940">
                              <w:pPr>
                                <w:ind w:rightChars="-34" w:right="-82"/>
                                <w:jc w:val="both"/>
                                <w:rPr>
                                  <w:rFonts w:eastAsia="標楷體" w:hAnsi="標楷體"/>
                                  <w:snapToGrid w:val="0"/>
                                  <w:color w:val="000000"/>
                                  <w:kern w:val="0"/>
                                </w:rPr>
                              </w:pPr>
                              <w:r w:rsidRPr="0087278D">
                                <w:rPr>
                                  <w:rFonts w:eastAsia="標楷體" w:hAnsi="標楷體" w:hint="eastAsia"/>
                                  <w:snapToGrid w:val="0"/>
                                  <w:color w:val="000000"/>
                                  <w:kern w:val="0"/>
                                </w:rPr>
                                <w:t>銷售機構揭露費率項目內容：語音服務（語音申購）</w:t>
                              </w:r>
                            </w:p>
                          </w:txbxContent>
                        </wps:txbx>
                        <wps:bodyPr rot="0" vert="horz" wrap="square" lIns="91440" tIns="45720" rIns="91440" bIns="45720" anchor="t" anchorCtr="0">
                          <a:noAutofit/>
                        </wps:bodyPr>
                      </wps:wsp>
                      <wps:wsp>
                        <wps:cNvPr id="331" name="直線接點 331"/>
                        <wps:cNvCnPr>
                          <a:cxnSpLocks noChangeShapeType="1"/>
                        </wps:cNvCnPr>
                        <wps:spPr bwMode="auto">
                          <a:xfrm>
                            <a:off x="4818491" y="2313830"/>
                            <a:ext cx="417830" cy="5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2" name="文字方塊 2"/>
                        <wps:cNvSpPr txBox="1">
                          <a:spLocks noChangeArrowheads="1"/>
                        </wps:cNvSpPr>
                        <wps:spPr bwMode="auto">
                          <a:xfrm>
                            <a:off x="5263764" y="2067339"/>
                            <a:ext cx="969645" cy="508635"/>
                          </a:xfrm>
                          <a:prstGeom prst="rect">
                            <a:avLst/>
                          </a:prstGeom>
                          <a:noFill/>
                          <a:ln w="9525">
                            <a:solidFill>
                              <a:srgbClr val="000000"/>
                            </a:solidFill>
                            <a:miter lim="800000"/>
                            <a:headEnd/>
                            <a:tailEnd/>
                          </a:ln>
                        </wps:spPr>
                        <wps:txbx>
                          <w:txbxContent>
                            <w:p w:rsidR="00443940" w:rsidRPr="0087278D" w:rsidRDefault="00443940" w:rsidP="00443940">
                              <w:pPr>
                                <w:ind w:rightChars="-34" w:right="-82"/>
                                <w:jc w:val="both"/>
                                <w:rPr>
                                  <w:rFonts w:ascii="標楷體" w:eastAsia="標楷體" w:hAnsi="標楷體"/>
                                </w:rPr>
                              </w:pPr>
                              <w:r>
                                <w:rPr>
                                  <w:rFonts w:ascii="標楷體" w:eastAsia="標楷體" w:hAnsi="標楷體" w:hint="eastAsia"/>
                                </w:rPr>
                                <w:t>知悉並</w:t>
                              </w:r>
                              <w:r w:rsidRPr="0087278D">
                                <w:rPr>
                                  <w:rFonts w:ascii="標楷體" w:eastAsia="標楷體" w:hAnsi="標楷體" w:hint="eastAsia"/>
                                </w:rPr>
                                <w:t>開始交易</w:t>
                              </w:r>
                            </w:p>
                          </w:txbxContent>
                        </wps:txbx>
                        <wps:bodyPr rot="0" vert="horz" wrap="square" lIns="91440" tIns="45720" rIns="91440" bIns="45720" anchor="t" anchorCtr="0">
                          <a:noAutofit/>
                        </wps:bodyPr>
                      </wps:wsp>
                      <wps:wsp>
                        <wps:cNvPr id="337" name="直線接點 337"/>
                        <wps:cNvCnPr/>
                        <wps:spPr>
                          <a:xfrm>
                            <a:off x="2146852" y="2759103"/>
                            <a:ext cx="0" cy="540385"/>
                          </a:xfrm>
                          <a:prstGeom prst="line">
                            <a:avLst/>
                          </a:prstGeom>
                          <a:noFill/>
                          <a:ln w="9525" cap="flat" cmpd="sng" algn="ctr">
                            <a:solidFill>
                              <a:sysClr val="windowText" lastClr="000000"/>
                            </a:solidFill>
                            <a:prstDash val="solid"/>
                          </a:ln>
                          <a:effectLst/>
                        </wps:spPr>
                        <wps:bodyPr/>
                      </wps:wsp>
                      <wps:wsp>
                        <wps:cNvPr id="339" name="文字方塊 2"/>
                        <wps:cNvSpPr txBox="1">
                          <a:spLocks noChangeArrowheads="1"/>
                        </wps:cNvSpPr>
                        <wps:spPr bwMode="auto">
                          <a:xfrm>
                            <a:off x="3275938" y="2965837"/>
                            <a:ext cx="1542415" cy="1486535"/>
                          </a:xfrm>
                          <a:prstGeom prst="rect">
                            <a:avLst/>
                          </a:prstGeom>
                          <a:noFill/>
                          <a:ln w="9525">
                            <a:solidFill>
                              <a:srgbClr val="000000"/>
                            </a:solidFill>
                            <a:miter lim="800000"/>
                            <a:headEnd/>
                            <a:tailEnd/>
                          </a:ln>
                        </wps:spPr>
                        <wps:txbx>
                          <w:txbxContent>
                            <w:p w:rsidR="00443940" w:rsidRPr="00E765F8" w:rsidRDefault="00443940" w:rsidP="00443940">
                              <w:pPr>
                                <w:ind w:rightChars="-34" w:right="-82"/>
                                <w:jc w:val="both"/>
                                <w:rPr>
                                  <w:rFonts w:eastAsia="標楷體" w:hAnsi="標楷體"/>
                                  <w:snapToGrid w:val="0"/>
                                  <w:color w:val="000000"/>
                                  <w:kern w:val="0"/>
                                </w:rPr>
                              </w:pPr>
                              <w:r w:rsidRPr="00E765F8">
                                <w:rPr>
                                  <w:rFonts w:eastAsia="標楷體" w:hAnsi="標楷體" w:hint="eastAsia"/>
                                  <w:snapToGrid w:val="0"/>
                                  <w:color w:val="000000"/>
                                  <w:kern w:val="0"/>
                                </w:rPr>
                                <w:t>銷售機構揭露費率項目內容，其方式有下：</w:t>
                              </w:r>
                            </w:p>
                            <w:p w:rsidR="00443940" w:rsidRPr="00E765F8" w:rsidRDefault="00443940" w:rsidP="00443940">
                              <w:pPr>
                                <w:ind w:rightChars="-34" w:right="-82"/>
                                <w:jc w:val="both"/>
                                <w:rPr>
                                  <w:rFonts w:eastAsia="標楷體" w:hAnsi="標楷體"/>
                                  <w:snapToGrid w:val="0"/>
                                  <w:color w:val="000000"/>
                                  <w:kern w:val="0"/>
                                </w:rPr>
                              </w:pPr>
                              <w:r w:rsidRPr="00E765F8">
                                <w:rPr>
                                  <w:rFonts w:eastAsia="標楷體" w:hAnsi="標楷體" w:hint="eastAsia"/>
                                  <w:snapToGrid w:val="0"/>
                                  <w:color w:val="000000"/>
                                  <w:kern w:val="0"/>
                                </w:rPr>
                                <w:t>1.</w:t>
                              </w:r>
                              <w:r w:rsidRPr="00E765F8">
                                <w:rPr>
                                  <w:rFonts w:eastAsia="標楷體" w:hAnsi="標楷體" w:hint="eastAsia"/>
                                  <w:snapToGrid w:val="0"/>
                                  <w:color w:val="000000"/>
                                  <w:kern w:val="0"/>
                                </w:rPr>
                                <w:t>網站</w:t>
                              </w:r>
                            </w:p>
                            <w:p w:rsidR="00443940" w:rsidRPr="00E765F8" w:rsidRDefault="00443940" w:rsidP="00443940">
                              <w:pPr>
                                <w:ind w:rightChars="-34" w:right="-82"/>
                                <w:jc w:val="both"/>
                                <w:rPr>
                                  <w:rFonts w:eastAsia="標楷體" w:hAnsi="標楷體"/>
                                  <w:snapToGrid w:val="0"/>
                                  <w:color w:val="000000"/>
                                  <w:kern w:val="0"/>
                                </w:rPr>
                              </w:pPr>
                              <w:r w:rsidRPr="00E765F8">
                                <w:rPr>
                                  <w:rFonts w:eastAsia="標楷體" w:hAnsi="標楷體" w:hint="eastAsia"/>
                                  <w:snapToGrid w:val="0"/>
                                  <w:color w:val="000000"/>
                                  <w:kern w:val="0"/>
                                </w:rPr>
                                <w:t>2.</w:t>
                              </w:r>
                              <w:r w:rsidRPr="00E765F8">
                                <w:rPr>
                                  <w:rFonts w:eastAsia="標楷體" w:hAnsi="標楷體" w:hint="eastAsia"/>
                                  <w:snapToGrid w:val="0"/>
                                  <w:color w:val="000000"/>
                                  <w:kern w:val="0"/>
                                </w:rPr>
                                <w:t>傳真或</w:t>
                              </w:r>
                              <w:r w:rsidRPr="00E765F8">
                                <w:rPr>
                                  <w:rFonts w:eastAsia="標楷體" w:hAnsi="標楷體" w:hint="eastAsia"/>
                                  <w:snapToGrid w:val="0"/>
                                  <w:color w:val="000000"/>
                                  <w:kern w:val="0"/>
                                </w:rPr>
                                <w:t>e-mail</w:t>
                              </w:r>
                            </w:p>
                            <w:p w:rsidR="00443940" w:rsidRPr="0087278D" w:rsidRDefault="00443940" w:rsidP="00443940">
                              <w:pPr>
                                <w:ind w:rightChars="-34" w:right="-82"/>
                                <w:jc w:val="both"/>
                                <w:rPr>
                                  <w:rFonts w:eastAsia="標楷體" w:hAnsi="標楷體"/>
                                  <w:snapToGrid w:val="0"/>
                                  <w:color w:val="000000"/>
                                  <w:kern w:val="0"/>
                                </w:rPr>
                              </w:pPr>
                              <w:r w:rsidRPr="00E765F8">
                                <w:rPr>
                                  <w:rFonts w:eastAsia="標楷體" w:hAnsi="標楷體" w:hint="eastAsia"/>
                                  <w:snapToGrid w:val="0"/>
                                  <w:color w:val="000000"/>
                                  <w:kern w:val="0"/>
                                </w:rPr>
                                <w:t>3.</w:t>
                              </w:r>
                              <w:r w:rsidRPr="00E765F8">
                                <w:rPr>
                                  <w:rFonts w:eastAsia="標楷體" w:hAnsi="標楷體" w:hint="eastAsia"/>
                                  <w:snapToGrid w:val="0"/>
                                  <w:color w:val="000000"/>
                                  <w:kern w:val="0"/>
                                </w:rPr>
                                <w:t>其他</w:t>
                              </w:r>
                            </w:p>
                          </w:txbxContent>
                        </wps:txbx>
                        <wps:bodyPr rot="0" vert="horz" wrap="square" lIns="91440" tIns="45720" rIns="91440" bIns="45720" anchor="t" anchorCtr="0">
                          <a:noAutofit/>
                        </wps:bodyPr>
                      </wps:wsp>
                      <wps:wsp>
                        <wps:cNvPr id="340" name="直線接點 340"/>
                        <wps:cNvCnPr>
                          <a:cxnSpLocks noChangeShapeType="1"/>
                        </wps:cNvCnPr>
                        <wps:spPr bwMode="auto">
                          <a:xfrm>
                            <a:off x="4818491" y="3586039"/>
                            <a:ext cx="4178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1" name="文字方塊 2"/>
                        <wps:cNvSpPr txBox="1">
                          <a:spLocks noChangeArrowheads="1"/>
                        </wps:cNvSpPr>
                        <wps:spPr bwMode="auto">
                          <a:xfrm>
                            <a:off x="5255812" y="2949934"/>
                            <a:ext cx="1041400" cy="1502410"/>
                          </a:xfrm>
                          <a:prstGeom prst="rect">
                            <a:avLst/>
                          </a:prstGeom>
                          <a:noFill/>
                          <a:ln w="9525">
                            <a:solidFill>
                              <a:srgbClr val="000000"/>
                            </a:solidFill>
                            <a:miter lim="800000"/>
                            <a:headEnd/>
                            <a:tailEnd/>
                          </a:ln>
                        </wps:spPr>
                        <wps:txbx>
                          <w:txbxContent>
                            <w:p w:rsidR="00443940" w:rsidRPr="0087278D" w:rsidRDefault="00443940" w:rsidP="00443940">
                              <w:pPr>
                                <w:ind w:rightChars="-34" w:right="-82"/>
                                <w:jc w:val="both"/>
                                <w:rPr>
                                  <w:rFonts w:ascii="標楷體" w:eastAsia="標楷體" w:hAnsi="標楷體"/>
                                </w:rPr>
                              </w:pPr>
                              <w:r w:rsidRPr="00414051">
                                <w:rPr>
                                  <w:rFonts w:eastAsia="標楷體" w:hAnsi="標楷體" w:hint="eastAsia"/>
                                  <w:snapToGrid w:val="0"/>
                                  <w:color w:val="000000"/>
                                  <w:kern w:val="0"/>
                                </w:rPr>
                                <w:t>投資人結束電話、</w:t>
                              </w:r>
                              <w:r w:rsidRPr="00414051">
                                <w:rPr>
                                  <w:rFonts w:eastAsia="標楷體" w:hAnsi="標楷體" w:hint="eastAsia"/>
                                  <w:snapToGrid w:val="0"/>
                                  <w:color w:val="000000"/>
                                  <w:kern w:val="0"/>
                                </w:rPr>
                                <w:t>ATM</w:t>
                              </w:r>
                              <w:r w:rsidRPr="00414051">
                                <w:rPr>
                                  <w:rFonts w:eastAsia="標楷體" w:hAnsi="標楷體" w:hint="eastAsia"/>
                                  <w:snapToGrid w:val="0"/>
                                  <w:color w:val="000000"/>
                                  <w:kern w:val="0"/>
                                </w:rPr>
                                <w:t>或行動銀行操作以了解內容並待下次交易</w:t>
                              </w:r>
                            </w:p>
                          </w:txbxContent>
                        </wps:txbx>
                        <wps:bodyPr rot="0" vert="horz" wrap="square" lIns="91440" tIns="45720" rIns="91440" bIns="45720" anchor="t" anchorCtr="0">
                          <a:noAutofit/>
                        </wps:bodyPr>
                      </wps:wsp>
                    </wpg:wgp>
                  </a:graphicData>
                </a:graphic>
              </wp:anchor>
            </w:drawing>
          </mc:Choice>
          <mc:Fallback>
            <w:pict>
              <v:group id="群組 1" o:spid="_x0000_s1026" style="position:absolute;margin-left:-20.9pt;margin-top:15pt;width:495.85pt;height:350.6pt;z-index:251659264" coordsize="62972,44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">
                <v:line id="直線接點 338" o:spid="_x0000_s1027" style="position:absolute;visibility:visible;mso-wrap-style:square" from="21468,32997" to="32752,32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94EMIAAADcAAAADwAAAGRycy9kb3ducmV2LnhtbERPy2oCMRTdF/yHcAvuasYKVUejSAfB&#10;hRV80PXt5DoZOrkZJnGMf98sCi4P571cR9uInjpfO1YwHmUgiEuna64UXM7btxkIH5A1No5JwYM8&#10;rFeDlyXm2t35SP0pVCKFsM9RgQmhzaX0pSGLfuRa4sRdXWcxJNhVUnd4T+G2ke9Z9iEt1pwaDLb0&#10;aaj8Pd2sgqkpjnIqi/35UPT1eB6/4vfPXKnha9wsQASK4Sn+d++0gskkrU1n0hGQq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x94EMIAAADcAAAADwAAAAAAAAAAAAAA&#10;AAChAgAAZHJzL2Rvd25yZXYueG1sUEsFBgAAAAAEAAQA+QAAAJADAAAAAA==&#10;">
                  <v:stroke endarrow="block"/>
                </v:line>
                <v:shapetype id="_x0000_t202" coordsize="21600,21600" o:spt="202" path="m,l,21600r21600,l21600,xe">
                  <v:stroke joinstyle="miter"/>
                  <v:path gradientshapeok="t" o:connecttype="rect"/>
                </v:shapetype>
                <v:shape id="文字方塊 2" o:spid="_x0000_s1028" type="#_x0000_t202" style="position:absolute;top:15266;width:10813;height:78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4U+MQA&#10;AADcAAAADwAAAGRycy9kb3ducmV2LnhtbESPQWvCQBSE7wX/w/KEXopuNFg1uooUqt4kVu+P7DNJ&#10;m30bsluT/HtXKPQ4zMw3zHrbmUrcqXGlZQWTcQSCOLO65FzB5etztADhPLLGyjIp6MnBdjN4WWOi&#10;bcsp3c8+FwHCLkEFhfd1IqXLCjLoxrYmDt7NNgZ9kE0udYNtgJtKTqPoXRosOSwUWNNHQdnP+dco&#10;yF0af8dvMc5n/fR6uLbLfn/SSr0Ou90KhKfO/4f/2ketII7m8DwTjoDcP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OFPjEAAAA3AAAAA8AAAAAAAAAAAAAAAAAmAIAAGRycy9k&#10;b3ducmV2LnhtbFBLBQYAAAAABAAEAPUAAACJAwAAAAA=&#10;" filled="f">
                  <v:textbox style="mso-fit-shape-to-text:t">
                    <w:txbxContent>
                      <w:p w:rsidR="00443940" w:rsidRPr="00414051" w:rsidRDefault="00443940" w:rsidP="00443940">
                        <w:pPr>
                          <w:ind w:rightChars="-34" w:right="-82"/>
                          <w:jc w:val="both"/>
                          <w:rPr>
                            <w:rFonts w:eastAsia="標楷體" w:hAnsi="標楷體"/>
                            <w:snapToGrid w:val="0"/>
                            <w:color w:val="000000"/>
                            <w:kern w:val="0"/>
                          </w:rPr>
                        </w:pPr>
                        <w:r w:rsidRPr="00414051">
                          <w:rPr>
                            <w:rFonts w:eastAsia="標楷體" w:hAnsi="標楷體" w:hint="eastAsia"/>
                            <w:snapToGrid w:val="0"/>
                            <w:color w:val="000000"/>
                            <w:kern w:val="0"/>
                          </w:rPr>
                          <w:t>投資人</w:t>
                        </w:r>
                        <w:r w:rsidRPr="00414051">
                          <w:rPr>
                            <w:rFonts w:eastAsia="標楷體" w:hAnsi="標楷體" w:hint="eastAsia"/>
                            <w:snapToGrid w:val="0"/>
                            <w:color w:val="000000"/>
                            <w:kern w:val="0"/>
                          </w:rPr>
                          <w:t>call in</w:t>
                        </w:r>
                      </w:p>
                      <w:p w:rsidR="00443940" w:rsidRDefault="00443940" w:rsidP="00443940">
                        <w:r w:rsidRPr="00414051">
                          <w:rPr>
                            <w:rFonts w:eastAsia="標楷體" w:hAnsi="標楷體" w:hint="eastAsia"/>
                            <w:snapToGrid w:val="0"/>
                            <w:color w:val="000000"/>
                            <w:kern w:val="0"/>
                          </w:rPr>
                          <w:t>(</w:t>
                        </w:r>
                        <w:r w:rsidRPr="00414051">
                          <w:rPr>
                            <w:rFonts w:eastAsia="標楷體" w:hAnsi="標楷體" w:hint="eastAsia"/>
                            <w:snapToGrid w:val="0"/>
                            <w:color w:val="000000"/>
                            <w:kern w:val="0"/>
                          </w:rPr>
                          <w:t>確認人別資訊</w:t>
                        </w:r>
                        <w:r>
                          <w:rPr>
                            <w:rFonts w:eastAsia="標楷體" w:hAnsi="標楷體" w:hint="eastAsia"/>
                            <w:snapToGrid w:val="0"/>
                            <w:color w:val="000000"/>
                            <w:kern w:val="0"/>
                          </w:rPr>
                          <w:t>)</w:t>
                        </w:r>
                      </w:p>
                    </w:txbxContent>
                  </v:textbox>
                </v:shape>
                <v:line id="直線接點 299" o:spid="_x0000_s1029" style="position:absolute;flip:y;visibility:visible;mso-wrap-style:square" from="10813,10098" to="14706,158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vKv8UAAADcAAAADwAAAGRycy9kb3ducmV2LnhtbESPT2vCQBDF74V+h2UKvQTdqCAmukpt&#10;KwjiwT8Hj0N2TEKzsyE71fTbu4VCj4837/fmLVa9a9SNulB7NjAapqCIC29rLg2cT5vBDFQQZIuN&#10;ZzLwQwFWy+enBebW3/lAt6OUKkI45GigEmlzrUNRkcMw9C1x9K6+cyhRdqW2Hd4j3DV6nKZT7bDm&#10;2FBhS+8VFV/Hbxff2Oz5YzJJ1k4nSUafF9mlWox5fenf5qCEevk//ktvrYFxlsHvmEgAvXw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6vKv8UAAADcAAAADwAAAAAAAAAA&#10;AAAAAAChAgAAZHJzL2Rvd25yZXYueG1sUEsFBgAAAAAEAAQA+QAAAJMDAAAAAA==&#10;">
                  <v:stroke endarrow="block"/>
                </v:line>
                <v:shape id="文字方塊 2" o:spid="_x0000_s1030" type="#_x0000_t202" style="position:absolute;left:14789;top:4691;width:14865;height:103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QIxMUA&#10;AADcAAAADwAAAGRycy9kb3ducmV2LnhtbESPTW/CMAyG75P4D5GRdhvpqDRGR0AINmlH1vFx9RrT&#10;Vmucqsmg8OvxYRJH6/X7+PFs0btGnagLtWcDz6MEFHHhbc2lge33x9MrqBCRLTaeycCFAizmg4cZ&#10;Ztaf+YtOeSyVQDhkaKCKsc20DkVFDsPIt8SSHX3nMMrYldp2eBa4a/Q4SV60w5rlQoUtrSoqfvM/&#10;JxrjwzZdb3KaTPAnXb9fd9PjvjHmcdgv30BF6uN9+b/9aQ2kiejLM0IAP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hAjExQAAANwAAAAPAAAAAAAAAAAAAAAAAJgCAABkcnMv&#10;ZG93bnJldi54bWxQSwUGAAAAAAQABAD1AAAAigMAAAAA&#10;" filled="f">
                  <v:textbox>
                    <w:txbxContent>
                      <w:p w:rsidR="00443940" w:rsidRPr="00CF6AC2" w:rsidRDefault="00443940" w:rsidP="00443940">
                        <w:pPr>
                          <w:ind w:rightChars="-34" w:right="-82"/>
                          <w:jc w:val="both"/>
                        </w:pPr>
                        <w:r w:rsidRPr="00414051">
                          <w:rPr>
                            <w:rFonts w:eastAsia="標楷體" w:hAnsi="標楷體" w:hint="eastAsia"/>
                            <w:snapToGrid w:val="0"/>
                            <w:color w:val="000000"/>
                            <w:kern w:val="0"/>
                          </w:rPr>
                          <w:t>投資人已知悉基金通路報酬費率項目內容</w:t>
                        </w:r>
                        <w:r w:rsidRPr="00414051">
                          <w:rPr>
                            <w:rFonts w:eastAsia="標楷體" w:hAnsi="標楷體" w:hint="eastAsia"/>
                            <w:snapToGrid w:val="0"/>
                            <w:color w:val="000000"/>
                            <w:kern w:val="0"/>
                          </w:rPr>
                          <w:t>(</w:t>
                        </w:r>
                        <w:r w:rsidRPr="00414051">
                          <w:rPr>
                            <w:rFonts w:eastAsia="標楷體" w:hAnsi="標楷體" w:hint="eastAsia"/>
                            <w:snapToGrid w:val="0"/>
                            <w:color w:val="000000"/>
                            <w:kern w:val="0"/>
                          </w:rPr>
                          <w:t>投資人需口頭或按鍵確認</w:t>
                        </w:r>
                        <w:r w:rsidRPr="00414051">
                          <w:rPr>
                            <w:rFonts w:eastAsia="標楷體" w:hAnsi="標楷體" w:hint="eastAsia"/>
                            <w:snapToGrid w:val="0"/>
                            <w:color w:val="000000"/>
                            <w:kern w:val="0"/>
                          </w:rPr>
                          <w:t>)</w:t>
                        </w:r>
                        <w:r w:rsidRPr="00CF6AC2">
                          <w:t xml:space="preserve"> </w:t>
                        </w:r>
                      </w:p>
                    </w:txbxContent>
                  </v:textbox>
                </v:shape>
                <v:line id="直線接點 323" o:spid="_x0000_s1031" style="position:absolute;visibility:visible;mso-wrap-style:square" from="10813,21627" to="14750,216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J8vMQAAADcAAAADwAAAGRycy9kb3ducmV2LnhtbESPQWsCMRSE7wX/Q3iCt5pVodatUcRF&#10;8GALaun5dfPcLG5elk1c479vCoUeh5n5hlmuo21ET52vHSuYjDMQxKXTNVcKPs+751cQPiBrbByT&#10;ggd5WK8GT0vMtbvzkfpTqESCsM9RgQmhzaX0pSGLfuxa4uRdXGcxJNlVUnd4T3DbyGmWvUiLNacF&#10;gy1tDZXX080qmJviKOeyOJw/ir6eLOJ7/PpeKDUaxs0biEAx/If/2nutYDadwe+ZdATk6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Yny8xAAAANwAAAAPAAAAAAAAAAAA&#10;AAAAAKECAABkcnMvZG93bnJldi54bWxQSwUGAAAAAAQABAD5AAAAkgMAAAAA&#10;">
                  <v:stroke endarrow="block"/>
                </v:line>
                <v:shape id="文字方塊 2" o:spid="_x0000_s1032" type="#_x0000_t202" style="position:absolute;left:15107;top:19560;width:13195;height:7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Sp8YA&#10;AADcAAAADwAAAGRycy9kb3ducmV2LnhtbESPzW7CMBCE70h9B2uReiMOSVUgYFBVWqnHEv6uS7wk&#10;UeN1FLuQ9unrSkgcR7Pzzc5i1ZtGXKhztWUF4ygGQVxYXXOpYLd9H01BOI+ssbFMCn7IwWr5MFhg&#10;pu2VN3TJfSkChF2GCirv20xKV1Rk0EW2JQ7e2XYGfZBdKXWH1wA3jUzi+FkarDk0VNjSa0XFV/5t&#10;whvJcZeuP3OaTPCUrt9+97PzoVHqcdi/zEF46v39+Jb+0ArS5An+xwQC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pSp8YAAADcAAAADwAAAAAAAAAAAAAAAACYAgAAZHJz&#10;L2Rvd25yZXYueG1sUEsFBgAAAAAEAAQA9QAAAIsDAAAAAA==&#10;" filled="f">
                  <v:textbox>
                    <w:txbxContent>
                      <w:p w:rsidR="00443940" w:rsidRPr="0087278D" w:rsidRDefault="00443940" w:rsidP="00443940">
                        <w:pPr>
                          <w:ind w:rightChars="-34" w:right="-82"/>
                          <w:jc w:val="both"/>
                          <w:rPr>
                            <w:rFonts w:eastAsia="標楷體" w:hAnsi="標楷體"/>
                            <w:snapToGrid w:val="0"/>
                            <w:color w:val="000000"/>
                            <w:kern w:val="0"/>
                          </w:rPr>
                        </w:pPr>
                        <w:r w:rsidRPr="0087278D">
                          <w:rPr>
                            <w:rFonts w:eastAsia="標楷體" w:hAnsi="標楷體" w:hint="eastAsia"/>
                            <w:snapToGrid w:val="0"/>
                            <w:color w:val="000000"/>
                            <w:kern w:val="0"/>
                          </w:rPr>
                          <w:t>投資人口頭或按鍵表示</w:t>
                        </w:r>
                        <w:proofErr w:type="gramStart"/>
                        <w:r w:rsidRPr="0087278D">
                          <w:rPr>
                            <w:rFonts w:eastAsia="標楷體" w:hAnsi="標楷體" w:hint="eastAsia"/>
                            <w:snapToGrid w:val="0"/>
                            <w:color w:val="000000"/>
                            <w:kern w:val="0"/>
                          </w:rPr>
                          <w:t>不</w:t>
                        </w:r>
                        <w:proofErr w:type="gramEnd"/>
                        <w:r w:rsidRPr="0087278D">
                          <w:rPr>
                            <w:rFonts w:eastAsia="標楷體" w:hAnsi="標楷體" w:hint="eastAsia"/>
                            <w:snapToGrid w:val="0"/>
                            <w:color w:val="000000"/>
                            <w:kern w:val="0"/>
                          </w:rPr>
                          <w:t>知悉或未確認取得管道。</w:t>
                        </w:r>
                      </w:p>
                    </w:txbxContent>
                  </v:textbox>
                </v:shape>
                <v:line id="直線接點 325" o:spid="_x0000_s1033" style="position:absolute;visibility:visible;mso-wrap-style:square" from="29658,8905" to="33395,8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dBU8UAAADcAAAADwAAAGRycy9kb3ducmV2LnhtbESPT2sCMRTE7wW/Q3iF3mpWS6uuRpEu&#10;ggdb8A+en5vnZunmZdmka/rtTaHQ4zAzv2EWq2gb0VPna8cKRsMMBHHpdM2VgtNx8zwF4QOyxsYx&#10;KfghD6vl4GGBuXY33lN/CJVIEPY5KjAhtLmUvjRk0Q9dS5y8q+sshiS7SuoObwluGznOsjdpsea0&#10;YLCld0Pl1+HbKpiYYi8nstgdP4u+Hs3iRzxfZko9Pcb1HESgGP7Df+2tVvAyfoXfM+kIyOU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MdBU8UAAADcAAAADwAAAAAAAAAA&#10;AAAAAAChAgAAZHJzL2Rvd25yZXYueG1sUEsFBgAAAAAEAAQA+QAAAJMDAAAAAA==&#10;">
                  <v:stroke endarrow="block"/>
                </v:line>
                <v:shape id="文字方塊 2" o:spid="_x0000_s1034" type="#_x0000_t202" style="position:absolute;left:33395;width:14865;height:171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RpS8UA&#10;AADcAAAADwAAAGRycy9kb3ducmV2LnhtbESPzW7CMBCE70h9B2srcQOniQQ0xSDEj8SxBNpet/GS&#10;RI3XUWwg9OkxEhLH0ex8szOdd6YWZ2pdZVnB2zACQZxbXXGh4LDfDCYgnEfWWFsmBVdyMJ+99KaY&#10;anvhHZ0zX4gAYZeigtL7JpXS5SUZdEPbEAfvaFuDPsi2kLrFS4CbWsZRNJIGKw4NJTa0LCn/y04m&#10;vBH/HJLVZ0bjMf4mq/X/1/vxu1aq/9otPkB46vzz+JHeagVJPIL7mEAAOb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lGlLxQAAANwAAAAPAAAAAAAAAAAAAAAAAJgCAABkcnMv&#10;ZG93bnJldi54bWxQSwUGAAAAAAQABAD1AAAAigMAAAAA&#10;" filled="f">
                  <v:textbox>
                    <w:txbxContent>
                      <w:p w:rsidR="00443940" w:rsidRPr="0087278D" w:rsidRDefault="00443940" w:rsidP="00443940">
                        <w:pPr>
                          <w:ind w:rightChars="-34" w:right="-82"/>
                          <w:jc w:val="both"/>
                          <w:rPr>
                            <w:rFonts w:eastAsia="標楷體" w:hAnsi="標楷體"/>
                            <w:snapToGrid w:val="0"/>
                            <w:color w:val="000000"/>
                            <w:kern w:val="0"/>
                          </w:rPr>
                        </w:pPr>
                        <w:r w:rsidRPr="0087278D">
                          <w:rPr>
                            <w:rFonts w:eastAsia="標楷體" w:hAnsi="標楷體" w:hint="eastAsia"/>
                            <w:snapToGrid w:val="0"/>
                            <w:color w:val="000000"/>
                            <w:kern w:val="0"/>
                          </w:rPr>
                          <w:t>投資人確認取得內容之管道：</w:t>
                        </w:r>
                      </w:p>
                      <w:p w:rsidR="00443940" w:rsidRPr="0087278D" w:rsidRDefault="00443940" w:rsidP="00443940">
                        <w:pPr>
                          <w:ind w:rightChars="-34" w:right="-82"/>
                          <w:jc w:val="both"/>
                          <w:rPr>
                            <w:rFonts w:eastAsia="標楷體" w:hAnsi="標楷體"/>
                            <w:snapToGrid w:val="0"/>
                            <w:color w:val="000000"/>
                            <w:kern w:val="0"/>
                          </w:rPr>
                        </w:pPr>
                        <w:r w:rsidRPr="0087278D">
                          <w:rPr>
                            <w:rFonts w:eastAsia="標楷體" w:hAnsi="標楷體" w:hint="eastAsia"/>
                            <w:snapToGrid w:val="0"/>
                            <w:color w:val="000000"/>
                            <w:kern w:val="0"/>
                          </w:rPr>
                          <w:t>1.</w:t>
                        </w:r>
                        <w:r w:rsidRPr="0087278D">
                          <w:rPr>
                            <w:rFonts w:eastAsia="標楷體" w:hAnsi="標楷體" w:hint="eastAsia"/>
                            <w:snapToGrid w:val="0"/>
                            <w:color w:val="000000"/>
                            <w:kern w:val="0"/>
                          </w:rPr>
                          <w:t>網站</w:t>
                        </w:r>
                      </w:p>
                      <w:p w:rsidR="00443940" w:rsidRPr="0087278D" w:rsidRDefault="00443940" w:rsidP="00443940">
                        <w:pPr>
                          <w:ind w:rightChars="-34" w:right="-82"/>
                          <w:jc w:val="both"/>
                          <w:rPr>
                            <w:rFonts w:eastAsia="標楷體" w:hAnsi="標楷體"/>
                            <w:snapToGrid w:val="0"/>
                            <w:color w:val="000000"/>
                            <w:kern w:val="0"/>
                          </w:rPr>
                        </w:pPr>
                        <w:r w:rsidRPr="0087278D">
                          <w:rPr>
                            <w:rFonts w:eastAsia="標楷體" w:hAnsi="標楷體" w:hint="eastAsia"/>
                            <w:snapToGrid w:val="0"/>
                            <w:color w:val="000000"/>
                            <w:kern w:val="0"/>
                          </w:rPr>
                          <w:t>2.</w:t>
                        </w:r>
                        <w:r w:rsidRPr="0087278D">
                          <w:rPr>
                            <w:rFonts w:eastAsia="標楷體" w:hAnsi="標楷體" w:hint="eastAsia"/>
                            <w:snapToGrid w:val="0"/>
                            <w:color w:val="000000"/>
                            <w:kern w:val="0"/>
                          </w:rPr>
                          <w:t>語音</w:t>
                        </w:r>
                      </w:p>
                      <w:p w:rsidR="00443940" w:rsidRPr="0087278D" w:rsidRDefault="00443940" w:rsidP="00443940">
                        <w:pPr>
                          <w:ind w:rightChars="-34" w:right="-82"/>
                          <w:jc w:val="both"/>
                          <w:rPr>
                            <w:rFonts w:eastAsia="標楷體" w:hAnsi="標楷體"/>
                            <w:snapToGrid w:val="0"/>
                            <w:color w:val="000000"/>
                            <w:kern w:val="0"/>
                          </w:rPr>
                        </w:pPr>
                        <w:r w:rsidRPr="0087278D">
                          <w:rPr>
                            <w:rFonts w:eastAsia="標楷體" w:hAnsi="標楷體" w:hint="eastAsia"/>
                            <w:snapToGrid w:val="0"/>
                            <w:color w:val="000000"/>
                            <w:kern w:val="0"/>
                          </w:rPr>
                          <w:t>3.</w:t>
                        </w:r>
                        <w:r w:rsidRPr="0087278D">
                          <w:rPr>
                            <w:rFonts w:eastAsia="標楷體" w:hAnsi="標楷體" w:hint="eastAsia"/>
                            <w:snapToGrid w:val="0"/>
                            <w:color w:val="000000"/>
                            <w:kern w:val="0"/>
                          </w:rPr>
                          <w:t>傳真或</w:t>
                        </w:r>
                        <w:r w:rsidRPr="0087278D">
                          <w:rPr>
                            <w:rFonts w:eastAsia="標楷體" w:hAnsi="標楷體" w:hint="eastAsia"/>
                            <w:snapToGrid w:val="0"/>
                            <w:color w:val="000000"/>
                            <w:kern w:val="0"/>
                          </w:rPr>
                          <w:t>e-mail</w:t>
                        </w:r>
                      </w:p>
                      <w:p w:rsidR="00443940" w:rsidRPr="0087278D" w:rsidRDefault="00443940" w:rsidP="00443940">
                        <w:pPr>
                          <w:ind w:rightChars="-34" w:right="-82"/>
                          <w:jc w:val="both"/>
                          <w:rPr>
                            <w:rFonts w:eastAsia="標楷體" w:hAnsi="標楷體"/>
                            <w:snapToGrid w:val="0"/>
                            <w:color w:val="000000"/>
                            <w:kern w:val="0"/>
                          </w:rPr>
                        </w:pPr>
                        <w:r w:rsidRPr="0087278D">
                          <w:rPr>
                            <w:rFonts w:eastAsia="標楷體" w:hAnsi="標楷體" w:hint="eastAsia"/>
                            <w:snapToGrid w:val="0"/>
                            <w:color w:val="000000"/>
                            <w:kern w:val="0"/>
                          </w:rPr>
                          <w:t>4.</w:t>
                        </w:r>
                        <w:r w:rsidRPr="0087278D">
                          <w:rPr>
                            <w:rFonts w:eastAsia="標楷體" w:hAnsi="標楷體" w:hint="eastAsia"/>
                            <w:snapToGrid w:val="0"/>
                            <w:color w:val="000000"/>
                            <w:kern w:val="0"/>
                          </w:rPr>
                          <w:t>臨櫃</w:t>
                        </w:r>
                      </w:p>
                      <w:p w:rsidR="00443940" w:rsidRPr="00CF6AC2" w:rsidRDefault="00443940" w:rsidP="00443940">
                        <w:pPr>
                          <w:ind w:rightChars="-34" w:right="-82"/>
                          <w:jc w:val="both"/>
                        </w:pPr>
                        <w:r w:rsidRPr="0087278D">
                          <w:rPr>
                            <w:rFonts w:eastAsia="標楷體" w:hAnsi="標楷體" w:hint="eastAsia"/>
                            <w:snapToGrid w:val="0"/>
                            <w:color w:val="000000"/>
                            <w:kern w:val="0"/>
                          </w:rPr>
                          <w:t>5.</w:t>
                        </w:r>
                        <w:r w:rsidRPr="0087278D">
                          <w:rPr>
                            <w:rFonts w:eastAsia="標楷體" w:hAnsi="標楷體" w:hint="eastAsia"/>
                            <w:snapToGrid w:val="0"/>
                            <w:color w:val="000000"/>
                            <w:kern w:val="0"/>
                          </w:rPr>
                          <w:t>其他</w:t>
                        </w:r>
                      </w:p>
                    </w:txbxContent>
                  </v:textbox>
                </v:shape>
                <v:line id="直線接點 327" o:spid="_x0000_s1035" style="position:absolute;visibility:visible;mso-wrap-style:square" from="48264,9064" to="53236,90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1l6v8UAAADcAAAADwAAAGRycy9kb3ducmV2LnhtbESPQWsCMRSE74X+h/AKvdWsCt26GqW4&#10;CD1oQS09v26em6Wbl2UT1/jvG6HgcZiZb5jFKtpWDNT7xrGC8SgDQVw53XCt4Ou4eXkD4QOyxtYx&#10;KbiSh9Xy8WGBhXYX3tNwCLVIEPYFKjAhdIWUvjJk0Y9cR5y8k+sthiT7WuoeLwluWznJsldpseG0&#10;YLCjtaHq93C2CnJT7mUuy+3xsxya8Szu4vfPTKnnp/g+BxEohnv4v/2hFUwnOdzOpCMgl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1l6v8UAAADcAAAADwAAAAAAAAAA&#10;AAAAAAChAgAAZHJzL2Rvd25yZXYueG1sUEsFBgAAAAAEAAQA+QAAAJMDAAAAAA==&#10;">
                  <v:stroke endarrow="block"/>
                </v:line>
                <v:shape id="文字方塊 2" o:spid="_x0000_s1036" type="#_x0000_t202" style="position:absolute;left:53432;top:7315;width:8185;height:35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dYosUA&#10;AADcAAAADwAAAGRycy9kb3ducmV2LnhtbESPTU/CQBCG7yT+h82YeIOtbSJSWIgRSTxq5eM6dIe2&#10;sTvbdBeo/nrnYMJx8s77zDOL1eBadaE+NJ4NPE4SUMSltw1XBrZfm/EzqBCRLbaeycAPBVgt70YL&#10;zK2/8iddilgpgXDI0UAdY5drHcqaHIaJ74glO/neYZSxr7Tt8Spw1+o0SZ60w4blQo0dvdZUfhdn&#10;JxrpYZutPwqaTvGYrd9+d7PTvjXm4X54mYOKNMTb8n/73RrIUrGVZ4QAe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R1iixQAAANwAAAAPAAAAAAAAAAAAAAAAAJgCAABkcnMv&#10;ZG93bnJldi54bWxQSwUGAAAAAAQABAD1AAAAigMAAAAA&#10;" filled="f">
                  <v:textbox>
                    <w:txbxContent>
                      <w:p w:rsidR="00443940" w:rsidRPr="0087278D" w:rsidRDefault="00443940" w:rsidP="00443940">
                        <w:pPr>
                          <w:ind w:rightChars="-34" w:right="-82"/>
                          <w:jc w:val="both"/>
                          <w:rPr>
                            <w:rFonts w:ascii="標楷體" w:eastAsia="標楷體" w:hAnsi="標楷體"/>
                          </w:rPr>
                        </w:pPr>
                        <w:r w:rsidRPr="0087278D">
                          <w:rPr>
                            <w:rFonts w:ascii="標楷體" w:eastAsia="標楷體" w:hAnsi="標楷體" w:hint="eastAsia"/>
                          </w:rPr>
                          <w:t>開始交易</w:t>
                        </w:r>
                      </w:p>
                    </w:txbxContent>
                  </v:textbox>
                </v:shape>
                <v:line id="直線接點 329" o:spid="_x0000_s1037" style="position:absolute;visibility:visible;mso-wrap-style:square" from="28306,23058" to="32878,230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LVsUAAADcAAAADwAAAGRycy9kb3ducmV2LnhtbESPQWsCMRSE70L/Q3iF3jSrQu2uRild&#10;hB60oJaeXzfPzdLNy7JJ1/jvG6HgcZiZb5jVJtpWDNT7xrGC6SQDQVw53XCt4PO0Hb+A8AFZY+uY&#10;FFzJw2b9MFphod2FDzQcQy0ShH2BCkwIXSGlrwxZ9BPXESfv7HqLIcm+lrrHS4LbVs6y7FlabDgt&#10;GOzozVD1c/y1ChamPMiFLHenj3Jopnncx6/vXKmnx/i6BBEohnv4v/2uFcxnO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pLVsUAAADcAAAADwAAAAAAAAAA&#10;AAAAAAChAgAAZHJzL2Rvd25yZXYueG1sUEsFBgAAAAAEAAQA+QAAAJMDAAAAAA==&#10;">
                  <v:stroke endarrow="block"/>
                </v:line>
                <v:shape id="文字方塊 2" o:spid="_x0000_s1038" type="#_x0000_t202" style="position:absolute;left:32918;top:19639;width:15265;height:7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jCecUA&#10;AADcAAAADwAAAGRycy9kb3ducmV2LnhtbESPwW7CMAyG70i8Q2QkbpCOSmPrCAgBk3ZkHduuXmPa&#10;ao1TNRkUnh4fJnG0fv+fPy9WvWvUibpQezbwME1AERfe1lwaOHy8Tp5AhYhssfFMBi4UYLUcDhaY&#10;WX/mdzrlsVQC4ZChgSrGNtM6FBU5DFPfEkt29J3DKGNXatvhWeCu0bMkedQOa5YLFba0qaj4zf+c&#10;aMy+D+l2n9N8jj/pdnf9fD5+NcaMR/36BVSkPt6X/9tv1kCair48IwT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6MJ5xQAAANwAAAAPAAAAAAAAAAAAAAAAAJgCAABkcnMv&#10;ZG93bnJldi54bWxQSwUGAAAAAAQABAD1AAAAigMAAAAA&#10;" filled="f">
                  <v:textbox>
                    <w:txbxContent>
                      <w:p w:rsidR="00443940" w:rsidRPr="0087278D" w:rsidRDefault="00443940" w:rsidP="00443940">
                        <w:pPr>
                          <w:ind w:rightChars="-34" w:right="-82"/>
                          <w:jc w:val="both"/>
                          <w:rPr>
                            <w:rFonts w:eastAsia="標楷體" w:hAnsi="標楷體"/>
                            <w:snapToGrid w:val="0"/>
                            <w:color w:val="000000"/>
                            <w:kern w:val="0"/>
                          </w:rPr>
                        </w:pPr>
                        <w:r w:rsidRPr="0087278D">
                          <w:rPr>
                            <w:rFonts w:eastAsia="標楷體" w:hAnsi="標楷體" w:hint="eastAsia"/>
                            <w:snapToGrid w:val="0"/>
                            <w:color w:val="000000"/>
                            <w:kern w:val="0"/>
                          </w:rPr>
                          <w:t>銷售機構揭露費率項目內容：語音服務（語音申購）</w:t>
                        </w:r>
                      </w:p>
                    </w:txbxContent>
                  </v:textbox>
                </v:shape>
                <v:line id="直線接點 331" o:spid="_x0000_s1039" style="position:absolute;visibility:visible;mso-wrap-style:square" from="48184,23138" to="52363,23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iXRjcUAAADcAAAADwAAAGRycy9kb3ducmV2LnhtbESPQWsCMRSE70L/Q3gFb5rdCrWuRild&#10;BA+1oJaeXzfPzdLNy7KJa/rvG6HgcZiZb5jVJtpWDNT7xrGCfJqBIK6cbrhW8HnaTl5A+ICssXVM&#10;Cn7Jw2b9MFphod2VDzQcQy0ShH2BCkwIXSGlrwxZ9FPXESfv7HqLIcm+lrrHa4LbVj5l2bO02HBa&#10;MNjRm6Hq53ixCuamPMi5LN9PH+XQ5Iu4j1/fC6XGj/F1CSJQDPfwf3unFcxmOdzOpCMg1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iXRjcUAAADcAAAADwAAAAAAAAAA&#10;AAAAAAChAgAAZHJzL2Rvd25yZXYueG1sUEsFBgAAAAAEAAQA+QAAAJMDAAAAAA==&#10;">
                  <v:stroke endarrow="block"/>
                </v:line>
                <v:shape id="文字方塊 2" o:spid="_x0000_s1040" type="#_x0000_t202" style="position:absolute;left:52637;top:20673;width:9697;height:50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b5lcUA&#10;AADcAAAADwAAAGRycy9kb3ducmV2LnhtbESPzW7CMBCE70h9B2sr9QZOEwnaNAZVQKUeS6DlusSb&#10;HzVeR7ELoU+PkZA4jmbnm51sMZhWHKl3jWUFz5MIBHFhdcOVgt32Y/wCwnlkja1lUnAmB4v5wyjD&#10;VNsTb+iY+0oECLsUFdTed6mUrqjJoJvYjjh4pe0N+iD7SuoeTwFuWhlH0VQabDg01NjRsqbiN/8z&#10;4Y14v0tWXznNZnhIVuv/79fyp1Xq6XF4fwPhafD341v6UytIkhiuYwIB5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dvmVxQAAANwAAAAPAAAAAAAAAAAAAAAAAJgCAABkcnMv&#10;ZG93bnJldi54bWxQSwUGAAAAAAQABAD1AAAAigMAAAAA&#10;" filled="f">
                  <v:textbox>
                    <w:txbxContent>
                      <w:p w:rsidR="00443940" w:rsidRPr="0087278D" w:rsidRDefault="00443940" w:rsidP="00443940">
                        <w:pPr>
                          <w:ind w:rightChars="-34" w:right="-82"/>
                          <w:jc w:val="both"/>
                          <w:rPr>
                            <w:rFonts w:ascii="標楷體" w:eastAsia="標楷體" w:hAnsi="標楷體"/>
                          </w:rPr>
                        </w:pPr>
                        <w:r>
                          <w:rPr>
                            <w:rFonts w:ascii="標楷體" w:eastAsia="標楷體" w:hAnsi="標楷體" w:hint="eastAsia"/>
                          </w:rPr>
                          <w:t>知悉並</w:t>
                        </w:r>
                        <w:r w:rsidRPr="0087278D">
                          <w:rPr>
                            <w:rFonts w:ascii="標楷體" w:eastAsia="標楷體" w:hAnsi="標楷體" w:hint="eastAsia"/>
                          </w:rPr>
                          <w:t>開始交易</w:t>
                        </w:r>
                      </w:p>
                    </w:txbxContent>
                  </v:textbox>
                </v:shape>
                <v:line id="直線接點 337" o:spid="_x0000_s1041" style="position:absolute;visibility:visible;mso-wrap-style:square" from="21468,27591" to="21468,329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J84cUAAADcAAAADwAAAGRycy9kb3ducmV2LnhtbESPT4vCMBTE74LfIbwFL6Kpf1DpGkVE&#10;wePaXWSPj+bZ1m1eahO1+unNguBxmJnfMPNlY0pxpdoVlhUM+hEI4tTqgjMFP9/b3gyE88gaS8uk&#10;4E4Olot2a46xtjfe0zXxmQgQdjEqyL2vYildmpNB17cVcfCOtjbog6wzqWu8Bbgp5TCKJtJgwWEh&#10;x4rWOaV/ycUoyNan7vk3OT3GfrKZ2e3463A4rpTqfDSrTxCeGv8Ov9o7rWA0msL/mXAE5OIJ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xJ84cUAAADcAAAADwAAAAAAAAAA&#10;AAAAAAChAgAAZHJzL2Rvd25yZXYueG1sUEsFBgAAAAAEAAQA+QAAAJMDAAAAAA==&#10;" strokecolor="windowText"/>
                <v:shape id="文字方塊 2" o:spid="_x0000_s1042" type="#_x0000_t202" style="position:absolute;left:32759;top:29658;width:15424;height:148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Jr5MUA&#10;AADcAAAADwAAAGRycy9kb3ducmV2LnhtbESPzW7CMBCE70h9B2uRuBUHIkFJMajiR+LYpgGuS7wk&#10;UeN1FBsIffq6EhLH0ex8szNfdqYWV2pdZVnBaBiBIM6trrhQkH1vX99AOI+ssbZMCu7kYLl46c0x&#10;0fbGX3RNfSEChF2CCkrvm0RKl5dk0A1tQxy8s20N+iDbQuoWbwFuajmOook0WHFoKLGhVUn5T3ox&#10;4Y3xMYvXnylNp3iK15vf/ex8qJUa9LuPdxCeOv88fqR3WkEcz+B/TCC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0mvkxQAAANwAAAAPAAAAAAAAAAAAAAAAAJgCAABkcnMv&#10;ZG93bnJldi54bWxQSwUGAAAAAAQABAD1AAAAigMAAAAA&#10;" filled="f">
                  <v:textbox>
                    <w:txbxContent>
                      <w:p w:rsidR="00443940" w:rsidRPr="00E765F8" w:rsidRDefault="00443940" w:rsidP="00443940">
                        <w:pPr>
                          <w:ind w:rightChars="-34" w:right="-82"/>
                          <w:jc w:val="both"/>
                          <w:rPr>
                            <w:rFonts w:eastAsia="標楷體" w:hAnsi="標楷體"/>
                            <w:snapToGrid w:val="0"/>
                            <w:color w:val="000000"/>
                            <w:kern w:val="0"/>
                          </w:rPr>
                        </w:pPr>
                        <w:r w:rsidRPr="00E765F8">
                          <w:rPr>
                            <w:rFonts w:eastAsia="標楷體" w:hAnsi="標楷體" w:hint="eastAsia"/>
                            <w:snapToGrid w:val="0"/>
                            <w:color w:val="000000"/>
                            <w:kern w:val="0"/>
                          </w:rPr>
                          <w:t>銷售機構揭露費率項目內容，其方式有下：</w:t>
                        </w:r>
                      </w:p>
                      <w:p w:rsidR="00443940" w:rsidRPr="00E765F8" w:rsidRDefault="00443940" w:rsidP="00443940">
                        <w:pPr>
                          <w:ind w:rightChars="-34" w:right="-82"/>
                          <w:jc w:val="both"/>
                          <w:rPr>
                            <w:rFonts w:eastAsia="標楷體" w:hAnsi="標楷體"/>
                            <w:snapToGrid w:val="0"/>
                            <w:color w:val="000000"/>
                            <w:kern w:val="0"/>
                          </w:rPr>
                        </w:pPr>
                        <w:r w:rsidRPr="00E765F8">
                          <w:rPr>
                            <w:rFonts w:eastAsia="標楷體" w:hAnsi="標楷體" w:hint="eastAsia"/>
                            <w:snapToGrid w:val="0"/>
                            <w:color w:val="000000"/>
                            <w:kern w:val="0"/>
                          </w:rPr>
                          <w:t>1.</w:t>
                        </w:r>
                        <w:r w:rsidRPr="00E765F8">
                          <w:rPr>
                            <w:rFonts w:eastAsia="標楷體" w:hAnsi="標楷體" w:hint="eastAsia"/>
                            <w:snapToGrid w:val="0"/>
                            <w:color w:val="000000"/>
                            <w:kern w:val="0"/>
                          </w:rPr>
                          <w:t>網站</w:t>
                        </w:r>
                      </w:p>
                      <w:p w:rsidR="00443940" w:rsidRPr="00E765F8" w:rsidRDefault="00443940" w:rsidP="00443940">
                        <w:pPr>
                          <w:ind w:rightChars="-34" w:right="-82"/>
                          <w:jc w:val="both"/>
                          <w:rPr>
                            <w:rFonts w:eastAsia="標楷體" w:hAnsi="標楷體"/>
                            <w:snapToGrid w:val="0"/>
                            <w:color w:val="000000"/>
                            <w:kern w:val="0"/>
                          </w:rPr>
                        </w:pPr>
                        <w:r w:rsidRPr="00E765F8">
                          <w:rPr>
                            <w:rFonts w:eastAsia="標楷體" w:hAnsi="標楷體" w:hint="eastAsia"/>
                            <w:snapToGrid w:val="0"/>
                            <w:color w:val="000000"/>
                            <w:kern w:val="0"/>
                          </w:rPr>
                          <w:t>2.</w:t>
                        </w:r>
                        <w:r w:rsidRPr="00E765F8">
                          <w:rPr>
                            <w:rFonts w:eastAsia="標楷體" w:hAnsi="標楷體" w:hint="eastAsia"/>
                            <w:snapToGrid w:val="0"/>
                            <w:color w:val="000000"/>
                            <w:kern w:val="0"/>
                          </w:rPr>
                          <w:t>傳真或</w:t>
                        </w:r>
                        <w:r w:rsidRPr="00E765F8">
                          <w:rPr>
                            <w:rFonts w:eastAsia="標楷體" w:hAnsi="標楷體" w:hint="eastAsia"/>
                            <w:snapToGrid w:val="0"/>
                            <w:color w:val="000000"/>
                            <w:kern w:val="0"/>
                          </w:rPr>
                          <w:t>e-mail</w:t>
                        </w:r>
                      </w:p>
                      <w:p w:rsidR="00443940" w:rsidRPr="0087278D" w:rsidRDefault="00443940" w:rsidP="00443940">
                        <w:pPr>
                          <w:ind w:rightChars="-34" w:right="-82"/>
                          <w:jc w:val="both"/>
                          <w:rPr>
                            <w:rFonts w:eastAsia="標楷體" w:hAnsi="標楷體"/>
                            <w:snapToGrid w:val="0"/>
                            <w:color w:val="000000"/>
                            <w:kern w:val="0"/>
                          </w:rPr>
                        </w:pPr>
                        <w:r w:rsidRPr="00E765F8">
                          <w:rPr>
                            <w:rFonts w:eastAsia="標楷體" w:hAnsi="標楷體" w:hint="eastAsia"/>
                            <w:snapToGrid w:val="0"/>
                            <w:color w:val="000000"/>
                            <w:kern w:val="0"/>
                          </w:rPr>
                          <w:t>3.</w:t>
                        </w:r>
                        <w:r w:rsidRPr="00E765F8">
                          <w:rPr>
                            <w:rFonts w:eastAsia="標楷體" w:hAnsi="標楷體" w:hint="eastAsia"/>
                            <w:snapToGrid w:val="0"/>
                            <w:color w:val="000000"/>
                            <w:kern w:val="0"/>
                          </w:rPr>
                          <w:t>其他</w:t>
                        </w:r>
                      </w:p>
                    </w:txbxContent>
                  </v:textbox>
                </v:shape>
                <v:line id="直線接點 340" o:spid="_x0000_s1043" style="position:absolute;visibility:visible;mso-wrap-style:square" from="48184,35860" to="52363,35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8Ha8IAAADcAAAADwAAAGRycy9kb3ducmV2LnhtbERPz2vCMBS+C/4P4Q1201Q35uyMIhZh&#10;BzdQh+dn89aUNS+liTX+9+Yg7Pjx/V6som1ET52vHSuYjDMQxKXTNVcKfo7b0TsIH5A1No5JwY08&#10;rJbDwQJz7a68p/4QKpFC2OeowITQ5lL60pBFP3YtceJ+XWcxJNhVUnd4TeG2kdMse5MWa04NBlva&#10;GCr/DherYGaKvZzJYnf8Lvp6Mo9f8XSeK/X8FNcfIALF8C9+uD+1gpfXND+dSUdALu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W8Ha8IAAADcAAAADwAAAAAAAAAAAAAA&#10;AAChAgAAZHJzL2Rvd25yZXYueG1sUEsFBgAAAAAEAAQA+QAAAJADAAAAAA==&#10;">
                  <v:stroke endarrow="block"/>
                </v:line>
                <v:shape id="文字方塊 2" o:spid="_x0000_s1044" type="#_x0000_t202" style="position:absolute;left:52558;top:29499;width:10414;height:150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IUn8YA&#10;AADcAAAADwAAAGRycy9kb3ducmV2LnhtbESPS2/CMBCE75X6H6ytxK04kIpHikGIh8QRwqPXbbwk&#10;UeN1FBtI+fV1JSSOo9n5Zmcya00lrtS40rKCXjcCQZxZXXKu4LBfv49AOI+ssbJMCn7JwWz6+jLB&#10;RNsb7+ia+lwECLsEFRTe14mULivIoOvamjh4Z9sY9EE2udQN3gLcVLIfRQNpsOTQUGBNi4Kyn/Ri&#10;whv9r0O83KY0HOJ3vFzdj+PzqVKq89bOP0F4av3z+JHeaAXxRw/+xwQCyO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qIUn8YAAADcAAAADwAAAAAAAAAAAAAAAACYAgAAZHJz&#10;L2Rvd25yZXYueG1sUEsFBgAAAAAEAAQA9QAAAIsDAAAAAA==&#10;" filled="f">
                  <v:textbox>
                    <w:txbxContent>
                      <w:p w:rsidR="00443940" w:rsidRPr="0087278D" w:rsidRDefault="00443940" w:rsidP="00443940">
                        <w:pPr>
                          <w:ind w:rightChars="-34" w:right="-82"/>
                          <w:jc w:val="both"/>
                          <w:rPr>
                            <w:rFonts w:ascii="標楷體" w:eastAsia="標楷體" w:hAnsi="標楷體"/>
                          </w:rPr>
                        </w:pPr>
                        <w:r w:rsidRPr="00414051">
                          <w:rPr>
                            <w:rFonts w:eastAsia="標楷體" w:hAnsi="標楷體" w:hint="eastAsia"/>
                            <w:snapToGrid w:val="0"/>
                            <w:color w:val="000000"/>
                            <w:kern w:val="0"/>
                          </w:rPr>
                          <w:t>投資人結束電話、</w:t>
                        </w:r>
                        <w:r w:rsidRPr="00414051">
                          <w:rPr>
                            <w:rFonts w:eastAsia="標楷體" w:hAnsi="標楷體" w:hint="eastAsia"/>
                            <w:snapToGrid w:val="0"/>
                            <w:color w:val="000000"/>
                            <w:kern w:val="0"/>
                          </w:rPr>
                          <w:t>ATM</w:t>
                        </w:r>
                        <w:r w:rsidRPr="00414051">
                          <w:rPr>
                            <w:rFonts w:eastAsia="標楷體" w:hAnsi="標楷體" w:hint="eastAsia"/>
                            <w:snapToGrid w:val="0"/>
                            <w:color w:val="000000"/>
                            <w:kern w:val="0"/>
                          </w:rPr>
                          <w:t>或行動銀行操作以了解內容並待下次交易</w:t>
                        </w:r>
                      </w:p>
                    </w:txbxContent>
                  </v:textbox>
                </v:shape>
              </v:group>
            </w:pict>
          </mc:Fallback>
        </mc:AlternateContent>
      </w:r>
      <w:r w:rsidR="00443940" w:rsidRPr="00443940">
        <w:rPr>
          <w:rFonts w:ascii="Times New Roman" w:eastAsia="標楷體" w:hAnsi="標楷體" w:cs="Times New Roman" w:hint="eastAsia"/>
          <w:snapToGrid w:val="0"/>
          <w:color w:val="000000"/>
          <w:kern w:val="0"/>
          <w:sz w:val="28"/>
          <w:szCs w:val="20"/>
          <w:bdr w:val="single" w:sz="4" w:space="0" w:color="auto"/>
          <w:shd w:val="pct15" w:color="auto" w:fill="FFFFFF"/>
        </w:rPr>
        <w:t>流程圖</w:t>
      </w:r>
    </w:p>
    <w:p w:rsidR="00C722A9" w:rsidRDefault="00C722A9" w:rsidP="001B48C3">
      <w:pPr>
        <w:widowControl/>
        <w:spacing w:afterLines="100" w:after="360" w:line="400" w:lineRule="exact"/>
        <w:ind w:leftChars="-177" w:rightChars="-236" w:right="-566" w:hangingChars="177" w:hanging="425"/>
        <w:rPr>
          <w:rFonts w:ascii="標楷體" w:eastAsia="標楷體" w:hAnsi="標楷體"/>
        </w:rPr>
      </w:pPr>
    </w:p>
    <w:p w:rsidR="00C722A9" w:rsidRDefault="00C722A9" w:rsidP="00C722A9">
      <w:pPr>
        <w:widowControl/>
        <w:spacing w:afterLines="100" w:after="360" w:line="400" w:lineRule="exact"/>
        <w:ind w:leftChars="-177" w:rightChars="-236" w:right="-566" w:hangingChars="177" w:hanging="425"/>
        <w:rPr>
          <w:rFonts w:ascii="標楷體" w:eastAsia="標楷體" w:hAnsi="標楷體"/>
        </w:rPr>
      </w:pPr>
    </w:p>
    <w:p w:rsidR="00C722A9" w:rsidRDefault="00C722A9" w:rsidP="007C3DED">
      <w:pPr>
        <w:widowControl/>
        <w:spacing w:afterLines="100" w:after="360" w:line="400" w:lineRule="exact"/>
        <w:ind w:leftChars="-177" w:rightChars="-236" w:right="-566" w:hangingChars="177" w:hanging="425"/>
        <w:rPr>
          <w:rFonts w:ascii="標楷體" w:eastAsia="標楷體" w:hAnsi="標楷體"/>
        </w:rPr>
      </w:pPr>
    </w:p>
    <w:p w:rsidR="00C722A9" w:rsidRDefault="00C722A9" w:rsidP="007C3DED">
      <w:pPr>
        <w:widowControl/>
        <w:spacing w:afterLines="100" w:after="360" w:line="400" w:lineRule="exact"/>
        <w:ind w:leftChars="-177" w:rightChars="-236" w:right="-566" w:hangingChars="177" w:hanging="425"/>
        <w:rPr>
          <w:rFonts w:ascii="標楷體" w:eastAsia="標楷體" w:hAnsi="標楷體"/>
        </w:rPr>
      </w:pPr>
    </w:p>
    <w:p w:rsidR="00C722A9" w:rsidRDefault="00C722A9" w:rsidP="007C3DED">
      <w:pPr>
        <w:widowControl/>
        <w:spacing w:afterLines="100" w:after="360" w:line="400" w:lineRule="exact"/>
        <w:ind w:leftChars="-177" w:rightChars="-236" w:right="-566" w:hangingChars="177" w:hanging="425"/>
        <w:rPr>
          <w:rFonts w:ascii="標楷體" w:eastAsia="標楷體" w:hAnsi="標楷體"/>
        </w:rPr>
      </w:pPr>
    </w:p>
    <w:p w:rsidR="00C722A9" w:rsidRDefault="00C722A9" w:rsidP="007C3DED">
      <w:pPr>
        <w:widowControl/>
        <w:spacing w:afterLines="100" w:after="360" w:line="400" w:lineRule="exact"/>
        <w:ind w:leftChars="-177" w:rightChars="-236" w:right="-566" w:hangingChars="177" w:hanging="425"/>
        <w:rPr>
          <w:rFonts w:ascii="標楷體" w:eastAsia="標楷體" w:hAnsi="標楷體"/>
        </w:rPr>
      </w:pPr>
    </w:p>
    <w:p w:rsidR="00C722A9" w:rsidRDefault="00C722A9" w:rsidP="007C3DED">
      <w:pPr>
        <w:widowControl/>
        <w:spacing w:afterLines="100" w:after="360" w:line="400" w:lineRule="exact"/>
        <w:ind w:leftChars="-177" w:rightChars="-236" w:right="-566" w:hangingChars="177" w:hanging="425"/>
        <w:rPr>
          <w:rFonts w:ascii="標楷體" w:eastAsia="標楷體" w:hAnsi="標楷體"/>
        </w:rPr>
      </w:pPr>
    </w:p>
    <w:p w:rsidR="00C722A9" w:rsidRDefault="00C722A9" w:rsidP="007C3DED">
      <w:pPr>
        <w:widowControl/>
        <w:spacing w:afterLines="100" w:after="360" w:line="400" w:lineRule="exact"/>
        <w:ind w:leftChars="-177" w:rightChars="-236" w:right="-566" w:hangingChars="177" w:hanging="425"/>
        <w:rPr>
          <w:rFonts w:ascii="標楷體" w:eastAsia="標楷體" w:hAnsi="標楷體"/>
        </w:rPr>
      </w:pPr>
    </w:p>
    <w:p w:rsidR="00C722A9" w:rsidRDefault="00C722A9" w:rsidP="007C3DED">
      <w:pPr>
        <w:widowControl/>
        <w:spacing w:afterLines="100" w:after="360" w:line="400" w:lineRule="exact"/>
        <w:ind w:leftChars="-177" w:rightChars="-236" w:right="-566" w:hangingChars="177" w:hanging="425"/>
        <w:rPr>
          <w:rFonts w:ascii="標楷體" w:eastAsia="標楷體" w:hAnsi="標楷體"/>
        </w:rPr>
      </w:pPr>
    </w:p>
    <w:p w:rsidR="00C722A9" w:rsidRDefault="00C722A9" w:rsidP="007C3DED">
      <w:pPr>
        <w:widowControl/>
        <w:spacing w:afterLines="100" w:after="360" w:line="400" w:lineRule="exact"/>
        <w:ind w:leftChars="-177" w:rightChars="-236" w:right="-566" w:hangingChars="177" w:hanging="425"/>
        <w:rPr>
          <w:rFonts w:ascii="標楷體" w:eastAsia="標楷體" w:hAnsi="標楷體"/>
        </w:rPr>
      </w:pPr>
    </w:p>
    <w:p w:rsidR="00C722A9" w:rsidRDefault="00C722A9" w:rsidP="007C3DED">
      <w:pPr>
        <w:widowControl/>
        <w:spacing w:afterLines="100" w:after="360" w:line="400" w:lineRule="exact"/>
        <w:ind w:leftChars="-177" w:rightChars="-236" w:right="-566" w:hangingChars="177" w:hanging="425"/>
        <w:rPr>
          <w:rFonts w:ascii="標楷體" w:eastAsia="標楷體" w:hAnsi="標楷體"/>
        </w:rPr>
      </w:pPr>
    </w:p>
    <w:p w:rsidR="00C722A9" w:rsidRDefault="00C722A9" w:rsidP="007C3DED">
      <w:pPr>
        <w:widowControl/>
        <w:spacing w:afterLines="100" w:after="360" w:line="400" w:lineRule="exact"/>
        <w:ind w:leftChars="-177" w:rightChars="-236" w:right="-566" w:hangingChars="177" w:hanging="425"/>
        <w:rPr>
          <w:rFonts w:ascii="標楷體" w:eastAsia="標楷體" w:hAnsi="標楷體"/>
        </w:rPr>
      </w:pPr>
    </w:p>
    <w:p w:rsidR="00994376" w:rsidRDefault="00994376" w:rsidP="007C3DED">
      <w:pPr>
        <w:widowControl/>
        <w:spacing w:afterLines="100" w:after="360" w:line="400" w:lineRule="exact"/>
        <w:ind w:leftChars="-177" w:rightChars="-236" w:right="-566" w:hangingChars="177" w:hanging="425"/>
        <w:rPr>
          <w:rFonts w:ascii="標楷體" w:eastAsia="標楷體" w:hAnsi="標楷體"/>
        </w:rPr>
      </w:pPr>
    </w:p>
    <w:p w:rsidR="00994376" w:rsidRDefault="00994376" w:rsidP="007C3DED">
      <w:pPr>
        <w:widowControl/>
        <w:spacing w:afterLines="100" w:after="360" w:line="400" w:lineRule="exact"/>
        <w:ind w:leftChars="-177" w:rightChars="-236" w:right="-566" w:hangingChars="177" w:hanging="425"/>
        <w:rPr>
          <w:rFonts w:ascii="標楷體" w:eastAsia="標楷體" w:hAnsi="標楷體"/>
        </w:rPr>
      </w:pPr>
    </w:p>
    <w:p w:rsidR="00994376" w:rsidRDefault="00994376" w:rsidP="007C3DED">
      <w:pPr>
        <w:widowControl/>
        <w:spacing w:afterLines="100" w:after="360" w:line="400" w:lineRule="exact"/>
        <w:ind w:leftChars="-177" w:rightChars="-236" w:right="-566" w:hangingChars="177" w:hanging="425"/>
        <w:rPr>
          <w:rFonts w:ascii="標楷體" w:eastAsia="標楷體" w:hAnsi="標楷體"/>
        </w:rPr>
      </w:pPr>
    </w:p>
    <w:p w:rsidR="001E4D21" w:rsidRPr="007D34C3" w:rsidRDefault="001E4D21" w:rsidP="001E4D21">
      <w:pPr>
        <w:rPr>
          <w:rFonts w:ascii="標楷體" w:eastAsia="標楷體" w:hAnsi="標楷體"/>
          <w:b/>
          <w:color w:val="000000" w:themeColor="text1"/>
          <w:szCs w:val="24"/>
        </w:rPr>
      </w:pPr>
      <w:r w:rsidRPr="007D34C3">
        <w:rPr>
          <w:rFonts w:ascii="標楷體" w:eastAsia="標楷體" w:hAnsi="標楷體" w:hint="eastAsia"/>
          <w:b/>
          <w:color w:val="000000" w:themeColor="text1"/>
          <w:szCs w:val="24"/>
        </w:rPr>
        <w:lastRenderedPageBreak/>
        <w:t>通路報酬揭露格式範本（自109年1月1日起施行）</w:t>
      </w:r>
    </w:p>
    <w:p w:rsidR="001E4D21" w:rsidRPr="007D34C3" w:rsidRDefault="001E4D21" w:rsidP="001E4D21">
      <w:pPr>
        <w:snapToGrid w:val="0"/>
        <w:spacing w:line="264" w:lineRule="auto"/>
        <w:rPr>
          <w:rFonts w:ascii="標楷體" w:eastAsia="標楷體" w:hAnsi="標楷體"/>
          <w:b/>
          <w:color w:val="000000" w:themeColor="text1"/>
          <w:szCs w:val="24"/>
        </w:rPr>
      </w:pPr>
    </w:p>
    <w:p w:rsidR="001E4D21" w:rsidRPr="007D34C3" w:rsidRDefault="001E4D21" w:rsidP="001E4D21">
      <w:pPr>
        <w:snapToGrid w:val="0"/>
        <w:spacing w:line="264" w:lineRule="auto"/>
        <w:rPr>
          <w:rFonts w:ascii="標楷體" w:eastAsia="標楷體" w:hAnsi="標楷體"/>
          <w:b/>
          <w:color w:val="000000" w:themeColor="text1"/>
          <w:szCs w:val="24"/>
        </w:rPr>
      </w:pPr>
      <w:r w:rsidRPr="007D34C3">
        <w:rPr>
          <w:rFonts w:ascii="標楷體" w:eastAsia="標楷體" w:hAnsi="標楷體" w:hint="eastAsia"/>
          <w:b/>
          <w:color w:val="000000" w:themeColor="text1"/>
          <w:szCs w:val="24"/>
        </w:rPr>
        <w:t>本銀行銷售</w:t>
      </w:r>
      <w:proofErr w:type="gramStart"/>
      <w:r w:rsidRPr="007D34C3">
        <w:rPr>
          <w:rFonts w:ascii="標楷體" w:eastAsia="標楷體" w:hAnsi="標楷體" w:hint="eastAsia"/>
          <w:b/>
          <w:color w:val="000000" w:themeColor="text1"/>
          <w:szCs w:val="24"/>
          <w:shd w:val="pct15" w:color="auto" w:fill="FFFFFF"/>
        </w:rPr>
        <w:t>ＯＯ</w:t>
      </w:r>
      <w:proofErr w:type="gramEnd"/>
      <w:r w:rsidRPr="007D34C3">
        <w:rPr>
          <w:rFonts w:ascii="標楷體" w:eastAsia="標楷體" w:hAnsi="標楷體" w:hint="eastAsia"/>
          <w:b/>
          <w:color w:val="000000" w:themeColor="text1"/>
          <w:szCs w:val="24"/>
        </w:rPr>
        <w:t>投信「</w:t>
      </w:r>
      <w:proofErr w:type="gramStart"/>
      <w:r w:rsidRPr="007D34C3">
        <w:rPr>
          <w:rFonts w:ascii="標楷體" w:eastAsia="標楷體" w:hAnsi="標楷體" w:hint="eastAsia"/>
          <w:b/>
          <w:color w:val="000000" w:themeColor="text1"/>
          <w:szCs w:val="24"/>
          <w:shd w:val="pct15" w:color="auto" w:fill="FFFFFF"/>
        </w:rPr>
        <w:t>ＯＯ</w:t>
      </w:r>
      <w:proofErr w:type="gramEnd"/>
      <w:r w:rsidRPr="007D34C3">
        <w:rPr>
          <w:rFonts w:ascii="標楷體" w:eastAsia="標楷體" w:hAnsi="標楷體" w:hint="eastAsia"/>
          <w:b/>
          <w:color w:val="000000" w:themeColor="text1"/>
          <w:szCs w:val="24"/>
        </w:rPr>
        <w:t>證券投資信託基金」（或附表所列基金）所收取之通路報酬如下：</w:t>
      </w:r>
      <w:r w:rsidRPr="007D34C3">
        <w:rPr>
          <w:rFonts w:ascii="標楷體" w:eastAsia="標楷體" w:hAnsi="標楷體"/>
          <w:b/>
          <w:color w:val="000000" w:themeColor="text1"/>
          <w:szCs w:val="24"/>
        </w:rPr>
        <w:t xml:space="preserve"> </w:t>
      </w:r>
    </w:p>
    <w:p w:rsidR="001E4D21" w:rsidRPr="007D34C3" w:rsidRDefault="001E4D21" w:rsidP="001E4D21">
      <w:pPr>
        <w:rPr>
          <w:rFonts w:ascii="標楷體" w:eastAsia="標楷體" w:hAnsi="標楷體"/>
          <w:b/>
          <w:color w:val="000000" w:themeColor="text1"/>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7654"/>
      </w:tblGrid>
      <w:tr w:rsidR="001E4D21" w:rsidRPr="007D34C3" w:rsidTr="001E4D21">
        <w:tc>
          <w:tcPr>
            <w:tcW w:w="9639" w:type="dxa"/>
            <w:gridSpan w:val="2"/>
            <w:tcBorders>
              <w:top w:val="single" w:sz="18" w:space="0" w:color="auto"/>
              <w:left w:val="single" w:sz="18" w:space="0" w:color="auto"/>
              <w:right w:val="single" w:sz="18" w:space="0" w:color="auto"/>
            </w:tcBorders>
          </w:tcPr>
          <w:p w:rsidR="001E4D21" w:rsidRPr="007D34C3" w:rsidRDefault="001E4D21" w:rsidP="004F59F8">
            <w:pPr>
              <w:adjustRightInd w:val="0"/>
              <w:snapToGrid w:val="0"/>
              <w:rPr>
                <w:rFonts w:ascii="標楷體" w:eastAsia="標楷體" w:hAnsi="標楷體"/>
                <w:b/>
                <w:color w:val="000000" w:themeColor="text1"/>
                <w:szCs w:val="28"/>
              </w:rPr>
            </w:pPr>
            <w:proofErr w:type="gramStart"/>
            <w:r w:rsidRPr="007D34C3">
              <w:rPr>
                <w:rFonts w:ascii="標楷體" w:eastAsia="標楷體" w:hAnsi="標楷體" w:hint="eastAsia"/>
                <w:b/>
                <w:color w:val="000000" w:themeColor="text1"/>
                <w:szCs w:val="28"/>
              </w:rPr>
              <w:t>ㄧ</w:t>
            </w:r>
            <w:proofErr w:type="gramEnd"/>
            <w:r w:rsidRPr="007D34C3">
              <w:rPr>
                <w:rFonts w:ascii="標楷體" w:eastAsia="標楷體" w:hAnsi="標楷體" w:hint="eastAsia"/>
                <w:b/>
                <w:color w:val="000000" w:themeColor="text1"/>
                <w:szCs w:val="28"/>
              </w:rPr>
              <w:t>、投資人支付</w:t>
            </w:r>
          </w:p>
        </w:tc>
      </w:tr>
      <w:tr w:rsidR="001E4D21" w:rsidRPr="007D34C3" w:rsidTr="001E4D21">
        <w:tc>
          <w:tcPr>
            <w:tcW w:w="1985" w:type="dxa"/>
            <w:tcBorders>
              <w:left w:val="single" w:sz="18" w:space="0" w:color="auto"/>
            </w:tcBorders>
          </w:tcPr>
          <w:p w:rsidR="001E4D21" w:rsidRPr="007D34C3" w:rsidRDefault="001E4D21" w:rsidP="004F59F8">
            <w:pPr>
              <w:jc w:val="distribute"/>
              <w:rPr>
                <w:rFonts w:ascii="標楷體" w:eastAsia="標楷體" w:hAnsi="標楷體"/>
                <w:color w:val="000000" w:themeColor="text1"/>
              </w:rPr>
            </w:pPr>
            <w:r w:rsidRPr="007D34C3">
              <w:rPr>
                <w:rFonts w:ascii="標楷體" w:eastAsia="標楷體" w:hAnsi="標楷體" w:hint="eastAsia"/>
                <w:color w:val="000000" w:themeColor="text1"/>
              </w:rPr>
              <w:t>項目</w:t>
            </w:r>
          </w:p>
        </w:tc>
        <w:tc>
          <w:tcPr>
            <w:tcW w:w="7654" w:type="dxa"/>
            <w:tcBorders>
              <w:right w:val="single" w:sz="18" w:space="0" w:color="auto"/>
            </w:tcBorders>
          </w:tcPr>
          <w:p w:rsidR="001E4D21" w:rsidRPr="007D34C3" w:rsidRDefault="001E4D21" w:rsidP="004F59F8">
            <w:pPr>
              <w:jc w:val="distribute"/>
              <w:rPr>
                <w:rFonts w:ascii="標楷體" w:eastAsia="標楷體" w:hAnsi="標楷體"/>
                <w:color w:val="000000" w:themeColor="text1"/>
              </w:rPr>
            </w:pPr>
            <w:r w:rsidRPr="007D34C3">
              <w:rPr>
                <w:rFonts w:ascii="標楷體" w:eastAsia="標楷體" w:hAnsi="標楷體" w:hint="eastAsia"/>
                <w:color w:val="000000" w:themeColor="text1"/>
              </w:rPr>
              <w:t>說明</w:t>
            </w:r>
          </w:p>
        </w:tc>
      </w:tr>
      <w:tr w:rsidR="001E4D21" w:rsidRPr="007D34C3" w:rsidTr="001E4D21">
        <w:trPr>
          <w:trHeight w:val="2671"/>
        </w:trPr>
        <w:tc>
          <w:tcPr>
            <w:tcW w:w="1985" w:type="dxa"/>
            <w:tcBorders>
              <w:left w:val="single" w:sz="18" w:space="0" w:color="auto"/>
              <w:bottom w:val="single" w:sz="18" w:space="0" w:color="auto"/>
            </w:tcBorders>
            <w:vAlign w:val="center"/>
          </w:tcPr>
          <w:p w:rsidR="001E4D21" w:rsidRPr="007D34C3" w:rsidRDefault="001E4D21" w:rsidP="004F59F8">
            <w:pPr>
              <w:jc w:val="both"/>
              <w:rPr>
                <w:rFonts w:ascii="標楷體" w:eastAsia="標楷體" w:hAnsi="標楷體"/>
                <w:color w:val="000000" w:themeColor="text1"/>
                <w:szCs w:val="24"/>
              </w:rPr>
            </w:pPr>
            <w:r w:rsidRPr="007D34C3">
              <w:rPr>
                <w:rFonts w:ascii="標楷體" w:eastAsia="標楷體" w:hAnsi="標楷體" w:hint="eastAsia"/>
                <w:color w:val="000000" w:themeColor="text1"/>
                <w:szCs w:val="24"/>
              </w:rPr>
              <w:t>申購手續費分成(%)</w:t>
            </w:r>
          </w:p>
          <w:p w:rsidR="001E4D21" w:rsidRPr="007D34C3" w:rsidRDefault="001E4D21" w:rsidP="004F59F8">
            <w:pPr>
              <w:jc w:val="both"/>
              <w:rPr>
                <w:rFonts w:ascii="標楷體" w:eastAsia="標楷體" w:hAnsi="標楷體"/>
                <w:color w:val="000000" w:themeColor="text1"/>
                <w:szCs w:val="24"/>
              </w:rPr>
            </w:pPr>
            <w:r w:rsidRPr="007D34C3">
              <w:rPr>
                <w:rFonts w:ascii="標楷體" w:eastAsia="標楷體" w:hAnsi="標楷體" w:hint="eastAsia"/>
                <w:color w:val="000000" w:themeColor="text1"/>
                <w:szCs w:val="24"/>
              </w:rPr>
              <w:t>(依　台端申購金額或贖回金額)</w:t>
            </w:r>
          </w:p>
        </w:tc>
        <w:tc>
          <w:tcPr>
            <w:tcW w:w="7654" w:type="dxa"/>
            <w:tcBorders>
              <w:bottom w:val="single" w:sz="18" w:space="0" w:color="auto"/>
              <w:right w:val="single" w:sz="18" w:space="0" w:color="auto"/>
            </w:tcBorders>
          </w:tcPr>
          <w:p w:rsidR="001E4D21" w:rsidRPr="00643AE0" w:rsidRDefault="001E4D21" w:rsidP="00643AE0">
            <w:pPr>
              <w:pStyle w:val="a9"/>
              <w:numPr>
                <w:ilvl w:val="0"/>
                <w:numId w:val="33"/>
              </w:numPr>
              <w:ind w:leftChars="0"/>
              <w:jc w:val="both"/>
              <w:rPr>
                <w:rFonts w:ascii="標楷體" w:eastAsia="標楷體" w:hAnsi="標楷體" w:cs="Times New Roman"/>
                <w:color w:val="000000" w:themeColor="text1"/>
                <w:szCs w:val="20"/>
              </w:rPr>
            </w:pPr>
            <w:r w:rsidRPr="00643AE0">
              <w:rPr>
                <w:rFonts w:ascii="標楷體" w:eastAsia="標楷體" w:hAnsi="標楷體" w:cs="Times New Roman" w:hint="eastAsia"/>
                <w:color w:val="000000" w:themeColor="text1"/>
                <w:szCs w:val="20"/>
              </w:rPr>
              <w:t>台端支付的基金申購手續費率為</w:t>
            </w:r>
            <w:r w:rsidRPr="00643AE0">
              <w:rPr>
                <w:rFonts w:ascii="標楷體" w:eastAsia="標楷體" w:hAnsi="標楷體" w:cs="Times New Roman" w:hint="eastAsia"/>
                <w:color w:val="000000" w:themeColor="text1"/>
                <w:szCs w:val="20"/>
                <w:u w:val="single"/>
                <w:shd w:val="pct15" w:color="auto" w:fill="FFFFFF"/>
              </w:rPr>
              <w:t xml:space="preserve">  </w:t>
            </w:r>
            <w:r w:rsidRPr="00643AE0">
              <w:rPr>
                <w:rFonts w:ascii="標楷體" w:eastAsia="標楷體" w:hAnsi="標楷體" w:cs="Times New Roman" w:hint="eastAsia"/>
                <w:color w:val="000000" w:themeColor="text1"/>
                <w:szCs w:val="20"/>
              </w:rPr>
              <w:t>%，其中本銀行收取</w:t>
            </w:r>
            <w:r w:rsidRPr="00643AE0">
              <w:rPr>
                <w:rFonts w:ascii="標楷體" w:eastAsia="標楷體" w:hAnsi="標楷體" w:cs="Times New Roman" w:hint="eastAsia"/>
                <w:bCs/>
                <w:color w:val="000000" w:themeColor="text1"/>
                <w:szCs w:val="20"/>
                <w:u w:val="single"/>
                <w:shd w:val="pct15" w:color="auto" w:fill="FFFFFF"/>
              </w:rPr>
              <w:t xml:space="preserve">  </w:t>
            </w:r>
            <w:r w:rsidRPr="00643AE0">
              <w:rPr>
                <w:rFonts w:ascii="標楷體" w:eastAsia="標楷體" w:hAnsi="標楷體" w:cs="Times New Roman" w:hint="eastAsia"/>
                <w:color w:val="000000" w:themeColor="text1"/>
                <w:szCs w:val="20"/>
              </w:rPr>
              <w:t>%（或不多於</w:t>
            </w:r>
            <w:r w:rsidRPr="00643AE0">
              <w:rPr>
                <w:rFonts w:ascii="標楷體" w:eastAsia="標楷體" w:hAnsi="標楷體" w:cs="Times New Roman" w:hint="eastAsia"/>
                <w:bCs/>
                <w:color w:val="000000" w:themeColor="text1"/>
                <w:szCs w:val="20"/>
                <w:u w:val="single"/>
                <w:shd w:val="pct15" w:color="auto" w:fill="FFFFFF"/>
              </w:rPr>
              <w:t xml:space="preserve">  </w:t>
            </w:r>
            <w:r w:rsidRPr="00643AE0">
              <w:rPr>
                <w:rFonts w:ascii="標楷體" w:eastAsia="標楷體" w:hAnsi="標楷體" w:cs="Times New Roman" w:hint="eastAsia"/>
                <w:color w:val="000000" w:themeColor="text1"/>
                <w:szCs w:val="20"/>
              </w:rPr>
              <w:t>% ）。</w:t>
            </w:r>
          </w:p>
          <w:p w:rsidR="001E4D21" w:rsidRPr="007D34C3" w:rsidRDefault="001E4D21" w:rsidP="004F59F8">
            <w:pPr>
              <w:ind w:left="240" w:hangingChars="100" w:hanging="240"/>
              <w:jc w:val="both"/>
              <w:rPr>
                <w:rFonts w:ascii="標楷體" w:eastAsia="標楷體" w:hAnsi="標楷體" w:cs="Times New Roman"/>
                <w:color w:val="000000" w:themeColor="text1"/>
                <w:szCs w:val="20"/>
              </w:rPr>
            </w:pPr>
            <w:r w:rsidRPr="007D34C3">
              <w:rPr>
                <w:rFonts w:ascii="標楷體" w:eastAsia="標楷體" w:hAnsi="標楷體" w:cs="Times New Roman" w:hint="eastAsia"/>
                <w:color w:val="000000" w:themeColor="text1"/>
                <w:szCs w:val="20"/>
              </w:rPr>
              <w:t>2.本基金手續費遞延至贖回時收取，台端申購時無需支付手續費，惟本銀行將先自基金公司收取不多於</w:t>
            </w:r>
            <w:r w:rsidRPr="007D34C3">
              <w:rPr>
                <w:rFonts w:ascii="標楷體" w:eastAsia="標楷體" w:hAnsi="標楷體" w:cs="Times New Roman" w:hint="eastAsia"/>
                <w:color w:val="000000" w:themeColor="text1"/>
                <w:szCs w:val="20"/>
                <w:u w:val="single"/>
                <w:shd w:val="pct15" w:color="auto" w:fill="FFFFFF"/>
              </w:rPr>
              <w:t xml:space="preserve">  </w:t>
            </w:r>
            <w:r w:rsidRPr="007D34C3">
              <w:rPr>
                <w:rFonts w:ascii="標楷體" w:eastAsia="標楷體" w:hAnsi="標楷體" w:cs="Times New Roman" w:hint="eastAsia"/>
                <w:color w:val="000000" w:themeColor="text1"/>
                <w:szCs w:val="20"/>
              </w:rPr>
              <w:t>%。</w:t>
            </w:r>
          </w:p>
          <w:p w:rsidR="001E4D21" w:rsidRPr="007D34C3" w:rsidRDefault="001E4D21" w:rsidP="004F59F8">
            <w:pPr>
              <w:ind w:left="240" w:hangingChars="100" w:hanging="240"/>
              <w:jc w:val="both"/>
              <w:rPr>
                <w:rFonts w:ascii="標楷體" w:eastAsia="標楷體" w:hAnsi="標楷體"/>
                <w:color w:val="000000" w:themeColor="text1"/>
                <w:szCs w:val="24"/>
              </w:rPr>
            </w:pPr>
            <w:r w:rsidRPr="007D34C3">
              <w:rPr>
                <w:rFonts w:ascii="標楷體" w:eastAsia="標楷體" w:hAnsi="標楷體" w:cs="Times New Roman" w:hint="eastAsia"/>
                <w:color w:val="000000" w:themeColor="text1"/>
                <w:szCs w:val="20"/>
              </w:rPr>
              <w:t>3.台端支付的基金轉換/轉申購手續費為</w:t>
            </w:r>
            <w:r w:rsidRPr="007D34C3">
              <w:rPr>
                <w:rFonts w:ascii="標楷體" w:eastAsia="標楷體" w:hAnsi="標楷體" w:cs="Times New Roman" w:hint="eastAsia"/>
                <w:bCs/>
                <w:color w:val="000000" w:themeColor="text1"/>
                <w:szCs w:val="20"/>
                <w:u w:val="single"/>
                <w:shd w:val="pct15" w:color="auto" w:fill="FFFFFF"/>
              </w:rPr>
              <w:t xml:space="preserve">  </w:t>
            </w:r>
            <w:r w:rsidRPr="007D34C3">
              <w:rPr>
                <w:rFonts w:ascii="標楷體" w:eastAsia="標楷體" w:hAnsi="標楷體" w:cs="Times New Roman" w:hint="eastAsia"/>
                <w:color w:val="000000" w:themeColor="text1"/>
                <w:szCs w:val="20"/>
              </w:rPr>
              <w:t>%，其中本銀行收取</w:t>
            </w:r>
            <w:r w:rsidRPr="007D34C3">
              <w:rPr>
                <w:rFonts w:ascii="標楷體" w:eastAsia="標楷體" w:hAnsi="標楷體" w:cs="Times New Roman" w:hint="eastAsia"/>
                <w:bCs/>
                <w:color w:val="000000" w:themeColor="text1"/>
                <w:szCs w:val="20"/>
                <w:u w:val="single"/>
                <w:shd w:val="pct15" w:color="auto" w:fill="FFFFFF"/>
              </w:rPr>
              <w:t xml:space="preserve">  </w:t>
            </w:r>
            <w:r w:rsidRPr="007D34C3">
              <w:rPr>
                <w:rFonts w:ascii="標楷體" w:eastAsia="標楷體" w:hAnsi="標楷體" w:cs="Times New Roman" w:hint="eastAsia"/>
                <w:color w:val="000000" w:themeColor="text1"/>
                <w:szCs w:val="20"/>
              </w:rPr>
              <w:t>%（或不多於</w:t>
            </w:r>
            <w:r w:rsidRPr="007D34C3">
              <w:rPr>
                <w:rFonts w:ascii="標楷體" w:eastAsia="標楷體" w:hAnsi="標楷體" w:cs="Times New Roman" w:hint="eastAsia"/>
                <w:bCs/>
                <w:color w:val="000000" w:themeColor="text1"/>
                <w:szCs w:val="20"/>
                <w:u w:val="single"/>
                <w:shd w:val="pct15" w:color="auto" w:fill="FFFFFF"/>
              </w:rPr>
              <w:t xml:space="preserve">  </w:t>
            </w:r>
            <w:r w:rsidRPr="007D34C3">
              <w:rPr>
                <w:rFonts w:ascii="標楷體" w:eastAsia="標楷體" w:hAnsi="標楷體" w:cs="Times New Roman" w:hint="eastAsia"/>
                <w:color w:val="000000" w:themeColor="text1"/>
                <w:szCs w:val="20"/>
              </w:rPr>
              <w:t>% ）。</w:t>
            </w:r>
          </w:p>
        </w:tc>
      </w:tr>
      <w:tr w:rsidR="001E4D21" w:rsidRPr="007D34C3" w:rsidTr="001E4D21">
        <w:tc>
          <w:tcPr>
            <w:tcW w:w="9639" w:type="dxa"/>
            <w:gridSpan w:val="2"/>
            <w:tcBorders>
              <w:top w:val="single" w:sz="18" w:space="0" w:color="auto"/>
              <w:left w:val="single" w:sz="18" w:space="0" w:color="auto"/>
              <w:bottom w:val="single" w:sz="2" w:space="0" w:color="auto"/>
              <w:right w:val="single" w:sz="18" w:space="0" w:color="auto"/>
            </w:tcBorders>
          </w:tcPr>
          <w:p w:rsidR="001E4D21" w:rsidRPr="007D34C3" w:rsidRDefault="001E4D21" w:rsidP="004F59F8">
            <w:pPr>
              <w:adjustRightInd w:val="0"/>
              <w:snapToGrid w:val="0"/>
              <w:rPr>
                <w:rFonts w:ascii="標楷體" w:eastAsia="標楷體" w:hAnsi="標楷體"/>
                <w:b/>
                <w:color w:val="000000" w:themeColor="text1"/>
                <w:szCs w:val="24"/>
              </w:rPr>
            </w:pPr>
            <w:r w:rsidRPr="007D34C3">
              <w:rPr>
                <w:rFonts w:ascii="標楷體" w:eastAsia="標楷體" w:hAnsi="標楷體" w:hint="eastAsia"/>
                <w:b/>
                <w:color w:val="000000" w:themeColor="text1"/>
                <w:szCs w:val="24"/>
              </w:rPr>
              <w:t>二、境外基金機構、總代理人或投信支付</w:t>
            </w:r>
          </w:p>
        </w:tc>
      </w:tr>
      <w:tr w:rsidR="001E4D21" w:rsidRPr="007D34C3" w:rsidTr="001E4D21">
        <w:tc>
          <w:tcPr>
            <w:tcW w:w="1985" w:type="dxa"/>
            <w:tcBorders>
              <w:top w:val="single" w:sz="2" w:space="0" w:color="auto"/>
              <w:left w:val="single" w:sz="18" w:space="0" w:color="auto"/>
              <w:bottom w:val="single" w:sz="2" w:space="0" w:color="auto"/>
              <w:right w:val="single" w:sz="2" w:space="0" w:color="auto"/>
            </w:tcBorders>
          </w:tcPr>
          <w:p w:rsidR="001E4D21" w:rsidRPr="007D34C3" w:rsidRDefault="001E4D21" w:rsidP="004F59F8">
            <w:pPr>
              <w:jc w:val="distribute"/>
              <w:rPr>
                <w:rFonts w:ascii="標楷體" w:eastAsia="標楷體" w:hAnsi="標楷體"/>
                <w:color w:val="000000" w:themeColor="text1"/>
                <w:szCs w:val="24"/>
              </w:rPr>
            </w:pPr>
            <w:r w:rsidRPr="007D34C3">
              <w:rPr>
                <w:rFonts w:ascii="標楷體" w:eastAsia="標楷體" w:hAnsi="標楷體" w:hint="eastAsia"/>
                <w:color w:val="000000" w:themeColor="text1"/>
                <w:szCs w:val="24"/>
              </w:rPr>
              <w:t>項目</w:t>
            </w:r>
          </w:p>
        </w:tc>
        <w:tc>
          <w:tcPr>
            <w:tcW w:w="7654" w:type="dxa"/>
            <w:tcBorders>
              <w:top w:val="single" w:sz="2" w:space="0" w:color="auto"/>
              <w:left w:val="single" w:sz="2" w:space="0" w:color="auto"/>
              <w:bottom w:val="single" w:sz="2" w:space="0" w:color="auto"/>
              <w:right w:val="single" w:sz="18" w:space="0" w:color="auto"/>
            </w:tcBorders>
          </w:tcPr>
          <w:p w:rsidR="001E4D21" w:rsidRPr="007D34C3" w:rsidRDefault="001E4D21" w:rsidP="004F59F8">
            <w:pPr>
              <w:jc w:val="distribute"/>
              <w:rPr>
                <w:rFonts w:ascii="標楷體" w:eastAsia="標楷體" w:hAnsi="標楷體"/>
                <w:color w:val="000000" w:themeColor="text1"/>
                <w:szCs w:val="24"/>
              </w:rPr>
            </w:pPr>
            <w:r w:rsidRPr="007D34C3">
              <w:rPr>
                <w:rFonts w:ascii="標楷體" w:eastAsia="標楷體" w:hAnsi="標楷體" w:hint="eastAsia"/>
                <w:color w:val="000000" w:themeColor="text1"/>
                <w:szCs w:val="24"/>
              </w:rPr>
              <w:t>說明</w:t>
            </w:r>
          </w:p>
        </w:tc>
      </w:tr>
      <w:tr w:rsidR="001E4D21" w:rsidRPr="007D34C3" w:rsidTr="001E4D21">
        <w:trPr>
          <w:trHeight w:val="1392"/>
        </w:trPr>
        <w:tc>
          <w:tcPr>
            <w:tcW w:w="1985" w:type="dxa"/>
            <w:tcBorders>
              <w:top w:val="single" w:sz="2" w:space="0" w:color="auto"/>
              <w:left w:val="single" w:sz="18" w:space="0" w:color="auto"/>
              <w:bottom w:val="single" w:sz="4" w:space="0" w:color="auto"/>
              <w:right w:val="single" w:sz="2" w:space="0" w:color="auto"/>
            </w:tcBorders>
            <w:vAlign w:val="center"/>
          </w:tcPr>
          <w:p w:rsidR="001E4D21" w:rsidRPr="007D34C3" w:rsidRDefault="001E4D21" w:rsidP="004F59F8">
            <w:pPr>
              <w:ind w:left="120" w:hangingChars="50" w:hanging="120"/>
              <w:jc w:val="both"/>
              <w:rPr>
                <w:rFonts w:ascii="標楷體" w:eastAsia="標楷體" w:hAnsi="標楷體"/>
                <w:color w:val="000000" w:themeColor="text1"/>
                <w:szCs w:val="24"/>
              </w:rPr>
            </w:pPr>
            <w:r w:rsidRPr="007D34C3">
              <w:rPr>
                <w:rFonts w:ascii="標楷體" w:eastAsia="標楷體" w:hAnsi="標楷體" w:hint="eastAsia"/>
                <w:color w:val="000000" w:themeColor="text1"/>
                <w:szCs w:val="24"/>
              </w:rPr>
              <w:t>經理費分成(%)</w:t>
            </w:r>
          </w:p>
          <w:p w:rsidR="001E4D21" w:rsidRPr="007D34C3" w:rsidRDefault="001E4D21" w:rsidP="004F59F8">
            <w:pPr>
              <w:jc w:val="both"/>
              <w:rPr>
                <w:rFonts w:ascii="標楷體" w:eastAsia="標楷體" w:hAnsi="標楷體"/>
                <w:color w:val="000000" w:themeColor="text1"/>
                <w:szCs w:val="24"/>
              </w:rPr>
            </w:pPr>
            <w:r w:rsidRPr="007D34C3">
              <w:rPr>
                <w:rFonts w:ascii="標楷體" w:eastAsia="標楷體" w:hAnsi="標楷體" w:hint="eastAsia"/>
                <w:color w:val="000000" w:themeColor="text1"/>
                <w:szCs w:val="24"/>
              </w:rPr>
              <w:t>(依　台端持有金額)</w:t>
            </w:r>
          </w:p>
        </w:tc>
        <w:tc>
          <w:tcPr>
            <w:tcW w:w="7654" w:type="dxa"/>
            <w:tcBorders>
              <w:top w:val="single" w:sz="2" w:space="0" w:color="auto"/>
              <w:left w:val="single" w:sz="2" w:space="0" w:color="auto"/>
              <w:bottom w:val="single" w:sz="4" w:space="0" w:color="auto"/>
              <w:right w:val="single" w:sz="18" w:space="0" w:color="auto"/>
            </w:tcBorders>
          </w:tcPr>
          <w:p w:rsidR="001E4D21" w:rsidRPr="007D34C3" w:rsidRDefault="001E4D21" w:rsidP="004F59F8">
            <w:pPr>
              <w:jc w:val="both"/>
              <w:rPr>
                <w:rFonts w:ascii="標楷體" w:eastAsia="標楷體" w:hAnsi="標楷體"/>
                <w:color w:val="000000" w:themeColor="text1"/>
                <w:szCs w:val="24"/>
              </w:rPr>
            </w:pPr>
            <w:r w:rsidRPr="007D34C3">
              <w:rPr>
                <w:rFonts w:ascii="標楷體" w:eastAsia="標楷體" w:hAnsi="標楷體" w:cs="Times New Roman" w:hint="eastAsia"/>
                <w:color w:val="000000" w:themeColor="text1"/>
                <w:szCs w:val="20"/>
              </w:rPr>
              <w:t>本基金經理費收入為年率</w:t>
            </w:r>
            <w:r w:rsidRPr="007D34C3">
              <w:rPr>
                <w:rFonts w:ascii="標楷體" w:eastAsia="標楷體" w:hAnsi="標楷體" w:cs="Times New Roman" w:hint="eastAsia"/>
                <w:color w:val="000000" w:themeColor="text1"/>
                <w:szCs w:val="20"/>
                <w:u w:val="single"/>
                <w:shd w:val="pct15" w:color="auto" w:fill="FFFFFF"/>
              </w:rPr>
              <w:t xml:space="preserve">  </w:t>
            </w:r>
            <w:r w:rsidRPr="007D34C3">
              <w:rPr>
                <w:rFonts w:ascii="標楷體" w:eastAsia="標楷體" w:hAnsi="標楷體" w:cs="Times New Roman" w:hint="eastAsia"/>
                <w:color w:val="000000" w:themeColor="text1"/>
                <w:szCs w:val="20"/>
              </w:rPr>
              <w:t>%</w:t>
            </w:r>
            <w:proofErr w:type="gramStart"/>
            <w:r w:rsidRPr="007D34C3">
              <w:rPr>
                <w:rFonts w:ascii="標楷體" w:eastAsia="標楷體" w:hAnsi="標楷體" w:cs="Times New Roman" w:hint="eastAsia"/>
                <w:color w:val="000000" w:themeColor="text1"/>
                <w:szCs w:val="20"/>
              </w:rPr>
              <w:t>（</w:t>
            </w:r>
            <w:proofErr w:type="gramEnd"/>
            <w:r w:rsidRPr="007D34C3">
              <w:rPr>
                <w:rFonts w:ascii="標楷體" w:eastAsia="標楷體" w:hAnsi="標楷體" w:cs="Times New Roman" w:hint="eastAsia"/>
                <w:color w:val="000000" w:themeColor="text1"/>
                <w:szCs w:val="20"/>
              </w:rPr>
              <w:t>含經銷費</w:t>
            </w:r>
            <w:proofErr w:type="gramStart"/>
            <w:r w:rsidRPr="007D34C3">
              <w:rPr>
                <w:rFonts w:ascii="標楷體" w:eastAsia="標楷體" w:hAnsi="標楷體" w:cs="Times New Roman" w:hint="eastAsia"/>
                <w:color w:val="000000" w:themeColor="text1"/>
                <w:szCs w:val="20"/>
              </w:rPr>
              <w:t>（</w:t>
            </w:r>
            <w:proofErr w:type="gramEnd"/>
            <w:r w:rsidRPr="007D34C3">
              <w:rPr>
                <w:rFonts w:ascii="標楷體" w:eastAsia="標楷體" w:hAnsi="標楷體" w:cs="Times New Roman" w:hint="eastAsia"/>
                <w:color w:val="000000" w:themeColor="text1"/>
                <w:szCs w:val="20"/>
              </w:rPr>
              <w:t>Distribution Fee、</w:t>
            </w:r>
            <w:proofErr w:type="spellStart"/>
            <w:r w:rsidRPr="007D34C3">
              <w:rPr>
                <w:rFonts w:ascii="標楷體" w:eastAsia="標楷體" w:hAnsi="標楷體" w:cs="Times New Roman" w:hint="eastAsia"/>
                <w:color w:val="000000" w:themeColor="text1"/>
                <w:szCs w:val="20"/>
              </w:rPr>
              <w:t>12b</w:t>
            </w:r>
            <w:proofErr w:type="spellEnd"/>
            <w:r w:rsidRPr="007D34C3">
              <w:rPr>
                <w:rFonts w:ascii="標楷體" w:eastAsia="標楷體" w:hAnsi="標楷體" w:cs="Times New Roman" w:hint="eastAsia"/>
                <w:color w:val="000000" w:themeColor="text1"/>
                <w:szCs w:val="20"/>
              </w:rPr>
              <w:t>-1 Fee</w:t>
            </w:r>
            <w:proofErr w:type="gramStart"/>
            <w:r w:rsidRPr="007D34C3">
              <w:rPr>
                <w:rFonts w:ascii="標楷體" w:eastAsia="標楷體" w:hAnsi="標楷體" w:cs="Times New Roman" w:hint="eastAsia"/>
                <w:color w:val="000000" w:themeColor="text1"/>
                <w:szCs w:val="20"/>
              </w:rPr>
              <w:t>）</w:t>
            </w:r>
            <w:proofErr w:type="gramEnd"/>
            <w:r w:rsidRPr="007D34C3">
              <w:rPr>
                <w:rFonts w:ascii="標楷體" w:eastAsia="標楷體" w:hAnsi="標楷體" w:cs="Times New Roman" w:hint="eastAsia"/>
                <w:color w:val="000000" w:themeColor="text1"/>
                <w:szCs w:val="20"/>
              </w:rPr>
              <w:t>等</w:t>
            </w:r>
            <w:proofErr w:type="gramStart"/>
            <w:r w:rsidRPr="007D34C3">
              <w:rPr>
                <w:rFonts w:ascii="標楷體" w:eastAsia="標楷體" w:hAnsi="標楷體" w:cs="Times New Roman" w:hint="eastAsia"/>
                <w:color w:val="000000" w:themeColor="text1"/>
                <w:szCs w:val="20"/>
              </w:rPr>
              <w:t>）</w:t>
            </w:r>
            <w:proofErr w:type="gramEnd"/>
            <w:r w:rsidRPr="007D34C3">
              <w:rPr>
                <w:rFonts w:ascii="標楷體" w:eastAsia="標楷體" w:hAnsi="標楷體" w:cs="Times New Roman" w:hint="eastAsia"/>
                <w:color w:val="000000" w:themeColor="text1"/>
                <w:szCs w:val="20"/>
              </w:rPr>
              <w:t>，台端持有本基金</w:t>
            </w:r>
            <w:proofErr w:type="gramStart"/>
            <w:r w:rsidRPr="007D34C3">
              <w:rPr>
                <w:rFonts w:ascii="標楷體" w:eastAsia="標楷體" w:hAnsi="標楷體" w:cs="Times New Roman" w:hint="eastAsia"/>
                <w:color w:val="000000" w:themeColor="text1"/>
                <w:szCs w:val="20"/>
              </w:rPr>
              <w:t>期間，</w:t>
            </w:r>
            <w:proofErr w:type="gramEnd"/>
            <w:r w:rsidRPr="007D34C3">
              <w:rPr>
                <w:rFonts w:ascii="標楷體" w:eastAsia="標楷體" w:hAnsi="標楷體" w:cs="Times New Roman" w:hint="eastAsia"/>
                <w:color w:val="000000" w:themeColor="text1"/>
                <w:szCs w:val="20"/>
              </w:rPr>
              <w:t>本銀行收取年率</w:t>
            </w:r>
            <w:r w:rsidRPr="007D34C3">
              <w:rPr>
                <w:rFonts w:ascii="標楷體" w:eastAsia="標楷體" w:hAnsi="標楷體" w:cs="Times New Roman" w:hint="eastAsia"/>
                <w:bCs/>
                <w:color w:val="000000" w:themeColor="text1"/>
                <w:szCs w:val="20"/>
                <w:u w:val="single"/>
                <w:shd w:val="pct15" w:color="auto" w:fill="FFFFFF"/>
              </w:rPr>
              <w:t xml:space="preserve">  </w:t>
            </w:r>
            <w:r w:rsidRPr="007D34C3">
              <w:rPr>
                <w:rFonts w:ascii="標楷體" w:eastAsia="標楷體" w:hAnsi="標楷體" w:cs="Times New Roman" w:hint="eastAsia"/>
                <w:color w:val="000000" w:themeColor="text1"/>
                <w:szCs w:val="20"/>
              </w:rPr>
              <w:t>%（或不多於年率</w:t>
            </w:r>
            <w:r w:rsidRPr="007D34C3">
              <w:rPr>
                <w:rFonts w:ascii="標楷體" w:eastAsia="標楷體" w:hAnsi="標楷體" w:cs="Times New Roman" w:hint="eastAsia"/>
                <w:bCs/>
                <w:color w:val="000000" w:themeColor="text1"/>
                <w:szCs w:val="20"/>
                <w:u w:val="single"/>
                <w:shd w:val="pct15" w:color="auto" w:fill="FFFFFF"/>
              </w:rPr>
              <w:t xml:space="preserve">  </w:t>
            </w:r>
            <w:r w:rsidRPr="007D34C3">
              <w:rPr>
                <w:rFonts w:ascii="標楷體" w:eastAsia="標楷體" w:hAnsi="標楷體" w:cs="Times New Roman" w:hint="eastAsia"/>
                <w:color w:val="000000" w:themeColor="text1"/>
                <w:szCs w:val="20"/>
              </w:rPr>
              <w:t>% ）。</w:t>
            </w:r>
          </w:p>
        </w:tc>
      </w:tr>
      <w:tr w:rsidR="001E4D21" w:rsidRPr="007D34C3" w:rsidTr="001E4D21">
        <w:trPr>
          <w:trHeight w:val="792"/>
        </w:trPr>
        <w:tc>
          <w:tcPr>
            <w:tcW w:w="1985" w:type="dxa"/>
            <w:tcBorders>
              <w:top w:val="single" w:sz="4" w:space="0" w:color="auto"/>
              <w:left w:val="single" w:sz="18" w:space="0" w:color="auto"/>
              <w:bottom w:val="single" w:sz="4" w:space="0" w:color="auto"/>
              <w:right w:val="single" w:sz="4" w:space="0" w:color="auto"/>
            </w:tcBorders>
            <w:vAlign w:val="center"/>
          </w:tcPr>
          <w:p w:rsidR="001E4D21" w:rsidRPr="007D34C3" w:rsidRDefault="001E4D21" w:rsidP="004F59F8">
            <w:pPr>
              <w:jc w:val="both"/>
              <w:rPr>
                <w:rFonts w:ascii="標楷體" w:eastAsia="標楷體" w:hAnsi="標楷體"/>
                <w:color w:val="000000" w:themeColor="text1"/>
                <w:szCs w:val="24"/>
              </w:rPr>
            </w:pPr>
            <w:r w:rsidRPr="007D34C3">
              <w:rPr>
                <w:rFonts w:ascii="標楷體" w:eastAsia="標楷體" w:hAnsi="標楷體" w:hint="eastAsia"/>
                <w:color w:val="000000" w:themeColor="text1"/>
                <w:szCs w:val="24"/>
              </w:rPr>
              <w:t>贊助或提供對銷售機構之產品說明會及員工教育訓練</w:t>
            </w:r>
          </w:p>
        </w:tc>
        <w:tc>
          <w:tcPr>
            <w:tcW w:w="7654" w:type="dxa"/>
            <w:tcBorders>
              <w:top w:val="single" w:sz="4" w:space="0" w:color="auto"/>
              <w:left w:val="single" w:sz="4" w:space="0" w:color="auto"/>
              <w:bottom w:val="single" w:sz="4" w:space="0" w:color="auto"/>
              <w:right w:val="single" w:sz="18" w:space="0" w:color="auto"/>
            </w:tcBorders>
          </w:tcPr>
          <w:p w:rsidR="001E4D21" w:rsidRPr="007D34C3" w:rsidRDefault="001E4D21" w:rsidP="0099597B">
            <w:pPr>
              <w:jc w:val="both"/>
              <w:rPr>
                <w:rFonts w:ascii="標楷體" w:eastAsia="標楷體" w:hAnsi="標楷體"/>
                <w:color w:val="000000" w:themeColor="text1"/>
                <w:szCs w:val="24"/>
              </w:rPr>
            </w:pPr>
            <w:r w:rsidRPr="007D34C3">
              <w:rPr>
                <w:rFonts w:ascii="標楷體" w:eastAsia="標楷體" w:hAnsi="標楷體" w:cs="Times New Roman" w:hint="eastAsia"/>
                <w:color w:val="000000" w:themeColor="text1"/>
                <w:szCs w:val="20"/>
              </w:rPr>
              <w:t>本銀行</w:t>
            </w:r>
            <w:r w:rsidRPr="007D34C3">
              <w:rPr>
                <w:rFonts w:ascii="標楷體" w:eastAsia="標楷體" w:hAnsi="標楷體" w:cs="Times New Roman" w:hint="eastAsia"/>
                <w:color w:val="000000" w:themeColor="text1"/>
                <w:szCs w:val="20"/>
                <w:u w:val="single"/>
                <w:shd w:val="pct15" w:color="auto" w:fill="FFFFFF"/>
              </w:rPr>
              <w:t xml:space="preserve">   </w:t>
            </w:r>
            <w:r w:rsidRPr="007D34C3">
              <w:rPr>
                <w:rFonts w:ascii="標楷體" w:eastAsia="標楷體" w:hAnsi="標楷體" w:cs="Times New Roman" w:hint="eastAsia"/>
                <w:color w:val="000000" w:themeColor="text1"/>
                <w:szCs w:val="20"/>
              </w:rPr>
              <w:t>年度銷售</w:t>
            </w:r>
            <w:proofErr w:type="gramStart"/>
            <w:r w:rsidRPr="007D34C3">
              <w:rPr>
                <w:rFonts w:ascii="標楷體" w:eastAsia="標楷體" w:hAnsi="標楷體" w:cs="Times New Roman" w:hint="eastAsia"/>
                <w:color w:val="000000" w:themeColor="text1"/>
                <w:szCs w:val="20"/>
                <w:u w:val="single"/>
                <w:shd w:val="pct15" w:color="auto" w:fill="FFFFFF"/>
              </w:rPr>
              <w:t>ＯＯ</w:t>
            </w:r>
            <w:proofErr w:type="gramEnd"/>
            <w:r w:rsidRPr="007D34C3">
              <w:rPr>
                <w:rFonts w:ascii="標楷體" w:eastAsia="標楷體" w:hAnsi="標楷體" w:cs="Times New Roman" w:hint="eastAsia"/>
                <w:color w:val="000000" w:themeColor="text1"/>
                <w:szCs w:val="20"/>
              </w:rPr>
              <w:t>投信基金，預計可收取</w:t>
            </w:r>
            <w:r w:rsidRPr="007D34C3">
              <w:rPr>
                <w:rFonts w:ascii="標楷體" w:eastAsia="標楷體" w:hAnsi="標楷體" w:cs="Times New Roman"/>
                <w:color w:val="000000" w:themeColor="text1"/>
                <w:szCs w:val="20"/>
                <w:u w:val="single"/>
                <w:shd w:val="pct15" w:color="auto" w:fill="FFFFFF"/>
              </w:rPr>
              <w:t xml:space="preserve"> </w:t>
            </w:r>
            <w:r w:rsidRPr="007D34C3">
              <w:rPr>
                <w:rFonts w:ascii="標楷體" w:eastAsia="標楷體" w:hAnsi="標楷體" w:cs="Times New Roman" w:hint="eastAsia"/>
                <w:color w:val="000000" w:themeColor="text1"/>
                <w:szCs w:val="20"/>
                <w:u w:val="single"/>
                <w:shd w:val="pct15" w:color="auto" w:fill="FFFFFF"/>
              </w:rPr>
              <w:t xml:space="preserve">  </w:t>
            </w:r>
            <w:r w:rsidRPr="007D34C3">
              <w:rPr>
                <w:rFonts w:ascii="標楷體" w:eastAsia="標楷體" w:hAnsi="標楷體" w:cs="Times New Roman" w:hint="eastAsia"/>
                <w:color w:val="000000" w:themeColor="text1"/>
                <w:szCs w:val="20"/>
              </w:rPr>
              <w:t>元之產品說明會及員工教育訓練</w:t>
            </w:r>
            <w:r w:rsidR="0099597B">
              <w:rPr>
                <w:rFonts w:ascii="標楷體" w:eastAsia="標楷體" w:hAnsi="標楷體" w:cs="Times New Roman" w:hint="eastAsia"/>
                <w:color w:val="000000" w:themeColor="text1"/>
                <w:szCs w:val="20"/>
              </w:rPr>
              <w:t>之</w:t>
            </w:r>
            <w:r w:rsidRPr="007D34C3">
              <w:rPr>
                <w:rFonts w:ascii="標楷體" w:eastAsia="標楷體" w:hAnsi="標楷體" w:cs="Times New Roman" w:hint="eastAsia"/>
                <w:color w:val="000000" w:themeColor="text1"/>
                <w:szCs w:val="20"/>
              </w:rPr>
              <w:t>金</w:t>
            </w:r>
            <w:r w:rsidR="0099597B">
              <w:rPr>
                <w:rFonts w:ascii="標楷體" w:eastAsia="標楷體" w:hAnsi="標楷體" w:cs="Times New Roman" w:hint="eastAsia"/>
                <w:color w:val="000000" w:themeColor="text1"/>
                <w:szCs w:val="20"/>
              </w:rPr>
              <w:t>額</w:t>
            </w:r>
            <w:r w:rsidRPr="007D34C3">
              <w:rPr>
                <w:rFonts w:ascii="標楷體" w:eastAsia="標楷體" w:hAnsi="標楷體" w:cs="Times New Roman" w:hint="eastAsia"/>
                <w:color w:val="000000" w:themeColor="text1"/>
                <w:szCs w:val="20"/>
              </w:rPr>
              <w:t>。</w:t>
            </w:r>
          </w:p>
        </w:tc>
      </w:tr>
      <w:tr w:rsidR="001E4D21" w:rsidRPr="007D34C3" w:rsidTr="001E4D21">
        <w:trPr>
          <w:trHeight w:val="1230"/>
        </w:trPr>
        <w:tc>
          <w:tcPr>
            <w:tcW w:w="1985" w:type="dxa"/>
            <w:tcBorders>
              <w:top w:val="single" w:sz="4" w:space="0" w:color="auto"/>
              <w:left w:val="single" w:sz="18" w:space="0" w:color="auto"/>
              <w:bottom w:val="single" w:sz="18" w:space="0" w:color="auto"/>
              <w:right w:val="single" w:sz="4" w:space="0" w:color="auto"/>
            </w:tcBorders>
            <w:vAlign w:val="center"/>
          </w:tcPr>
          <w:p w:rsidR="001E4D21" w:rsidRPr="007D34C3" w:rsidRDefault="001E4D21" w:rsidP="004F59F8">
            <w:pPr>
              <w:rPr>
                <w:rFonts w:ascii="標楷體" w:eastAsia="標楷體" w:hAnsi="標楷體" w:cs="Times New Roman"/>
                <w:color w:val="000000" w:themeColor="text1"/>
                <w:szCs w:val="20"/>
              </w:rPr>
            </w:pPr>
            <w:r w:rsidRPr="007D34C3">
              <w:rPr>
                <w:rFonts w:ascii="標楷體" w:eastAsia="標楷體" w:hAnsi="標楷體" w:cs="Times New Roman" w:hint="eastAsia"/>
                <w:color w:val="000000" w:themeColor="text1"/>
                <w:szCs w:val="20"/>
              </w:rPr>
              <w:t>其他報酬</w:t>
            </w:r>
          </w:p>
          <w:p w:rsidR="001E4D21" w:rsidRPr="007D34C3" w:rsidRDefault="001E4D21" w:rsidP="004F59F8">
            <w:pPr>
              <w:rPr>
                <w:rFonts w:ascii="標楷體" w:eastAsia="標楷體" w:hAnsi="標楷體"/>
                <w:color w:val="000000" w:themeColor="text1"/>
                <w:szCs w:val="24"/>
              </w:rPr>
            </w:pPr>
          </w:p>
        </w:tc>
        <w:tc>
          <w:tcPr>
            <w:tcW w:w="7654" w:type="dxa"/>
            <w:tcBorders>
              <w:top w:val="single" w:sz="4" w:space="0" w:color="auto"/>
              <w:left w:val="single" w:sz="4" w:space="0" w:color="auto"/>
              <w:bottom w:val="single" w:sz="18" w:space="0" w:color="auto"/>
              <w:right w:val="single" w:sz="18" w:space="0" w:color="auto"/>
            </w:tcBorders>
          </w:tcPr>
          <w:p w:rsidR="001E4D21" w:rsidRPr="007D34C3" w:rsidRDefault="001E4D21" w:rsidP="004F59F8">
            <w:pPr>
              <w:widowControl/>
              <w:rPr>
                <w:rFonts w:ascii="標楷體" w:eastAsia="標楷體" w:hAnsi="標楷體" w:cs="Times New Roman"/>
                <w:color w:val="000000" w:themeColor="text1"/>
                <w:szCs w:val="20"/>
              </w:rPr>
            </w:pPr>
            <w:r w:rsidRPr="007D34C3">
              <w:rPr>
                <w:rFonts w:ascii="標楷體" w:eastAsia="標楷體" w:hAnsi="標楷體" w:cs="Times New Roman" w:hint="eastAsia"/>
                <w:color w:val="000000" w:themeColor="text1"/>
                <w:szCs w:val="20"/>
              </w:rPr>
              <w:t>1.本銀行全年自</w:t>
            </w:r>
            <w:proofErr w:type="gramStart"/>
            <w:r w:rsidRPr="007D34C3">
              <w:rPr>
                <w:rFonts w:ascii="標楷體" w:eastAsia="標楷體" w:hAnsi="標楷體" w:cs="Times New Roman" w:hint="eastAsia"/>
                <w:color w:val="000000" w:themeColor="text1"/>
                <w:szCs w:val="20"/>
                <w:u w:val="single"/>
                <w:shd w:val="pct15" w:color="auto" w:fill="FFFFFF"/>
              </w:rPr>
              <w:t>ＯＯ</w:t>
            </w:r>
            <w:proofErr w:type="gramEnd"/>
            <w:r w:rsidRPr="007D34C3">
              <w:rPr>
                <w:rFonts w:ascii="標楷體" w:eastAsia="標楷體" w:hAnsi="標楷體" w:cs="Times New Roman" w:hint="eastAsia"/>
                <w:color w:val="000000" w:themeColor="text1"/>
                <w:szCs w:val="20"/>
              </w:rPr>
              <w:t>投信獲得其他報酬</w:t>
            </w:r>
            <w:r w:rsidRPr="007D34C3">
              <w:rPr>
                <w:rFonts w:ascii="標楷體" w:eastAsia="標楷體" w:hAnsi="標楷體" w:cs="Times New Roman" w:hint="eastAsia"/>
                <w:color w:val="000000" w:themeColor="text1"/>
                <w:szCs w:val="20"/>
                <w:u w:val="single"/>
                <w:shd w:val="pct15" w:color="auto" w:fill="FFFFFF"/>
              </w:rPr>
              <w:t xml:space="preserve">   </w:t>
            </w:r>
            <w:r w:rsidRPr="007D34C3">
              <w:rPr>
                <w:rFonts w:ascii="標楷體" w:eastAsia="標楷體" w:hAnsi="標楷體" w:cs="Times New Roman" w:hint="eastAsia"/>
                <w:color w:val="000000" w:themeColor="text1"/>
                <w:szCs w:val="20"/>
              </w:rPr>
              <w:t>元。</w:t>
            </w:r>
          </w:p>
          <w:p w:rsidR="001E4D21" w:rsidRPr="007D34C3" w:rsidRDefault="001E4D21" w:rsidP="004F59F8">
            <w:pPr>
              <w:widowControl/>
              <w:rPr>
                <w:rFonts w:ascii="標楷體" w:eastAsia="標楷體" w:hAnsi="標楷體" w:cs="Times New Roman"/>
                <w:color w:val="000000" w:themeColor="text1"/>
                <w:szCs w:val="20"/>
              </w:rPr>
            </w:pPr>
            <w:r w:rsidRPr="007D34C3">
              <w:rPr>
                <w:rFonts w:ascii="標楷體" w:eastAsia="標楷體" w:hAnsi="標楷體" w:cs="Times New Roman" w:hint="eastAsia"/>
                <w:color w:val="000000" w:themeColor="text1"/>
                <w:szCs w:val="20"/>
              </w:rPr>
              <w:t>2.本銀行全年自</w:t>
            </w:r>
            <w:proofErr w:type="gramStart"/>
            <w:r w:rsidRPr="007D34C3">
              <w:rPr>
                <w:rFonts w:ascii="標楷體" w:eastAsia="標楷體" w:hAnsi="標楷體" w:cs="Times New Roman" w:hint="eastAsia"/>
                <w:color w:val="000000" w:themeColor="text1"/>
                <w:szCs w:val="20"/>
                <w:u w:val="single"/>
                <w:shd w:val="pct15" w:color="auto" w:fill="FFFFFF"/>
              </w:rPr>
              <w:t>ＯＯ</w:t>
            </w:r>
            <w:proofErr w:type="gramEnd"/>
            <w:r w:rsidRPr="007D34C3">
              <w:rPr>
                <w:rFonts w:ascii="標楷體" w:eastAsia="標楷體" w:hAnsi="標楷體" w:cs="Times New Roman" w:hint="eastAsia"/>
                <w:color w:val="000000" w:themeColor="text1"/>
                <w:szCs w:val="20"/>
              </w:rPr>
              <w:t>總代理人獲得其他報酬</w:t>
            </w:r>
            <w:r w:rsidRPr="007D34C3">
              <w:rPr>
                <w:rFonts w:ascii="標楷體" w:eastAsia="標楷體" w:hAnsi="標楷體" w:cs="Times New Roman" w:hint="eastAsia"/>
                <w:color w:val="000000" w:themeColor="text1"/>
                <w:szCs w:val="20"/>
                <w:u w:val="single"/>
                <w:shd w:val="pct15" w:color="auto" w:fill="FFFFFF"/>
              </w:rPr>
              <w:t xml:space="preserve">   </w:t>
            </w:r>
            <w:r w:rsidRPr="007D34C3">
              <w:rPr>
                <w:rFonts w:ascii="標楷體" w:eastAsia="標楷體" w:hAnsi="標楷體" w:cs="Times New Roman" w:hint="eastAsia"/>
                <w:color w:val="000000" w:themeColor="text1"/>
                <w:szCs w:val="20"/>
              </w:rPr>
              <w:t>元。</w:t>
            </w:r>
          </w:p>
          <w:p w:rsidR="001E4D21" w:rsidRPr="007D34C3" w:rsidRDefault="001E4D21" w:rsidP="004F59F8">
            <w:pPr>
              <w:widowControl/>
              <w:rPr>
                <w:rFonts w:ascii="標楷體" w:eastAsia="標楷體" w:hAnsi="標楷體" w:cs="Times New Roman"/>
                <w:color w:val="000000" w:themeColor="text1"/>
                <w:szCs w:val="20"/>
              </w:rPr>
            </w:pPr>
            <w:r w:rsidRPr="007D34C3">
              <w:rPr>
                <w:rFonts w:ascii="標楷體" w:eastAsia="標楷體" w:hAnsi="標楷體" w:cs="Times New Roman" w:hint="eastAsia"/>
                <w:color w:val="000000" w:themeColor="text1"/>
                <w:szCs w:val="20"/>
              </w:rPr>
              <w:t>3.本銀行全年自</w:t>
            </w:r>
            <w:proofErr w:type="gramStart"/>
            <w:r w:rsidRPr="007D34C3">
              <w:rPr>
                <w:rFonts w:ascii="標楷體" w:eastAsia="標楷體" w:hAnsi="標楷體" w:cs="Times New Roman" w:hint="eastAsia"/>
                <w:color w:val="000000" w:themeColor="text1"/>
                <w:szCs w:val="20"/>
                <w:u w:val="single"/>
                <w:shd w:val="pct15" w:color="auto" w:fill="FFFFFF"/>
              </w:rPr>
              <w:t>ＯＯ</w:t>
            </w:r>
            <w:proofErr w:type="gramEnd"/>
            <w:r w:rsidRPr="007D34C3">
              <w:rPr>
                <w:rFonts w:ascii="標楷體" w:eastAsia="標楷體" w:hAnsi="標楷體" w:cs="Times New Roman" w:hint="eastAsia"/>
                <w:color w:val="000000" w:themeColor="text1"/>
                <w:szCs w:val="20"/>
              </w:rPr>
              <w:t>境外基金機構獲得其他報酬</w:t>
            </w:r>
            <w:r w:rsidRPr="007D34C3">
              <w:rPr>
                <w:rFonts w:ascii="標楷體" w:eastAsia="標楷體" w:hAnsi="標楷體" w:cs="Times New Roman" w:hint="eastAsia"/>
                <w:color w:val="000000" w:themeColor="text1"/>
                <w:szCs w:val="20"/>
                <w:u w:val="single"/>
                <w:shd w:val="pct15" w:color="auto" w:fill="FFFFFF"/>
              </w:rPr>
              <w:t xml:space="preserve">   </w:t>
            </w:r>
            <w:r w:rsidRPr="007D34C3">
              <w:rPr>
                <w:rFonts w:ascii="標楷體" w:eastAsia="標楷體" w:hAnsi="標楷體" w:cs="Times New Roman" w:hint="eastAsia"/>
                <w:color w:val="000000" w:themeColor="text1"/>
                <w:szCs w:val="20"/>
              </w:rPr>
              <w:t>元。</w:t>
            </w:r>
          </w:p>
        </w:tc>
      </w:tr>
    </w:tbl>
    <w:p w:rsidR="001E4D21" w:rsidRPr="007D34C3" w:rsidRDefault="001E4D21" w:rsidP="001E4D21">
      <w:pPr>
        <w:spacing w:line="360" w:lineRule="exact"/>
        <w:ind w:rightChars="24" w:right="58"/>
        <w:jc w:val="both"/>
        <w:rPr>
          <w:rFonts w:ascii="標楷體" w:eastAsia="標楷體" w:hAnsi="標楷體" w:cs="Times New Roman"/>
          <w:color w:val="000000" w:themeColor="text1"/>
          <w:szCs w:val="20"/>
        </w:rPr>
      </w:pPr>
    </w:p>
    <w:p w:rsidR="001E4D21" w:rsidRPr="007D34C3" w:rsidRDefault="001E4D21" w:rsidP="001E4D21">
      <w:pPr>
        <w:spacing w:line="360" w:lineRule="exact"/>
        <w:ind w:rightChars="24" w:right="58"/>
        <w:jc w:val="both"/>
        <w:rPr>
          <w:rFonts w:ascii="標楷體" w:eastAsia="標楷體" w:hAnsi="標楷體" w:cs="Times New Roman"/>
          <w:color w:val="000000" w:themeColor="text1"/>
          <w:szCs w:val="20"/>
        </w:rPr>
      </w:pPr>
      <w:r w:rsidRPr="007D34C3">
        <w:rPr>
          <w:rFonts w:ascii="標楷體" w:eastAsia="標楷體" w:hAnsi="標楷體" w:cs="Times New Roman" w:hint="eastAsia"/>
          <w:b/>
          <w:color w:val="000000" w:themeColor="text1"/>
          <w:szCs w:val="20"/>
        </w:rPr>
        <w:t>計算說明</w:t>
      </w:r>
      <w:r w:rsidRPr="007D34C3">
        <w:rPr>
          <w:rFonts w:ascii="標楷體" w:eastAsia="標楷體" w:hAnsi="標楷體" w:cs="Times New Roman" w:hint="eastAsia"/>
          <w:color w:val="000000" w:themeColor="text1"/>
          <w:szCs w:val="20"/>
        </w:rPr>
        <w:t>：</w:t>
      </w:r>
      <w:r w:rsidRPr="007D34C3">
        <w:rPr>
          <w:rFonts w:ascii="標楷體" w:eastAsia="標楷體" w:hAnsi="標楷體" w:cs="Times New Roman"/>
          <w:color w:val="000000" w:themeColor="text1"/>
          <w:szCs w:val="20"/>
        </w:rPr>
        <w:t>「</w:t>
      </w:r>
      <w:proofErr w:type="gramStart"/>
      <w:r w:rsidRPr="007D34C3">
        <w:rPr>
          <w:rFonts w:ascii="標楷體" w:eastAsia="標楷體" w:hAnsi="標楷體" w:cs="Times New Roman" w:hint="eastAsia"/>
          <w:color w:val="000000" w:themeColor="text1"/>
          <w:szCs w:val="20"/>
          <w:u w:val="single"/>
          <w:shd w:val="pct15" w:color="auto" w:fill="FFFFFF"/>
        </w:rPr>
        <w:t>ＯＯ</w:t>
      </w:r>
      <w:proofErr w:type="gramEnd"/>
      <w:r w:rsidRPr="007D34C3">
        <w:rPr>
          <w:rFonts w:ascii="標楷體" w:eastAsia="標楷體" w:hAnsi="標楷體" w:cs="Times New Roman" w:hint="eastAsia"/>
          <w:color w:val="000000" w:themeColor="text1"/>
          <w:szCs w:val="20"/>
        </w:rPr>
        <w:t>證券投資信託</w:t>
      </w:r>
      <w:r w:rsidRPr="007D34C3">
        <w:rPr>
          <w:rFonts w:ascii="標楷體" w:eastAsia="標楷體" w:hAnsi="標楷體" w:cs="Times New Roman"/>
          <w:color w:val="000000" w:themeColor="text1"/>
          <w:szCs w:val="20"/>
        </w:rPr>
        <w:t>基金」</w:t>
      </w:r>
      <w:r w:rsidRPr="007D34C3">
        <w:rPr>
          <w:rFonts w:ascii="標楷體" w:eastAsia="標楷體" w:hAnsi="標楷體" w:cs="Times New Roman" w:hint="eastAsia"/>
          <w:color w:val="000000" w:themeColor="text1"/>
          <w:szCs w:val="20"/>
        </w:rPr>
        <w:t>（或附表所列基金）</w:t>
      </w:r>
      <w:r w:rsidRPr="007D34C3">
        <w:rPr>
          <w:rFonts w:ascii="標楷體" w:eastAsia="標楷體" w:hAnsi="標楷體" w:cs="Times New Roman"/>
          <w:color w:val="000000" w:themeColor="text1"/>
          <w:szCs w:val="20"/>
        </w:rPr>
        <w:t>之申購手續費</w:t>
      </w:r>
      <w:r w:rsidRPr="007D34C3">
        <w:rPr>
          <w:rFonts w:ascii="標楷體" w:eastAsia="標楷體" w:hAnsi="標楷體" w:cs="Times New Roman" w:hint="eastAsia"/>
          <w:color w:val="000000" w:themeColor="text1"/>
          <w:szCs w:val="20"/>
          <w:u w:val="single"/>
          <w:shd w:val="pct15" w:color="auto" w:fill="FFFFFF"/>
        </w:rPr>
        <w:t xml:space="preserve">  </w:t>
      </w:r>
      <w:r w:rsidRPr="007D34C3">
        <w:rPr>
          <w:rFonts w:ascii="標楷體" w:eastAsia="標楷體" w:hAnsi="標楷體" w:cs="Times New Roman"/>
          <w:color w:val="000000" w:themeColor="text1"/>
          <w:szCs w:val="20"/>
        </w:rPr>
        <w:t>%及經理費</w:t>
      </w:r>
      <w:r w:rsidRPr="007D34C3">
        <w:rPr>
          <w:rFonts w:ascii="標楷體" w:eastAsia="標楷體" w:hAnsi="標楷體" w:cs="Times New Roman" w:hint="eastAsia"/>
          <w:color w:val="000000" w:themeColor="text1"/>
          <w:szCs w:val="20"/>
          <w:u w:val="single"/>
          <w:shd w:val="pct15" w:color="auto" w:fill="FFFFFF"/>
        </w:rPr>
        <w:t xml:space="preserve">  </w:t>
      </w:r>
      <w:r w:rsidRPr="007D34C3">
        <w:rPr>
          <w:rFonts w:ascii="標楷體" w:eastAsia="標楷體" w:hAnsi="標楷體" w:cs="Times New Roman"/>
          <w:color w:val="000000" w:themeColor="text1"/>
          <w:szCs w:val="20"/>
        </w:rPr>
        <w:t>%，本銀行銷售之申購手續費分成</w:t>
      </w:r>
      <w:r w:rsidRPr="007D34C3">
        <w:rPr>
          <w:rFonts w:ascii="標楷體" w:eastAsia="標楷體" w:hAnsi="標楷體" w:cs="Times New Roman" w:hint="eastAsia"/>
          <w:color w:val="000000" w:themeColor="text1"/>
          <w:szCs w:val="20"/>
        </w:rPr>
        <w:t>不多於</w:t>
      </w:r>
      <w:r w:rsidRPr="007D34C3">
        <w:rPr>
          <w:rFonts w:ascii="標楷體" w:eastAsia="標楷體" w:hAnsi="標楷體" w:cs="Times New Roman" w:hint="eastAsia"/>
          <w:color w:val="000000" w:themeColor="text1"/>
          <w:szCs w:val="20"/>
          <w:u w:val="single"/>
          <w:shd w:val="pct15" w:color="auto" w:fill="FFFFFF"/>
        </w:rPr>
        <w:t xml:space="preserve">  </w:t>
      </w:r>
      <w:r w:rsidRPr="007D34C3">
        <w:rPr>
          <w:rFonts w:ascii="標楷體" w:eastAsia="標楷體" w:hAnsi="標楷體" w:cs="Times New Roman"/>
          <w:color w:val="000000" w:themeColor="text1"/>
          <w:szCs w:val="20"/>
        </w:rPr>
        <w:t>%、經理費分成</w:t>
      </w:r>
      <w:r w:rsidRPr="007D34C3">
        <w:rPr>
          <w:rFonts w:ascii="標楷體" w:eastAsia="標楷體" w:hAnsi="標楷體" w:cs="Times New Roman" w:hint="eastAsia"/>
          <w:color w:val="000000" w:themeColor="text1"/>
          <w:szCs w:val="20"/>
        </w:rPr>
        <w:t>不多於</w:t>
      </w:r>
      <w:r w:rsidRPr="007D34C3">
        <w:rPr>
          <w:rFonts w:ascii="標楷體" w:eastAsia="標楷體" w:hAnsi="標楷體" w:cs="Times New Roman" w:hint="eastAsia"/>
          <w:color w:val="000000" w:themeColor="text1"/>
          <w:szCs w:val="20"/>
          <w:u w:val="single"/>
          <w:shd w:val="pct15" w:color="auto" w:fill="FFFFFF"/>
        </w:rPr>
        <w:t xml:space="preserve">  </w:t>
      </w:r>
      <w:r w:rsidRPr="007D34C3">
        <w:rPr>
          <w:rFonts w:ascii="標楷體" w:eastAsia="標楷體" w:hAnsi="標楷體" w:cs="Times New Roman"/>
          <w:color w:val="000000" w:themeColor="text1"/>
          <w:szCs w:val="20"/>
        </w:rPr>
        <w:t>%</w:t>
      </w:r>
      <w:r w:rsidRPr="007D34C3">
        <w:rPr>
          <w:rFonts w:ascii="標楷體" w:eastAsia="標楷體" w:hAnsi="標楷體" w:cs="Times New Roman" w:hint="eastAsia"/>
          <w:color w:val="000000" w:themeColor="text1"/>
          <w:szCs w:val="20"/>
        </w:rPr>
        <w:t>，</w:t>
      </w:r>
      <w:r w:rsidRPr="007D34C3">
        <w:rPr>
          <w:rFonts w:ascii="標楷體" w:eastAsia="標楷體" w:hAnsi="標楷體" w:cs="Times New Roman"/>
          <w:color w:val="000000" w:themeColor="text1"/>
          <w:szCs w:val="20"/>
        </w:rPr>
        <w:t>另本銀行</w:t>
      </w:r>
      <w:r w:rsidRPr="007D34C3">
        <w:rPr>
          <w:rFonts w:ascii="標楷體" w:eastAsia="標楷體" w:hAnsi="標楷體" w:cs="Times New Roman" w:hint="eastAsia"/>
          <w:color w:val="000000" w:themeColor="text1"/>
          <w:szCs w:val="20"/>
          <w:u w:val="single"/>
          <w:shd w:val="pct15" w:color="auto" w:fill="FFFFFF"/>
        </w:rPr>
        <w:t xml:space="preserve">  </w:t>
      </w:r>
      <w:r w:rsidRPr="007D34C3">
        <w:rPr>
          <w:rFonts w:ascii="標楷體" w:eastAsia="標楷體" w:hAnsi="標楷體" w:cs="Times New Roman"/>
          <w:color w:val="000000" w:themeColor="text1"/>
          <w:szCs w:val="20"/>
        </w:rPr>
        <w:t>年度銷售</w:t>
      </w:r>
      <w:proofErr w:type="gramStart"/>
      <w:r w:rsidRPr="007D34C3">
        <w:rPr>
          <w:rFonts w:ascii="標楷體" w:eastAsia="標楷體" w:hAnsi="標楷體" w:cs="Times New Roman" w:hint="eastAsia"/>
          <w:color w:val="000000" w:themeColor="text1"/>
          <w:szCs w:val="20"/>
          <w:u w:val="single"/>
          <w:shd w:val="pct15" w:color="auto" w:fill="FFFFFF"/>
        </w:rPr>
        <w:t>ＯＯ</w:t>
      </w:r>
      <w:proofErr w:type="gramEnd"/>
      <w:r w:rsidRPr="007D34C3">
        <w:rPr>
          <w:rFonts w:ascii="標楷體" w:eastAsia="標楷體" w:hAnsi="標楷體" w:cs="Times New Roman"/>
          <w:color w:val="000000" w:themeColor="text1"/>
          <w:szCs w:val="20"/>
        </w:rPr>
        <w:t>投信基金，該投信預計贊助</w:t>
      </w:r>
      <w:r w:rsidR="00DB4D4E">
        <w:rPr>
          <w:rFonts w:ascii="標楷體" w:eastAsia="標楷體" w:hAnsi="標楷體" w:cs="Times New Roman" w:hint="eastAsia"/>
          <w:color w:val="000000" w:themeColor="text1"/>
          <w:szCs w:val="20"/>
        </w:rPr>
        <w:t>或提供</w:t>
      </w:r>
      <w:r w:rsidRPr="007D34C3">
        <w:rPr>
          <w:rFonts w:ascii="標楷體" w:eastAsia="標楷體" w:hAnsi="標楷體" w:cs="Times New Roman"/>
          <w:color w:val="000000" w:themeColor="text1"/>
          <w:szCs w:val="20"/>
        </w:rPr>
        <w:t>產品說明會</w:t>
      </w:r>
      <w:r w:rsidRPr="007D34C3">
        <w:rPr>
          <w:rFonts w:ascii="標楷體" w:eastAsia="標楷體" w:hAnsi="標楷體" w:cs="Times New Roman" w:hint="eastAsia"/>
          <w:color w:val="000000" w:themeColor="text1"/>
          <w:szCs w:val="20"/>
        </w:rPr>
        <w:t>、</w:t>
      </w:r>
      <w:r w:rsidRPr="007D34C3">
        <w:rPr>
          <w:rFonts w:ascii="標楷體" w:eastAsia="標楷體" w:hAnsi="標楷體" w:cs="Times New Roman"/>
          <w:color w:val="000000" w:themeColor="text1"/>
          <w:szCs w:val="20"/>
        </w:rPr>
        <w:t>員工教育訓練之金額</w:t>
      </w:r>
      <w:r w:rsidRPr="007D34C3">
        <w:rPr>
          <w:rFonts w:ascii="標楷體" w:eastAsia="標楷體" w:hAnsi="標楷體" w:cs="Times New Roman" w:hint="eastAsia"/>
          <w:color w:val="000000" w:themeColor="text1"/>
          <w:szCs w:val="20"/>
        </w:rPr>
        <w:t>合計</w:t>
      </w:r>
      <w:r w:rsidRPr="007D34C3">
        <w:rPr>
          <w:rFonts w:ascii="標楷體" w:eastAsia="標楷體" w:hAnsi="標楷體" w:cs="Times New Roman"/>
          <w:color w:val="000000" w:themeColor="text1"/>
          <w:szCs w:val="20"/>
        </w:rPr>
        <w:t>為</w:t>
      </w:r>
      <w:r w:rsidRPr="007D34C3">
        <w:rPr>
          <w:rFonts w:ascii="標楷體" w:eastAsia="標楷體" w:hAnsi="標楷體" w:cs="Times New Roman" w:hint="eastAsia"/>
          <w:color w:val="000000" w:themeColor="text1"/>
          <w:szCs w:val="20"/>
          <w:u w:val="single"/>
          <w:shd w:val="pct15" w:color="auto" w:fill="FFFFFF"/>
        </w:rPr>
        <w:t xml:space="preserve">   </w:t>
      </w:r>
      <w:r w:rsidRPr="007D34C3">
        <w:rPr>
          <w:rFonts w:ascii="標楷體" w:eastAsia="標楷體" w:hAnsi="標楷體" w:cs="Times New Roman"/>
          <w:color w:val="000000" w:themeColor="text1"/>
          <w:szCs w:val="20"/>
        </w:rPr>
        <w:t>元</w:t>
      </w:r>
      <w:r w:rsidRPr="007D34C3">
        <w:rPr>
          <w:rFonts w:ascii="標楷體" w:eastAsia="標楷體" w:hAnsi="標楷體" w:cs="Times New Roman" w:hint="eastAsia"/>
          <w:color w:val="000000" w:themeColor="text1"/>
          <w:szCs w:val="20"/>
        </w:rPr>
        <w:t>，預計其他報酬合計為</w:t>
      </w:r>
      <w:r w:rsidRPr="007D34C3">
        <w:rPr>
          <w:rFonts w:ascii="標楷體" w:eastAsia="標楷體" w:hAnsi="標楷體" w:cs="Times New Roman" w:hint="eastAsia"/>
          <w:color w:val="000000" w:themeColor="text1"/>
          <w:szCs w:val="20"/>
          <w:u w:val="single"/>
          <w:shd w:val="pct15" w:color="auto" w:fill="FFFFFF"/>
        </w:rPr>
        <w:t xml:space="preserve">   </w:t>
      </w:r>
      <w:r w:rsidRPr="007D34C3">
        <w:rPr>
          <w:rFonts w:ascii="標楷體" w:eastAsia="標楷體" w:hAnsi="標楷體" w:cs="Times New Roman" w:hint="eastAsia"/>
          <w:color w:val="000000" w:themeColor="text1"/>
          <w:szCs w:val="20"/>
        </w:rPr>
        <w:t>元</w:t>
      </w:r>
      <w:r w:rsidRPr="007D34C3">
        <w:rPr>
          <w:rFonts w:ascii="標楷體" w:eastAsia="標楷體" w:hAnsi="標楷體" w:cs="Times New Roman"/>
          <w:color w:val="000000" w:themeColor="text1"/>
          <w:szCs w:val="20"/>
        </w:rPr>
        <w:t>。</w:t>
      </w:r>
    </w:p>
    <w:p w:rsidR="001E4D21" w:rsidRPr="007D34C3" w:rsidRDefault="001E4D21" w:rsidP="001E4D21">
      <w:pPr>
        <w:spacing w:line="360" w:lineRule="exact"/>
        <w:ind w:rightChars="24" w:right="58"/>
        <w:jc w:val="both"/>
        <w:rPr>
          <w:rFonts w:ascii="標楷體" w:eastAsia="標楷體" w:hAnsi="標楷體" w:cs="Times New Roman"/>
          <w:color w:val="000000" w:themeColor="text1"/>
          <w:szCs w:val="20"/>
        </w:rPr>
      </w:pPr>
    </w:p>
    <w:p w:rsidR="001E4D21" w:rsidRPr="007D34C3" w:rsidRDefault="001E4D21" w:rsidP="001E4D21">
      <w:pPr>
        <w:spacing w:line="360" w:lineRule="exact"/>
        <w:ind w:rightChars="24" w:right="58"/>
        <w:jc w:val="both"/>
        <w:rPr>
          <w:rFonts w:ascii="標楷體" w:eastAsia="標楷體" w:hAnsi="標楷體" w:cs="Times New Roman"/>
          <w:color w:val="000000" w:themeColor="text1"/>
          <w:szCs w:val="20"/>
          <w:bdr w:val="single" w:sz="4" w:space="0" w:color="auto"/>
        </w:rPr>
      </w:pPr>
      <w:r w:rsidRPr="007D34C3">
        <w:rPr>
          <w:rFonts w:ascii="標楷體" w:eastAsia="標楷體" w:hAnsi="標楷體" w:cs="Times New Roman" w:hint="eastAsia"/>
          <w:color w:val="000000" w:themeColor="text1"/>
          <w:szCs w:val="20"/>
          <w:bdr w:val="single" w:sz="4" w:space="0" w:color="auto"/>
        </w:rPr>
        <w:t>釋例</w:t>
      </w:r>
    </w:p>
    <w:p w:rsidR="001E4D21" w:rsidRPr="007D34C3" w:rsidRDefault="001E4D21" w:rsidP="001E4D21">
      <w:pPr>
        <w:spacing w:line="360" w:lineRule="exact"/>
        <w:ind w:rightChars="24" w:right="58"/>
        <w:jc w:val="both"/>
        <w:rPr>
          <w:rFonts w:ascii="標楷體" w:eastAsia="標楷體" w:hAnsi="標楷體" w:cs="Times New Roman"/>
          <w:color w:val="000000" w:themeColor="text1"/>
          <w:szCs w:val="20"/>
        </w:rPr>
      </w:pPr>
      <w:r w:rsidRPr="007D34C3">
        <w:rPr>
          <w:rFonts w:ascii="標楷體" w:eastAsia="標楷體" w:hAnsi="標楷體" w:cs="Times New Roman"/>
          <w:color w:val="000000" w:themeColor="text1"/>
          <w:szCs w:val="20"/>
        </w:rPr>
        <w:t xml:space="preserve">　台端每投資1</w:t>
      </w:r>
      <w:r w:rsidRPr="007D34C3">
        <w:rPr>
          <w:rFonts w:ascii="標楷體" w:eastAsia="標楷體" w:hAnsi="標楷體" w:cs="Times New Roman" w:hint="eastAsia"/>
          <w:color w:val="000000" w:themeColor="text1"/>
          <w:szCs w:val="20"/>
        </w:rPr>
        <w:t>00</w:t>
      </w:r>
      <w:r w:rsidRPr="007D34C3">
        <w:rPr>
          <w:rFonts w:ascii="標楷體" w:eastAsia="標楷體" w:hAnsi="標楷體" w:cs="Times New Roman"/>
          <w:color w:val="000000" w:themeColor="text1"/>
          <w:szCs w:val="20"/>
        </w:rPr>
        <w:t>,000元於</w:t>
      </w:r>
      <w:r w:rsidRPr="007D34C3">
        <w:rPr>
          <w:rFonts w:ascii="標楷體" w:eastAsia="標楷體" w:hAnsi="標楷體" w:cs="Times New Roman" w:hint="eastAsia"/>
          <w:color w:val="000000" w:themeColor="text1"/>
          <w:szCs w:val="20"/>
        </w:rPr>
        <w:t>本基金</w:t>
      </w:r>
      <w:r w:rsidRPr="007D34C3">
        <w:rPr>
          <w:rFonts w:ascii="標楷體" w:eastAsia="標楷體" w:hAnsi="標楷體" w:cs="Times New Roman"/>
          <w:color w:val="000000" w:themeColor="text1"/>
          <w:szCs w:val="20"/>
        </w:rPr>
        <w:t>，本銀行每年收取之通路報酬如下：</w:t>
      </w:r>
    </w:p>
    <w:p w:rsidR="001E4D21" w:rsidRPr="007D34C3" w:rsidRDefault="001E4D21" w:rsidP="001E4D21">
      <w:pPr>
        <w:spacing w:line="360" w:lineRule="exact"/>
        <w:ind w:left="168" w:rightChars="-67" w:right="-161" w:hangingChars="70" w:hanging="168"/>
        <w:rPr>
          <w:rFonts w:ascii="標楷體" w:eastAsia="標楷體" w:hAnsi="標楷體" w:cs="Times New Roman"/>
          <w:color w:val="000000" w:themeColor="text1"/>
          <w:szCs w:val="20"/>
        </w:rPr>
      </w:pPr>
      <w:r w:rsidRPr="007D34C3">
        <w:rPr>
          <w:rFonts w:ascii="標楷體" w:eastAsia="標楷體" w:hAnsi="標楷體" w:cs="Times New Roman"/>
          <w:color w:val="000000" w:themeColor="text1"/>
          <w:szCs w:val="20"/>
        </w:rPr>
        <w:t>1.由　台端所支付之</w:t>
      </w:r>
      <w:r w:rsidRPr="007D34C3">
        <w:rPr>
          <w:rFonts w:ascii="標楷體" w:eastAsia="標楷體" w:hAnsi="標楷體" w:cs="Times New Roman" w:hint="eastAsia"/>
          <w:color w:val="000000" w:themeColor="text1"/>
          <w:szCs w:val="20"/>
          <w:u w:val="single"/>
          <w:shd w:val="pct15" w:color="auto" w:fill="FFFFFF"/>
        </w:rPr>
        <w:t xml:space="preserve">   </w:t>
      </w:r>
      <w:r w:rsidRPr="007D34C3">
        <w:rPr>
          <w:rFonts w:ascii="標楷體" w:eastAsia="標楷體" w:hAnsi="標楷體" w:cs="Times New Roman"/>
          <w:color w:val="000000" w:themeColor="text1"/>
          <w:szCs w:val="20"/>
        </w:rPr>
        <w:t>元申購手續費中收取</w:t>
      </w:r>
      <w:r w:rsidRPr="007D34C3">
        <w:rPr>
          <w:rFonts w:ascii="標楷體" w:eastAsia="標楷體" w:hAnsi="標楷體" w:cs="Times New Roman" w:hint="eastAsia"/>
          <w:color w:val="000000" w:themeColor="text1"/>
          <w:szCs w:val="20"/>
        </w:rPr>
        <w:t>不多於</w:t>
      </w:r>
      <w:r w:rsidRPr="007D34C3">
        <w:rPr>
          <w:rFonts w:ascii="標楷體" w:eastAsia="標楷體" w:hAnsi="標楷體" w:cs="Times New Roman" w:hint="eastAsia"/>
          <w:color w:val="000000" w:themeColor="text1"/>
          <w:szCs w:val="20"/>
          <w:u w:val="single"/>
          <w:shd w:val="pct15" w:color="auto" w:fill="FFFFFF"/>
        </w:rPr>
        <w:t xml:space="preserve">   </w:t>
      </w:r>
      <w:r w:rsidRPr="007D34C3">
        <w:rPr>
          <w:rFonts w:ascii="標楷體" w:eastAsia="標楷體" w:hAnsi="標楷體" w:cs="Times New Roman"/>
          <w:color w:val="000000" w:themeColor="text1"/>
          <w:szCs w:val="20"/>
        </w:rPr>
        <w:t>元 (1</w:t>
      </w:r>
      <w:r w:rsidRPr="007D34C3">
        <w:rPr>
          <w:rFonts w:ascii="標楷體" w:eastAsia="標楷體" w:hAnsi="標楷體" w:cs="Times New Roman" w:hint="eastAsia"/>
          <w:color w:val="000000" w:themeColor="text1"/>
          <w:szCs w:val="20"/>
        </w:rPr>
        <w:t>00</w:t>
      </w:r>
      <w:r w:rsidRPr="007D34C3">
        <w:rPr>
          <w:rFonts w:ascii="標楷體" w:eastAsia="標楷體" w:hAnsi="標楷體" w:cs="Times New Roman"/>
          <w:color w:val="000000" w:themeColor="text1"/>
          <w:szCs w:val="20"/>
        </w:rPr>
        <w:t>,000＊</w:t>
      </w:r>
      <w:r w:rsidRPr="007D34C3">
        <w:rPr>
          <w:rFonts w:ascii="標楷體" w:eastAsia="標楷體" w:hAnsi="標楷體" w:cs="Times New Roman" w:hint="eastAsia"/>
          <w:color w:val="000000" w:themeColor="text1"/>
          <w:szCs w:val="20"/>
          <w:u w:val="single"/>
          <w:shd w:val="pct15" w:color="auto" w:fill="FFFFFF"/>
        </w:rPr>
        <w:t xml:space="preserve">  </w:t>
      </w:r>
      <w:r w:rsidRPr="007D34C3">
        <w:rPr>
          <w:rFonts w:ascii="標楷體" w:eastAsia="標楷體" w:hAnsi="標楷體" w:cs="Times New Roman"/>
          <w:color w:val="000000" w:themeColor="text1"/>
          <w:szCs w:val="20"/>
        </w:rPr>
        <w:t>%=</w:t>
      </w:r>
      <w:r w:rsidRPr="007D34C3">
        <w:rPr>
          <w:rFonts w:ascii="標楷體" w:eastAsia="標楷體" w:hAnsi="標楷體" w:cs="Times New Roman" w:hint="eastAsia"/>
          <w:color w:val="000000" w:themeColor="text1"/>
          <w:szCs w:val="20"/>
          <w:u w:val="single"/>
          <w:shd w:val="pct15" w:color="auto" w:fill="FFFFFF"/>
        </w:rPr>
        <w:t xml:space="preserve">  </w:t>
      </w:r>
      <w:r w:rsidRPr="007D34C3">
        <w:rPr>
          <w:rFonts w:ascii="標楷體" w:eastAsia="標楷體" w:hAnsi="標楷體" w:cs="Times New Roman"/>
          <w:color w:val="000000" w:themeColor="text1"/>
          <w:szCs w:val="20"/>
        </w:rPr>
        <w:t>元)</w:t>
      </w:r>
    </w:p>
    <w:p w:rsidR="001E4D21" w:rsidRPr="007D34C3" w:rsidRDefault="001E4D21" w:rsidP="001E4D21">
      <w:pPr>
        <w:spacing w:line="360" w:lineRule="exact"/>
        <w:rPr>
          <w:rFonts w:ascii="標楷體" w:eastAsia="標楷體" w:hAnsi="標楷體" w:cs="Times New Roman"/>
          <w:color w:val="000000" w:themeColor="text1"/>
          <w:szCs w:val="20"/>
        </w:rPr>
      </w:pPr>
      <w:r w:rsidRPr="007D34C3">
        <w:rPr>
          <w:rFonts w:ascii="標楷體" w:eastAsia="標楷體" w:hAnsi="標楷體" w:cs="Times New Roman"/>
          <w:color w:val="000000" w:themeColor="text1"/>
          <w:szCs w:val="20"/>
        </w:rPr>
        <w:t>2.</w:t>
      </w:r>
      <w:proofErr w:type="gramStart"/>
      <w:r w:rsidRPr="007D34C3">
        <w:rPr>
          <w:rFonts w:ascii="標楷體" w:eastAsia="標楷體" w:hAnsi="標楷體" w:cs="Times New Roman" w:hint="eastAsia"/>
          <w:color w:val="000000" w:themeColor="text1"/>
          <w:szCs w:val="20"/>
          <w:shd w:val="pct15" w:color="auto" w:fill="FFFFFF"/>
        </w:rPr>
        <w:t>ＯＯ</w:t>
      </w:r>
      <w:proofErr w:type="gramEnd"/>
      <w:r w:rsidRPr="007D34C3">
        <w:rPr>
          <w:rFonts w:ascii="標楷體" w:eastAsia="標楷體" w:hAnsi="標楷體" w:cs="Times New Roman"/>
          <w:color w:val="000000" w:themeColor="text1"/>
          <w:szCs w:val="20"/>
        </w:rPr>
        <w:t>投信支付：</w:t>
      </w:r>
    </w:p>
    <w:p w:rsidR="001E4D21" w:rsidRPr="007D34C3" w:rsidRDefault="001E4D21" w:rsidP="001E4D21">
      <w:pPr>
        <w:numPr>
          <w:ilvl w:val="0"/>
          <w:numId w:val="3"/>
        </w:numPr>
        <w:adjustRightInd w:val="0"/>
        <w:spacing w:line="360" w:lineRule="exact"/>
        <w:rPr>
          <w:rFonts w:ascii="標楷體" w:eastAsia="標楷體" w:hAnsi="標楷體" w:cs="Times New Roman"/>
          <w:color w:val="000000" w:themeColor="text1"/>
          <w:szCs w:val="20"/>
        </w:rPr>
      </w:pPr>
      <w:r w:rsidRPr="007D34C3">
        <w:rPr>
          <w:rFonts w:ascii="標楷體" w:eastAsia="標楷體" w:hAnsi="標楷體" w:cs="Times New Roman"/>
          <w:color w:val="000000" w:themeColor="text1"/>
          <w:szCs w:val="20"/>
        </w:rPr>
        <w:t>台端持有本基金期間之經理費分成：</w:t>
      </w:r>
      <w:r w:rsidRPr="007D34C3">
        <w:rPr>
          <w:rFonts w:ascii="標楷體" w:eastAsia="標楷體" w:hAnsi="標楷體" w:cs="Times New Roman" w:hint="eastAsia"/>
          <w:color w:val="000000" w:themeColor="text1"/>
          <w:szCs w:val="20"/>
        </w:rPr>
        <w:t>不多於</w:t>
      </w:r>
      <w:r w:rsidRPr="007D34C3">
        <w:rPr>
          <w:rFonts w:ascii="標楷體" w:eastAsia="標楷體" w:hAnsi="標楷體" w:cs="Times New Roman" w:hint="eastAsia"/>
          <w:color w:val="000000" w:themeColor="text1"/>
          <w:szCs w:val="20"/>
          <w:u w:val="single"/>
          <w:shd w:val="pct15" w:color="auto" w:fill="FFFFFF"/>
        </w:rPr>
        <w:t xml:space="preserve">   </w:t>
      </w:r>
      <w:r w:rsidRPr="007D34C3">
        <w:rPr>
          <w:rFonts w:ascii="標楷體" w:eastAsia="標楷體" w:hAnsi="標楷體" w:cs="Times New Roman"/>
          <w:color w:val="000000" w:themeColor="text1"/>
          <w:szCs w:val="20"/>
        </w:rPr>
        <w:t>元 (1</w:t>
      </w:r>
      <w:r w:rsidRPr="007D34C3">
        <w:rPr>
          <w:rFonts w:ascii="標楷體" w:eastAsia="標楷體" w:hAnsi="標楷體" w:cs="Times New Roman" w:hint="eastAsia"/>
          <w:color w:val="000000" w:themeColor="text1"/>
          <w:szCs w:val="20"/>
        </w:rPr>
        <w:t>00</w:t>
      </w:r>
      <w:r w:rsidRPr="007D34C3">
        <w:rPr>
          <w:rFonts w:ascii="標楷體" w:eastAsia="標楷體" w:hAnsi="標楷體" w:cs="Times New Roman"/>
          <w:color w:val="000000" w:themeColor="text1"/>
          <w:szCs w:val="20"/>
        </w:rPr>
        <w:t>,000</w:t>
      </w:r>
      <w:proofErr w:type="gramStart"/>
      <w:r w:rsidRPr="007D34C3">
        <w:rPr>
          <w:rFonts w:ascii="標楷體" w:eastAsia="標楷體" w:hAnsi="標楷體" w:cs="Times New Roman"/>
          <w:color w:val="000000" w:themeColor="text1"/>
          <w:szCs w:val="20"/>
        </w:rPr>
        <w:t>＊</w:t>
      </w:r>
      <w:proofErr w:type="gramEnd"/>
      <w:r w:rsidRPr="007D34C3">
        <w:rPr>
          <w:rFonts w:ascii="標楷體" w:eastAsia="標楷體" w:hAnsi="標楷體" w:cs="Times New Roman" w:hint="eastAsia"/>
          <w:color w:val="000000" w:themeColor="text1"/>
          <w:szCs w:val="20"/>
          <w:u w:val="single"/>
          <w:shd w:val="pct15" w:color="auto" w:fill="FFFFFF"/>
        </w:rPr>
        <w:t xml:space="preserve">  </w:t>
      </w:r>
      <w:r w:rsidRPr="007D34C3">
        <w:rPr>
          <w:rFonts w:ascii="標楷體" w:eastAsia="標楷體" w:hAnsi="標楷體" w:cs="Times New Roman"/>
          <w:color w:val="000000" w:themeColor="text1"/>
          <w:szCs w:val="20"/>
        </w:rPr>
        <w:t>%＝</w:t>
      </w:r>
      <w:r w:rsidRPr="007D34C3">
        <w:rPr>
          <w:rFonts w:ascii="標楷體" w:eastAsia="標楷體" w:hAnsi="標楷體" w:cs="Times New Roman" w:hint="eastAsia"/>
          <w:color w:val="000000" w:themeColor="text1"/>
          <w:szCs w:val="20"/>
          <w:u w:val="single"/>
          <w:shd w:val="pct15" w:color="auto" w:fill="FFFFFF"/>
        </w:rPr>
        <w:t xml:space="preserve">  </w:t>
      </w:r>
      <w:r w:rsidRPr="007D34C3">
        <w:rPr>
          <w:rFonts w:ascii="標楷體" w:eastAsia="標楷體" w:hAnsi="標楷體" w:cs="Times New Roman"/>
          <w:color w:val="000000" w:themeColor="text1"/>
          <w:szCs w:val="20"/>
        </w:rPr>
        <w:t>元)</w:t>
      </w:r>
    </w:p>
    <w:p w:rsidR="001E4D21" w:rsidRPr="007D34C3" w:rsidRDefault="001E4D21" w:rsidP="001E4D21">
      <w:pPr>
        <w:spacing w:line="360" w:lineRule="exact"/>
        <w:ind w:firstLineChars="50" w:firstLine="120"/>
        <w:rPr>
          <w:rFonts w:ascii="標楷體" w:eastAsia="標楷體" w:hAnsi="標楷體" w:cs="Times New Roman"/>
          <w:color w:val="000000" w:themeColor="text1"/>
          <w:szCs w:val="20"/>
        </w:rPr>
      </w:pPr>
      <w:r w:rsidRPr="007D34C3">
        <w:rPr>
          <w:rFonts w:ascii="標楷體" w:eastAsia="標楷體" w:hAnsi="標楷體" w:cs="Times New Roman" w:hint="eastAsia"/>
          <w:color w:val="000000" w:themeColor="text1"/>
          <w:szCs w:val="20"/>
        </w:rPr>
        <w:t>(2)</w:t>
      </w:r>
      <w:r w:rsidRPr="007D34C3">
        <w:rPr>
          <w:rFonts w:ascii="標楷體" w:eastAsia="標楷體" w:hAnsi="標楷體" w:cs="Times New Roman"/>
          <w:color w:val="000000" w:themeColor="text1"/>
          <w:szCs w:val="20"/>
        </w:rPr>
        <w:t>產品說明會及員工教育訓練：</w:t>
      </w:r>
      <w:r w:rsidRPr="007D34C3">
        <w:rPr>
          <w:rFonts w:ascii="標楷體" w:eastAsia="標楷體" w:hAnsi="標楷體" w:cs="Times New Roman" w:hint="eastAsia"/>
          <w:color w:val="000000" w:themeColor="text1"/>
          <w:szCs w:val="20"/>
          <w:u w:val="single"/>
          <w:shd w:val="pct15" w:color="auto" w:fill="FFFFFF"/>
        </w:rPr>
        <w:t xml:space="preserve">   </w:t>
      </w:r>
      <w:r w:rsidRPr="007D34C3">
        <w:rPr>
          <w:rFonts w:ascii="標楷體" w:eastAsia="標楷體" w:hAnsi="標楷體" w:cs="Times New Roman"/>
          <w:color w:val="000000" w:themeColor="text1"/>
          <w:szCs w:val="20"/>
        </w:rPr>
        <w:t>元</w:t>
      </w:r>
    </w:p>
    <w:p w:rsidR="001E4D21" w:rsidRPr="007D34C3" w:rsidRDefault="001E4D21" w:rsidP="001E4D21">
      <w:pPr>
        <w:spacing w:line="360" w:lineRule="exact"/>
        <w:ind w:firstLineChars="50" w:firstLine="120"/>
        <w:rPr>
          <w:rFonts w:ascii="標楷體" w:eastAsia="標楷體" w:hAnsi="標楷體" w:cs="Times New Roman"/>
          <w:color w:val="000000" w:themeColor="text1"/>
          <w:szCs w:val="20"/>
        </w:rPr>
      </w:pPr>
      <w:r w:rsidRPr="007D34C3">
        <w:rPr>
          <w:rFonts w:ascii="標楷體" w:eastAsia="標楷體" w:hAnsi="標楷體" w:cs="Times New Roman" w:hint="eastAsia"/>
          <w:color w:val="000000" w:themeColor="text1"/>
          <w:szCs w:val="20"/>
        </w:rPr>
        <w:lastRenderedPageBreak/>
        <w:t>(3)本銀行自</w:t>
      </w:r>
      <w:proofErr w:type="gramStart"/>
      <w:r w:rsidRPr="007D34C3">
        <w:rPr>
          <w:rFonts w:ascii="標楷體" w:eastAsia="標楷體" w:hAnsi="標楷體" w:cs="Times New Roman" w:hint="eastAsia"/>
          <w:color w:val="000000" w:themeColor="text1"/>
          <w:szCs w:val="20"/>
        </w:rPr>
        <w:t>ＯＯ</w:t>
      </w:r>
      <w:proofErr w:type="gramEnd"/>
      <w:r w:rsidRPr="007D34C3">
        <w:rPr>
          <w:rFonts w:ascii="標楷體" w:eastAsia="標楷體" w:hAnsi="標楷體" w:cs="Times New Roman" w:hint="eastAsia"/>
          <w:color w:val="000000" w:themeColor="text1"/>
          <w:szCs w:val="20"/>
        </w:rPr>
        <w:t>投信獲得其他報酬：</w:t>
      </w:r>
      <w:r w:rsidRPr="007D34C3">
        <w:rPr>
          <w:rFonts w:ascii="標楷體" w:eastAsia="標楷體" w:hAnsi="標楷體" w:cs="Times New Roman" w:hint="eastAsia"/>
          <w:color w:val="000000" w:themeColor="text1"/>
          <w:szCs w:val="20"/>
          <w:u w:val="single"/>
          <w:shd w:val="pct15" w:color="auto" w:fill="FFFFFF"/>
        </w:rPr>
        <w:t xml:space="preserve">   </w:t>
      </w:r>
      <w:r w:rsidRPr="007D34C3">
        <w:rPr>
          <w:rFonts w:ascii="標楷體" w:eastAsia="標楷體" w:hAnsi="標楷體" w:cs="Times New Roman" w:hint="eastAsia"/>
          <w:color w:val="000000" w:themeColor="text1"/>
          <w:szCs w:val="20"/>
        </w:rPr>
        <w:t>元。</w:t>
      </w:r>
    </w:p>
    <w:p w:rsidR="001E4D21" w:rsidRPr="00264930" w:rsidRDefault="001E4D21" w:rsidP="001E4D21">
      <w:pPr>
        <w:snapToGrid w:val="0"/>
        <w:spacing w:line="320" w:lineRule="exact"/>
        <w:ind w:leftChars="60" w:left="144"/>
        <w:rPr>
          <w:rFonts w:ascii="標楷體" w:eastAsia="標楷體" w:hAnsi="標楷體"/>
          <w:color w:val="000000" w:themeColor="text1"/>
          <w:sz w:val="20"/>
          <w:shd w:val="pct15" w:color="auto" w:fill="FFFFFF"/>
        </w:rPr>
      </w:pPr>
    </w:p>
    <w:p w:rsidR="001E4D21" w:rsidRPr="007D34C3" w:rsidRDefault="001E4D21" w:rsidP="001E4D21">
      <w:pPr>
        <w:pBdr>
          <w:top w:val="single" w:sz="4" w:space="5" w:color="auto"/>
          <w:left w:val="single" w:sz="4" w:space="4" w:color="auto"/>
          <w:bottom w:val="single" w:sz="4" w:space="7" w:color="auto"/>
          <w:right w:val="single" w:sz="4" w:space="0" w:color="auto"/>
        </w:pBdr>
        <w:adjustRightInd w:val="0"/>
        <w:snapToGrid w:val="0"/>
        <w:spacing w:line="280" w:lineRule="exact"/>
        <w:ind w:leftChars="50" w:left="120"/>
        <w:jc w:val="both"/>
        <w:rPr>
          <w:rFonts w:ascii="標楷體" w:eastAsia="標楷體" w:hAnsi="標楷體"/>
          <w:b/>
          <w:color w:val="000000" w:themeColor="text1"/>
          <w:sz w:val="20"/>
        </w:rPr>
      </w:pPr>
      <w:r w:rsidRPr="007D34C3">
        <w:rPr>
          <w:rFonts w:ascii="標楷體" w:eastAsia="標楷體" w:hAnsi="標楷體" w:hint="eastAsia"/>
          <w:b/>
          <w:color w:val="000000" w:themeColor="text1"/>
          <w:sz w:val="20"/>
        </w:rPr>
        <w:t>本銀行辦理基金銷售業務，係自各境外基金機構、總代理人及證券投資信託事業收取通路報酬（各項報酬、費用及其他利益），以支應投資人服務及行銷成本。惟因各基金性質不同且各基金公司之行銷策略不同，致本銀行銷售不同基金時，自各基金公司收取通路報酬之項目及金額因而有所不同。本銀行及業務人員所銷售之基金，容或與 台端個人投資組合之利益不相一致，請　台端依個人投資目標及基金風險屬性，慎選投資標的。</w:t>
      </w:r>
    </w:p>
    <w:p w:rsidR="001E4D21" w:rsidRPr="007D34C3" w:rsidRDefault="001E4D21" w:rsidP="001E4D21">
      <w:pPr>
        <w:spacing w:line="360" w:lineRule="exact"/>
        <w:rPr>
          <w:rFonts w:ascii="標楷體" w:eastAsia="標楷體" w:hAnsi="標楷體"/>
          <w:color w:val="000000" w:themeColor="text1"/>
          <w:szCs w:val="26"/>
        </w:rPr>
      </w:pPr>
    </w:p>
    <w:p w:rsidR="001E4D21" w:rsidRPr="007D34C3" w:rsidRDefault="001E4D21" w:rsidP="001E4D21">
      <w:pPr>
        <w:spacing w:line="360" w:lineRule="exact"/>
        <w:rPr>
          <w:rFonts w:ascii="標楷體" w:eastAsia="標楷體" w:hAnsi="標楷體"/>
          <w:color w:val="000000" w:themeColor="text1"/>
          <w:szCs w:val="26"/>
        </w:rPr>
      </w:pPr>
      <w:r w:rsidRPr="007D34C3">
        <w:rPr>
          <w:rFonts w:ascii="標楷體" w:eastAsia="標楷體" w:hAnsi="標楷體" w:hint="eastAsia"/>
          <w:color w:val="000000" w:themeColor="text1"/>
          <w:szCs w:val="26"/>
        </w:rPr>
        <w:t>未來若相關通路報酬變動將於本行網頁上公告，將</w:t>
      </w:r>
      <w:proofErr w:type="gramStart"/>
      <w:r w:rsidRPr="007D34C3">
        <w:rPr>
          <w:rFonts w:ascii="標楷體" w:eastAsia="標楷體" w:hAnsi="標楷體" w:hint="eastAsia"/>
          <w:color w:val="000000" w:themeColor="text1"/>
          <w:szCs w:val="26"/>
        </w:rPr>
        <w:t>不</w:t>
      </w:r>
      <w:proofErr w:type="gramEnd"/>
      <w:r w:rsidRPr="007D34C3">
        <w:rPr>
          <w:rFonts w:ascii="標楷體" w:eastAsia="標楷體" w:hAnsi="標楷體" w:hint="eastAsia"/>
          <w:color w:val="000000" w:themeColor="text1"/>
          <w:szCs w:val="26"/>
        </w:rPr>
        <w:t>另行通知  台端。</w:t>
      </w:r>
    </w:p>
    <w:p w:rsidR="001E4D21" w:rsidRPr="007D34C3" w:rsidRDefault="001E4D21" w:rsidP="001E4D21">
      <w:pPr>
        <w:spacing w:line="360" w:lineRule="exact"/>
        <w:rPr>
          <w:rFonts w:ascii="標楷體" w:eastAsia="標楷體" w:hAnsi="標楷體"/>
          <w:color w:val="000000" w:themeColor="text1"/>
        </w:rPr>
      </w:pPr>
      <w:r w:rsidRPr="007D34C3">
        <w:rPr>
          <w:rFonts w:ascii="標楷體" w:eastAsia="標楷體" w:hAnsi="標楷體" w:hint="eastAsia"/>
          <w:color w:val="000000" w:themeColor="text1"/>
        </w:rPr>
        <w:t>本人已閱讀並瞭解本文件之內容</w:t>
      </w:r>
    </w:p>
    <w:p w:rsidR="001E4D21" w:rsidRPr="007D34C3" w:rsidRDefault="001E4D21" w:rsidP="001E4D21">
      <w:pPr>
        <w:spacing w:line="360" w:lineRule="exact"/>
        <w:rPr>
          <w:rFonts w:ascii="標楷體" w:eastAsia="標楷體" w:hAnsi="標楷體"/>
          <w:color w:val="000000" w:themeColor="text1"/>
        </w:rPr>
      </w:pPr>
    </w:p>
    <w:p w:rsidR="001E4D21" w:rsidRPr="007D34C3" w:rsidRDefault="001E4D21" w:rsidP="001E4D21">
      <w:pPr>
        <w:spacing w:line="360" w:lineRule="exact"/>
        <w:rPr>
          <w:rFonts w:ascii="標楷體" w:eastAsia="標楷體" w:hAnsi="標楷體"/>
          <w:color w:val="000000" w:themeColor="text1"/>
        </w:rPr>
      </w:pPr>
      <w:r w:rsidRPr="007D34C3">
        <w:rPr>
          <w:rFonts w:ascii="標楷體" w:eastAsia="標楷體" w:hAnsi="標楷體" w:hint="eastAsia"/>
          <w:color w:val="000000" w:themeColor="text1"/>
        </w:rPr>
        <w:t xml:space="preserve">簽名/蓋章                                      日期（年/月/日）         </w:t>
      </w:r>
    </w:p>
    <w:p w:rsidR="001E4D21" w:rsidRPr="007D34C3" w:rsidRDefault="001E4D21" w:rsidP="001E4D21">
      <w:pPr>
        <w:spacing w:line="360" w:lineRule="exact"/>
        <w:ind w:rightChars="-12" w:right="-29"/>
        <w:rPr>
          <w:rFonts w:ascii="標楷體" w:eastAsia="標楷體" w:hAnsi="標楷體"/>
          <w:b/>
          <w:color w:val="000000" w:themeColor="text1"/>
        </w:rPr>
      </w:pPr>
    </w:p>
    <w:p w:rsidR="001E4D21" w:rsidRPr="007D34C3" w:rsidRDefault="001E4D21" w:rsidP="001E4D21">
      <w:pPr>
        <w:spacing w:line="360" w:lineRule="exact"/>
        <w:ind w:rightChars="-12" w:right="-29"/>
        <w:rPr>
          <w:rFonts w:ascii="標楷體" w:eastAsia="標楷體" w:hAnsi="標楷體"/>
          <w:color w:val="000000" w:themeColor="text1"/>
        </w:rPr>
      </w:pPr>
      <w:proofErr w:type="gramStart"/>
      <w:r w:rsidRPr="007D34C3">
        <w:rPr>
          <w:rFonts w:ascii="標楷體" w:eastAsia="標楷體" w:hAnsi="標楷體" w:hint="eastAsia"/>
          <w:color w:val="000000" w:themeColor="text1"/>
        </w:rPr>
        <w:t>註</w:t>
      </w:r>
      <w:proofErr w:type="gramEnd"/>
      <w:r w:rsidRPr="007D34C3">
        <w:rPr>
          <w:rFonts w:ascii="標楷體" w:eastAsia="標楷體" w:hAnsi="標楷體" w:hint="eastAsia"/>
          <w:color w:val="000000" w:themeColor="text1"/>
        </w:rPr>
        <w:t>：與</w:t>
      </w:r>
      <w:proofErr w:type="gramStart"/>
      <w:r w:rsidRPr="007D34C3">
        <w:rPr>
          <w:rFonts w:ascii="標楷體" w:eastAsia="標楷體" w:hAnsi="標楷體" w:hint="eastAsia"/>
          <w:color w:val="000000" w:themeColor="text1"/>
          <w:shd w:val="pct15" w:color="auto" w:fill="FFFFFF"/>
        </w:rPr>
        <w:t>ＯＯ</w:t>
      </w:r>
      <w:proofErr w:type="gramEnd"/>
      <w:r w:rsidRPr="007D34C3">
        <w:rPr>
          <w:rFonts w:eastAsia="標楷體" w:hAnsi="標楷體" w:hint="eastAsia"/>
          <w:bCs/>
          <w:color w:val="000000" w:themeColor="text1"/>
        </w:rPr>
        <w:t>證券投資信託</w:t>
      </w:r>
      <w:r w:rsidRPr="007D34C3">
        <w:rPr>
          <w:rFonts w:ascii="標楷體" w:eastAsia="標楷體" w:hAnsi="標楷體" w:hint="eastAsia"/>
          <w:color w:val="000000" w:themeColor="text1"/>
        </w:rPr>
        <w:t>基金通路報酬相同之基金為（經理費率與</w:t>
      </w:r>
      <w:proofErr w:type="gramStart"/>
      <w:r w:rsidRPr="007D34C3">
        <w:rPr>
          <w:rFonts w:ascii="標楷體" w:eastAsia="標楷體" w:hAnsi="標楷體" w:hint="eastAsia"/>
          <w:color w:val="000000" w:themeColor="text1"/>
          <w:shd w:val="pct15" w:color="auto" w:fill="FFFFFF"/>
        </w:rPr>
        <w:t>ＯＯ</w:t>
      </w:r>
      <w:proofErr w:type="gramEnd"/>
      <w:r w:rsidRPr="007D34C3">
        <w:rPr>
          <w:rFonts w:eastAsia="標楷體" w:hAnsi="標楷體" w:hint="eastAsia"/>
          <w:bCs/>
          <w:color w:val="000000" w:themeColor="text1"/>
        </w:rPr>
        <w:t>證券投資信託</w:t>
      </w:r>
      <w:r w:rsidRPr="007D34C3">
        <w:rPr>
          <w:rFonts w:ascii="標楷體" w:eastAsia="標楷體" w:hAnsi="標楷體" w:hint="eastAsia"/>
          <w:color w:val="000000" w:themeColor="text1"/>
        </w:rPr>
        <w:t>基金不同者，應註明經理費率）：</w:t>
      </w:r>
    </w:p>
    <w:p w:rsidR="001E4D21" w:rsidRPr="007D34C3" w:rsidRDefault="001E4D21" w:rsidP="001E4D21">
      <w:pPr>
        <w:spacing w:line="360" w:lineRule="exact"/>
        <w:ind w:rightChars="-12" w:right="-29"/>
        <w:rPr>
          <w:rFonts w:ascii="標楷體" w:eastAsia="標楷體" w:hAnsi="標楷體"/>
          <w:color w:val="000000" w:themeColor="text1"/>
        </w:rPr>
      </w:pPr>
    </w:p>
    <w:tbl>
      <w:tblPr>
        <w:tblW w:w="45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77"/>
        <w:gridCol w:w="1750"/>
      </w:tblGrid>
      <w:tr w:rsidR="001E4D21" w:rsidRPr="007D34C3" w:rsidTr="004F59F8">
        <w:tc>
          <w:tcPr>
            <w:tcW w:w="2777" w:type="dxa"/>
          </w:tcPr>
          <w:p w:rsidR="001E4D21" w:rsidRPr="007D34C3" w:rsidRDefault="001E4D21" w:rsidP="004F59F8">
            <w:pPr>
              <w:adjustRightInd w:val="0"/>
              <w:spacing w:line="360" w:lineRule="exact"/>
              <w:jc w:val="center"/>
              <w:rPr>
                <w:rFonts w:ascii="標楷體" w:eastAsia="標楷體" w:hAnsi="標楷體"/>
                <w:color w:val="000000" w:themeColor="text1"/>
              </w:rPr>
            </w:pPr>
            <w:r w:rsidRPr="007D34C3">
              <w:rPr>
                <w:rFonts w:ascii="標楷體" w:eastAsia="標楷體" w:hAnsi="標楷體" w:hint="eastAsia"/>
                <w:color w:val="000000" w:themeColor="text1"/>
              </w:rPr>
              <w:t>基金名稱</w:t>
            </w:r>
          </w:p>
        </w:tc>
        <w:tc>
          <w:tcPr>
            <w:tcW w:w="1750" w:type="dxa"/>
            <w:shd w:val="clear" w:color="auto" w:fill="FFFFFF" w:themeFill="background1"/>
          </w:tcPr>
          <w:p w:rsidR="001E4D21" w:rsidRPr="007D34C3" w:rsidRDefault="001E4D21" w:rsidP="004F59F8">
            <w:pPr>
              <w:adjustRightInd w:val="0"/>
              <w:spacing w:line="360" w:lineRule="exact"/>
              <w:jc w:val="center"/>
              <w:rPr>
                <w:rFonts w:ascii="標楷體" w:eastAsia="標楷體" w:hAnsi="標楷體"/>
                <w:color w:val="000000" w:themeColor="text1"/>
              </w:rPr>
            </w:pPr>
            <w:r w:rsidRPr="007D34C3">
              <w:rPr>
                <w:rFonts w:ascii="標楷體" w:eastAsia="標楷體" w:hAnsi="標楷體" w:hint="eastAsia"/>
                <w:color w:val="000000" w:themeColor="text1"/>
              </w:rPr>
              <w:t>經理費率(每年)</w:t>
            </w:r>
          </w:p>
        </w:tc>
      </w:tr>
      <w:tr w:rsidR="001E4D21" w:rsidRPr="007D34C3" w:rsidTr="004F59F8">
        <w:tc>
          <w:tcPr>
            <w:tcW w:w="2777" w:type="dxa"/>
          </w:tcPr>
          <w:p w:rsidR="001E4D21" w:rsidRPr="007D34C3" w:rsidRDefault="001E4D21" w:rsidP="004F59F8">
            <w:pPr>
              <w:adjustRightInd w:val="0"/>
              <w:spacing w:line="360" w:lineRule="exact"/>
              <w:rPr>
                <w:rFonts w:ascii="標楷體" w:eastAsia="標楷體" w:hAnsi="標楷體"/>
                <w:color w:val="000000" w:themeColor="text1"/>
              </w:rPr>
            </w:pPr>
            <w:proofErr w:type="gramStart"/>
            <w:r w:rsidRPr="007D34C3">
              <w:rPr>
                <w:rFonts w:eastAsia="標楷體" w:hAnsi="標楷體" w:hint="eastAsia"/>
                <w:bCs/>
                <w:color w:val="000000" w:themeColor="text1"/>
                <w:u w:val="single"/>
                <w:shd w:val="pct15" w:color="auto" w:fill="FFFFFF"/>
              </w:rPr>
              <w:t>ＯＯ</w:t>
            </w:r>
            <w:proofErr w:type="gramEnd"/>
            <w:r w:rsidRPr="007D34C3">
              <w:rPr>
                <w:rFonts w:eastAsia="標楷體" w:hAnsi="標楷體" w:hint="eastAsia"/>
                <w:bCs/>
                <w:color w:val="000000" w:themeColor="text1"/>
              </w:rPr>
              <w:t>證券投資信託</w:t>
            </w:r>
            <w:r w:rsidRPr="007D34C3">
              <w:rPr>
                <w:rFonts w:ascii="標楷體" w:eastAsia="標楷體" w:hAnsi="標楷體" w:hint="eastAsia"/>
                <w:color w:val="000000" w:themeColor="text1"/>
              </w:rPr>
              <w:t>基金</w:t>
            </w:r>
          </w:p>
        </w:tc>
        <w:tc>
          <w:tcPr>
            <w:tcW w:w="1750" w:type="dxa"/>
          </w:tcPr>
          <w:p w:rsidR="001E4D21" w:rsidRPr="007D34C3" w:rsidRDefault="001E4D21" w:rsidP="004F59F8">
            <w:pPr>
              <w:adjustRightInd w:val="0"/>
              <w:spacing w:line="360" w:lineRule="exact"/>
              <w:rPr>
                <w:rFonts w:ascii="標楷體" w:eastAsia="標楷體" w:hAnsi="標楷體"/>
                <w:bCs/>
                <w:color w:val="000000" w:themeColor="text1"/>
              </w:rPr>
            </w:pPr>
            <w:r w:rsidRPr="007D34C3">
              <w:rPr>
                <w:rFonts w:ascii="標楷體" w:eastAsia="標楷體" w:hAnsi="標楷體" w:hint="eastAsia"/>
                <w:bCs/>
                <w:color w:val="000000" w:themeColor="text1"/>
                <w:u w:val="single"/>
                <w:shd w:val="pct15" w:color="auto" w:fill="FFFFFF"/>
              </w:rPr>
              <w:t xml:space="preserve">  </w:t>
            </w:r>
            <w:r w:rsidRPr="007D34C3">
              <w:rPr>
                <w:rFonts w:ascii="標楷體" w:eastAsia="標楷體" w:hAnsi="標楷體"/>
                <w:bCs/>
                <w:color w:val="000000" w:themeColor="text1"/>
              </w:rPr>
              <w:t>%</w:t>
            </w:r>
          </w:p>
        </w:tc>
      </w:tr>
      <w:tr w:rsidR="001E4D21" w:rsidRPr="007D34C3" w:rsidTr="004F59F8">
        <w:tc>
          <w:tcPr>
            <w:tcW w:w="2777" w:type="dxa"/>
          </w:tcPr>
          <w:p w:rsidR="001E4D21" w:rsidRPr="007D34C3" w:rsidRDefault="001E4D21" w:rsidP="004F59F8">
            <w:pPr>
              <w:adjustRightInd w:val="0"/>
              <w:spacing w:line="360" w:lineRule="exact"/>
              <w:rPr>
                <w:rFonts w:eastAsia="標楷體" w:hAnsi="標楷體"/>
                <w:bCs/>
                <w:color w:val="000000" w:themeColor="text1"/>
              </w:rPr>
            </w:pPr>
            <w:proofErr w:type="gramStart"/>
            <w:r w:rsidRPr="007D34C3">
              <w:rPr>
                <w:rFonts w:eastAsia="標楷體" w:hAnsi="標楷體" w:hint="eastAsia"/>
                <w:bCs/>
                <w:color w:val="000000" w:themeColor="text1"/>
                <w:u w:val="single"/>
                <w:shd w:val="pct15" w:color="auto" w:fill="FFFFFF"/>
              </w:rPr>
              <w:t>ＯＯ</w:t>
            </w:r>
            <w:proofErr w:type="gramEnd"/>
            <w:r w:rsidRPr="007D34C3">
              <w:rPr>
                <w:rFonts w:eastAsia="標楷體" w:hAnsi="標楷體" w:hint="eastAsia"/>
                <w:bCs/>
                <w:color w:val="000000" w:themeColor="text1"/>
              </w:rPr>
              <w:t>證券投資信託</w:t>
            </w:r>
            <w:r w:rsidRPr="007D34C3">
              <w:rPr>
                <w:rFonts w:ascii="標楷體" w:eastAsia="標楷體" w:hAnsi="標楷體" w:hint="eastAsia"/>
                <w:color w:val="000000" w:themeColor="text1"/>
              </w:rPr>
              <w:t>基金</w:t>
            </w:r>
          </w:p>
        </w:tc>
        <w:tc>
          <w:tcPr>
            <w:tcW w:w="1750" w:type="dxa"/>
          </w:tcPr>
          <w:p w:rsidR="001E4D21" w:rsidRPr="007D34C3" w:rsidRDefault="001E4D21" w:rsidP="004F59F8">
            <w:pPr>
              <w:adjustRightInd w:val="0"/>
              <w:spacing w:line="360" w:lineRule="exact"/>
              <w:rPr>
                <w:rFonts w:ascii="標楷體" w:eastAsia="標楷體" w:hAnsi="標楷體"/>
                <w:bCs/>
                <w:color w:val="000000" w:themeColor="text1"/>
              </w:rPr>
            </w:pPr>
          </w:p>
        </w:tc>
      </w:tr>
      <w:tr w:rsidR="001E4D21" w:rsidRPr="007D34C3" w:rsidTr="004F59F8">
        <w:tc>
          <w:tcPr>
            <w:tcW w:w="2777" w:type="dxa"/>
          </w:tcPr>
          <w:p w:rsidR="001E4D21" w:rsidRPr="007D34C3" w:rsidRDefault="001E4D21" w:rsidP="004F59F8">
            <w:pPr>
              <w:adjustRightInd w:val="0"/>
              <w:spacing w:line="360" w:lineRule="exact"/>
              <w:rPr>
                <w:rFonts w:eastAsia="標楷體" w:hAnsi="標楷體"/>
                <w:bCs/>
                <w:color w:val="000000" w:themeColor="text1"/>
              </w:rPr>
            </w:pPr>
            <w:proofErr w:type="gramStart"/>
            <w:r w:rsidRPr="007D34C3">
              <w:rPr>
                <w:rFonts w:eastAsia="標楷體" w:hAnsi="標楷體" w:hint="eastAsia"/>
                <w:bCs/>
                <w:color w:val="000000" w:themeColor="text1"/>
                <w:u w:val="single"/>
                <w:shd w:val="pct15" w:color="auto" w:fill="FFFFFF"/>
              </w:rPr>
              <w:t>ＯＯ</w:t>
            </w:r>
            <w:proofErr w:type="gramEnd"/>
            <w:r w:rsidRPr="007D34C3">
              <w:rPr>
                <w:rFonts w:eastAsia="標楷體" w:hAnsi="標楷體" w:hint="eastAsia"/>
                <w:bCs/>
                <w:color w:val="000000" w:themeColor="text1"/>
              </w:rPr>
              <w:t>證券投資信託</w:t>
            </w:r>
            <w:r w:rsidRPr="007D34C3">
              <w:rPr>
                <w:rFonts w:ascii="標楷體" w:eastAsia="標楷體" w:hAnsi="標楷體" w:hint="eastAsia"/>
                <w:color w:val="000000" w:themeColor="text1"/>
              </w:rPr>
              <w:t>基金</w:t>
            </w:r>
          </w:p>
        </w:tc>
        <w:tc>
          <w:tcPr>
            <w:tcW w:w="1750" w:type="dxa"/>
          </w:tcPr>
          <w:p w:rsidR="001E4D21" w:rsidRPr="007D34C3" w:rsidRDefault="001E4D21" w:rsidP="004F59F8">
            <w:pPr>
              <w:adjustRightInd w:val="0"/>
              <w:spacing w:line="360" w:lineRule="exact"/>
              <w:rPr>
                <w:rFonts w:ascii="標楷體" w:eastAsia="標楷體" w:hAnsi="標楷體"/>
                <w:color w:val="000000" w:themeColor="text1"/>
              </w:rPr>
            </w:pPr>
          </w:p>
        </w:tc>
      </w:tr>
      <w:tr w:rsidR="001E4D21" w:rsidRPr="007D34C3" w:rsidTr="004F59F8">
        <w:tc>
          <w:tcPr>
            <w:tcW w:w="2777" w:type="dxa"/>
          </w:tcPr>
          <w:p w:rsidR="001E4D21" w:rsidRPr="007D34C3" w:rsidRDefault="001E4D21" w:rsidP="004F59F8">
            <w:pPr>
              <w:adjustRightInd w:val="0"/>
              <w:spacing w:line="360" w:lineRule="exact"/>
              <w:rPr>
                <w:rFonts w:eastAsia="標楷體" w:hAnsi="標楷體"/>
                <w:bCs/>
                <w:color w:val="000000" w:themeColor="text1"/>
              </w:rPr>
            </w:pPr>
            <w:proofErr w:type="gramStart"/>
            <w:r w:rsidRPr="007D34C3">
              <w:rPr>
                <w:rFonts w:eastAsia="標楷體" w:hAnsi="標楷體" w:hint="eastAsia"/>
                <w:bCs/>
                <w:color w:val="000000" w:themeColor="text1"/>
                <w:u w:val="single"/>
                <w:shd w:val="pct15" w:color="auto" w:fill="FFFFFF"/>
              </w:rPr>
              <w:t>ＯＯ</w:t>
            </w:r>
            <w:proofErr w:type="gramEnd"/>
            <w:r w:rsidRPr="007D34C3">
              <w:rPr>
                <w:rFonts w:eastAsia="標楷體" w:hAnsi="標楷體" w:hint="eastAsia"/>
                <w:bCs/>
                <w:color w:val="000000" w:themeColor="text1"/>
              </w:rPr>
              <w:t>證券投資信託</w:t>
            </w:r>
            <w:r w:rsidRPr="007D34C3">
              <w:rPr>
                <w:rFonts w:ascii="標楷體" w:eastAsia="標楷體" w:hAnsi="標楷體" w:hint="eastAsia"/>
                <w:color w:val="000000" w:themeColor="text1"/>
              </w:rPr>
              <w:t>基金</w:t>
            </w:r>
          </w:p>
        </w:tc>
        <w:tc>
          <w:tcPr>
            <w:tcW w:w="1750" w:type="dxa"/>
          </w:tcPr>
          <w:p w:rsidR="001E4D21" w:rsidRPr="007D34C3" w:rsidRDefault="001E4D21" w:rsidP="004F59F8">
            <w:pPr>
              <w:adjustRightInd w:val="0"/>
              <w:spacing w:line="360" w:lineRule="exact"/>
              <w:rPr>
                <w:rFonts w:ascii="標楷體" w:eastAsia="標楷體" w:hAnsi="標楷體"/>
                <w:color w:val="000000" w:themeColor="text1"/>
              </w:rPr>
            </w:pPr>
          </w:p>
        </w:tc>
      </w:tr>
      <w:tr w:rsidR="001E4D21" w:rsidRPr="007D34C3" w:rsidTr="004F59F8">
        <w:tc>
          <w:tcPr>
            <w:tcW w:w="2777" w:type="dxa"/>
          </w:tcPr>
          <w:p w:rsidR="001E4D21" w:rsidRPr="007D34C3" w:rsidRDefault="001E4D21" w:rsidP="004F59F8">
            <w:pPr>
              <w:adjustRightInd w:val="0"/>
              <w:spacing w:line="360" w:lineRule="exact"/>
              <w:rPr>
                <w:rFonts w:eastAsia="標楷體" w:hAnsi="標楷體"/>
                <w:bCs/>
                <w:color w:val="000000" w:themeColor="text1"/>
              </w:rPr>
            </w:pPr>
            <w:proofErr w:type="gramStart"/>
            <w:r w:rsidRPr="007D34C3">
              <w:rPr>
                <w:rFonts w:eastAsia="標楷體" w:hAnsi="標楷體" w:hint="eastAsia"/>
                <w:bCs/>
                <w:color w:val="000000" w:themeColor="text1"/>
                <w:u w:val="single"/>
                <w:shd w:val="pct15" w:color="auto" w:fill="FFFFFF"/>
              </w:rPr>
              <w:t>ＯＯ</w:t>
            </w:r>
            <w:proofErr w:type="gramEnd"/>
            <w:r w:rsidRPr="007D34C3">
              <w:rPr>
                <w:rFonts w:eastAsia="標楷體" w:hAnsi="標楷體" w:hint="eastAsia"/>
                <w:bCs/>
                <w:color w:val="000000" w:themeColor="text1"/>
              </w:rPr>
              <w:t>證券投資信託</w:t>
            </w:r>
            <w:r w:rsidRPr="007D34C3">
              <w:rPr>
                <w:rFonts w:ascii="標楷體" w:eastAsia="標楷體" w:hAnsi="標楷體" w:hint="eastAsia"/>
                <w:color w:val="000000" w:themeColor="text1"/>
              </w:rPr>
              <w:t>基金</w:t>
            </w:r>
          </w:p>
        </w:tc>
        <w:tc>
          <w:tcPr>
            <w:tcW w:w="1750" w:type="dxa"/>
          </w:tcPr>
          <w:p w:rsidR="001E4D21" w:rsidRPr="007D34C3" w:rsidRDefault="001E4D21" w:rsidP="004F59F8">
            <w:pPr>
              <w:adjustRightInd w:val="0"/>
              <w:spacing w:line="360" w:lineRule="exact"/>
              <w:rPr>
                <w:rFonts w:ascii="標楷體" w:eastAsia="標楷體" w:hAnsi="標楷體"/>
                <w:color w:val="000000" w:themeColor="text1"/>
              </w:rPr>
            </w:pPr>
          </w:p>
        </w:tc>
      </w:tr>
      <w:tr w:rsidR="001E4D21" w:rsidRPr="007D34C3" w:rsidTr="004F59F8">
        <w:tc>
          <w:tcPr>
            <w:tcW w:w="2777" w:type="dxa"/>
          </w:tcPr>
          <w:p w:rsidR="001E4D21" w:rsidRPr="007D34C3" w:rsidRDefault="001E4D21" w:rsidP="004F59F8">
            <w:pPr>
              <w:adjustRightInd w:val="0"/>
              <w:spacing w:line="360" w:lineRule="exact"/>
              <w:rPr>
                <w:rFonts w:eastAsia="標楷體" w:hAnsi="標楷體"/>
                <w:bCs/>
                <w:color w:val="000000" w:themeColor="text1"/>
              </w:rPr>
            </w:pPr>
            <w:proofErr w:type="gramStart"/>
            <w:r w:rsidRPr="007D34C3">
              <w:rPr>
                <w:rFonts w:eastAsia="標楷體" w:hAnsi="標楷體" w:hint="eastAsia"/>
                <w:bCs/>
                <w:color w:val="000000" w:themeColor="text1"/>
                <w:u w:val="single"/>
                <w:shd w:val="pct15" w:color="auto" w:fill="FFFFFF"/>
              </w:rPr>
              <w:t>ＯＯ</w:t>
            </w:r>
            <w:proofErr w:type="gramEnd"/>
            <w:r w:rsidRPr="007D34C3">
              <w:rPr>
                <w:rFonts w:eastAsia="標楷體" w:hAnsi="標楷體" w:hint="eastAsia"/>
                <w:bCs/>
                <w:color w:val="000000" w:themeColor="text1"/>
              </w:rPr>
              <w:t>證券投資信託</w:t>
            </w:r>
            <w:r w:rsidRPr="007D34C3">
              <w:rPr>
                <w:rFonts w:ascii="標楷體" w:eastAsia="標楷體" w:hAnsi="標楷體" w:hint="eastAsia"/>
                <w:color w:val="000000" w:themeColor="text1"/>
              </w:rPr>
              <w:t>基金</w:t>
            </w:r>
          </w:p>
        </w:tc>
        <w:tc>
          <w:tcPr>
            <w:tcW w:w="1750" w:type="dxa"/>
          </w:tcPr>
          <w:p w:rsidR="001E4D21" w:rsidRPr="007D34C3" w:rsidRDefault="001E4D21" w:rsidP="004F59F8">
            <w:pPr>
              <w:adjustRightInd w:val="0"/>
              <w:spacing w:line="360" w:lineRule="exact"/>
              <w:rPr>
                <w:rFonts w:ascii="標楷體" w:eastAsia="標楷體" w:hAnsi="標楷體"/>
                <w:color w:val="000000" w:themeColor="text1"/>
              </w:rPr>
            </w:pPr>
          </w:p>
        </w:tc>
      </w:tr>
    </w:tbl>
    <w:p w:rsidR="001E4D21" w:rsidRPr="007D34C3" w:rsidRDefault="001E4D21" w:rsidP="001E4D21">
      <w:pPr>
        <w:spacing w:line="360" w:lineRule="exact"/>
        <w:ind w:rightChars="-12" w:right="-29"/>
        <w:rPr>
          <w:rFonts w:ascii="標楷體" w:eastAsia="標楷體" w:hAnsi="標楷體"/>
          <w:color w:val="000000" w:themeColor="text1"/>
        </w:rPr>
      </w:pPr>
    </w:p>
    <w:p w:rsidR="001E4D21" w:rsidRPr="007D34C3" w:rsidRDefault="001E4D21" w:rsidP="001E4D21">
      <w:pPr>
        <w:spacing w:line="360" w:lineRule="exact"/>
        <w:ind w:rightChars="-12" w:right="-29"/>
        <w:rPr>
          <w:rFonts w:ascii="標楷體" w:eastAsia="標楷體" w:hAnsi="標楷體"/>
          <w:color w:val="000000" w:themeColor="text1"/>
        </w:rPr>
      </w:pPr>
    </w:p>
    <w:p w:rsidR="001E4D21" w:rsidRPr="007D34C3" w:rsidRDefault="001E4D21" w:rsidP="001E4D21">
      <w:pPr>
        <w:spacing w:line="360" w:lineRule="exact"/>
        <w:ind w:rightChars="-12" w:right="-29"/>
        <w:rPr>
          <w:rFonts w:ascii="標楷體" w:eastAsia="標楷體" w:hAnsi="標楷體"/>
          <w:color w:val="000000" w:themeColor="text1"/>
        </w:rPr>
      </w:pPr>
    </w:p>
    <w:p w:rsidR="001E4D21" w:rsidRPr="007D34C3" w:rsidRDefault="001E4D21" w:rsidP="001E4D21">
      <w:pPr>
        <w:spacing w:line="360" w:lineRule="exact"/>
        <w:ind w:rightChars="-12" w:right="-29"/>
        <w:rPr>
          <w:rFonts w:ascii="標楷體" w:eastAsia="標楷體" w:hAnsi="標楷體"/>
          <w:color w:val="000000" w:themeColor="text1"/>
        </w:rPr>
      </w:pPr>
    </w:p>
    <w:p w:rsidR="001E4D21" w:rsidRPr="007D34C3" w:rsidRDefault="001E4D21" w:rsidP="001E4D21">
      <w:pPr>
        <w:spacing w:line="360" w:lineRule="exact"/>
        <w:ind w:rightChars="-12" w:right="-29"/>
        <w:rPr>
          <w:rFonts w:ascii="標楷體" w:eastAsia="標楷體" w:hAnsi="標楷體"/>
          <w:color w:val="000000" w:themeColor="text1"/>
        </w:rPr>
      </w:pPr>
    </w:p>
    <w:p w:rsidR="001E4D21" w:rsidRPr="007D34C3" w:rsidRDefault="001E4D21" w:rsidP="001E4D21">
      <w:pPr>
        <w:spacing w:line="360" w:lineRule="exact"/>
        <w:ind w:rightChars="-12" w:right="-29"/>
        <w:rPr>
          <w:rFonts w:ascii="標楷體" w:eastAsia="標楷體" w:hAnsi="標楷體"/>
          <w:color w:val="000000" w:themeColor="text1"/>
        </w:rPr>
      </w:pPr>
    </w:p>
    <w:p w:rsidR="001E4D21" w:rsidRPr="007D34C3" w:rsidRDefault="001E4D21" w:rsidP="001E4D21">
      <w:pPr>
        <w:spacing w:line="360" w:lineRule="exact"/>
        <w:ind w:rightChars="-12" w:right="-29"/>
        <w:rPr>
          <w:rFonts w:ascii="標楷體" w:eastAsia="標楷體" w:hAnsi="標楷體"/>
          <w:color w:val="000000" w:themeColor="text1"/>
        </w:rPr>
      </w:pPr>
    </w:p>
    <w:p w:rsidR="001E4D21" w:rsidRDefault="001E4D21" w:rsidP="001E4D21">
      <w:pPr>
        <w:spacing w:line="360" w:lineRule="exact"/>
        <w:ind w:rightChars="-12" w:right="-29"/>
        <w:rPr>
          <w:rFonts w:ascii="標楷體" w:eastAsia="標楷體" w:hAnsi="標楷體"/>
          <w:color w:val="000000" w:themeColor="text1"/>
        </w:rPr>
      </w:pPr>
    </w:p>
    <w:p w:rsidR="001E4D21" w:rsidRDefault="001E4D21" w:rsidP="001E4D21">
      <w:pPr>
        <w:spacing w:line="360" w:lineRule="exact"/>
        <w:ind w:rightChars="-12" w:right="-29"/>
        <w:rPr>
          <w:rFonts w:ascii="標楷體" w:eastAsia="標楷體" w:hAnsi="標楷體"/>
          <w:color w:val="000000" w:themeColor="text1"/>
        </w:rPr>
      </w:pPr>
    </w:p>
    <w:p w:rsidR="001E4D21" w:rsidRDefault="001E4D21" w:rsidP="001E4D21">
      <w:pPr>
        <w:spacing w:line="360" w:lineRule="exact"/>
        <w:ind w:rightChars="-12" w:right="-29"/>
        <w:rPr>
          <w:rFonts w:ascii="標楷體" w:eastAsia="標楷體" w:hAnsi="標楷體"/>
          <w:color w:val="000000" w:themeColor="text1"/>
        </w:rPr>
      </w:pPr>
    </w:p>
    <w:p w:rsidR="001E4D21" w:rsidRDefault="001E4D21" w:rsidP="001E4D21">
      <w:pPr>
        <w:spacing w:line="360" w:lineRule="exact"/>
        <w:ind w:rightChars="-12" w:right="-29"/>
        <w:rPr>
          <w:rFonts w:ascii="標楷體" w:eastAsia="標楷體" w:hAnsi="標楷體"/>
          <w:color w:val="000000" w:themeColor="text1"/>
        </w:rPr>
      </w:pPr>
    </w:p>
    <w:p w:rsidR="001E4D21" w:rsidRPr="007D34C3" w:rsidRDefault="001E4D21" w:rsidP="001E4D21">
      <w:pPr>
        <w:spacing w:line="360" w:lineRule="exact"/>
        <w:ind w:rightChars="-12" w:right="-29"/>
        <w:rPr>
          <w:rFonts w:ascii="標楷體" w:eastAsia="標楷體" w:hAnsi="標楷體"/>
          <w:color w:val="000000" w:themeColor="text1"/>
        </w:rPr>
      </w:pPr>
    </w:p>
    <w:p w:rsidR="001E4D21" w:rsidRPr="007D34C3" w:rsidRDefault="001E4D21" w:rsidP="001E4D21">
      <w:pPr>
        <w:spacing w:line="360" w:lineRule="exact"/>
        <w:ind w:rightChars="-12" w:right="-29"/>
        <w:rPr>
          <w:rFonts w:ascii="標楷體" w:eastAsia="標楷體" w:hAnsi="標楷體"/>
          <w:color w:val="000000" w:themeColor="text1"/>
        </w:rPr>
      </w:pPr>
    </w:p>
    <w:p w:rsidR="001E4D21" w:rsidRPr="007D34C3" w:rsidRDefault="001E4D21" w:rsidP="001E4D21">
      <w:pPr>
        <w:widowControl/>
        <w:rPr>
          <w:rFonts w:ascii="標楷體" w:eastAsia="標楷體" w:hAnsi="標楷體"/>
          <w:color w:val="000000" w:themeColor="text1"/>
        </w:rPr>
      </w:pPr>
      <w:r w:rsidRPr="007D34C3">
        <w:rPr>
          <w:rFonts w:ascii="標楷體" w:eastAsia="標楷體" w:hAnsi="標楷體"/>
          <w:color w:val="000000" w:themeColor="text1"/>
        </w:rPr>
        <w:br w:type="page"/>
      </w:r>
    </w:p>
    <w:p w:rsidR="001E4D21" w:rsidRPr="007D34C3" w:rsidRDefault="001E4D21" w:rsidP="001E4D21">
      <w:pPr>
        <w:widowControl/>
        <w:spacing w:afterLines="100" w:after="360" w:line="400" w:lineRule="exact"/>
        <w:rPr>
          <w:rFonts w:ascii="標楷體" w:eastAsia="標楷體" w:hAnsi="標楷體" w:cs="Times New Roman"/>
          <w:b/>
          <w:color w:val="000000" w:themeColor="text1"/>
          <w:szCs w:val="20"/>
        </w:rPr>
      </w:pPr>
      <w:r w:rsidRPr="007D34C3">
        <w:rPr>
          <w:rFonts w:ascii="標楷體" w:eastAsia="標楷體" w:hAnsi="標楷體" w:cs="Times New Roman" w:hint="eastAsia"/>
          <w:b/>
          <w:color w:val="000000" w:themeColor="text1"/>
          <w:szCs w:val="20"/>
        </w:rPr>
        <w:lastRenderedPageBreak/>
        <w:t>通路報酬揭露格式範本填寫說明</w:t>
      </w:r>
      <w:r w:rsidRPr="007D34C3">
        <w:rPr>
          <w:rFonts w:ascii="微軟正黑體" w:eastAsia="微軟正黑體" w:hAnsi="微軟正黑體" w:cs="Times New Roman" w:hint="eastAsia"/>
          <w:b/>
          <w:color w:val="000000" w:themeColor="text1"/>
          <w:szCs w:val="20"/>
        </w:rPr>
        <w:t>：</w:t>
      </w:r>
    </w:p>
    <w:p w:rsidR="001E4D21" w:rsidRPr="007D34C3" w:rsidRDefault="001E4D21" w:rsidP="001E4D21">
      <w:pPr>
        <w:pStyle w:val="a9"/>
        <w:numPr>
          <w:ilvl w:val="0"/>
          <w:numId w:val="32"/>
        </w:numPr>
        <w:adjustRightInd w:val="0"/>
        <w:snapToGrid w:val="0"/>
        <w:spacing w:afterLines="50" w:after="180" w:line="400" w:lineRule="exact"/>
        <w:ind w:leftChars="0"/>
        <w:jc w:val="both"/>
        <w:rPr>
          <w:rFonts w:ascii="標楷體" w:eastAsia="標楷體" w:hAnsi="標楷體" w:cs="Times New Roman"/>
          <w:color w:val="000000" w:themeColor="text1"/>
          <w:szCs w:val="24"/>
        </w:rPr>
      </w:pPr>
      <w:r w:rsidRPr="007D34C3">
        <w:rPr>
          <w:rFonts w:ascii="標楷體" w:eastAsia="標楷體" w:hAnsi="標楷體" w:cs="Times New Roman" w:hint="eastAsia"/>
          <w:color w:val="000000" w:themeColor="text1"/>
          <w:szCs w:val="24"/>
        </w:rPr>
        <w:t>銷售機構就投資人申請轉換/轉申購視為新申購基金交易，於投資人申請轉換/轉申購時須進行基金銷售前之通路報酬揭露。然若投資人申請A基金轉換/轉申購至B基金，A基金與B基金通路報酬費率相同，且A基金與B基金已於同一揭露文件、網路頁面或語音播放一起詳列及說明，則轉換/轉申購時不用再行揭露；</w:t>
      </w:r>
      <w:proofErr w:type="gramStart"/>
      <w:r w:rsidRPr="007D34C3">
        <w:rPr>
          <w:rFonts w:ascii="標楷體" w:eastAsia="標楷體" w:hAnsi="標楷體" w:cs="Times New Roman" w:hint="eastAsia"/>
          <w:color w:val="000000" w:themeColor="text1"/>
          <w:szCs w:val="24"/>
        </w:rPr>
        <w:t>若否</w:t>
      </w:r>
      <w:proofErr w:type="gramEnd"/>
      <w:r w:rsidRPr="007D34C3">
        <w:rPr>
          <w:rFonts w:ascii="標楷體" w:eastAsia="標楷體" w:hAnsi="標楷體" w:cs="Times New Roman" w:hint="eastAsia"/>
          <w:color w:val="000000" w:themeColor="text1"/>
          <w:szCs w:val="24"/>
        </w:rPr>
        <w:t>，則投資人申請轉換/轉申購前，仍須再行銷售前之通路報酬揭露。</w:t>
      </w:r>
    </w:p>
    <w:p w:rsidR="001E4D21" w:rsidRPr="007D34C3" w:rsidRDefault="001E4D21" w:rsidP="001E4D21">
      <w:pPr>
        <w:pStyle w:val="a9"/>
        <w:numPr>
          <w:ilvl w:val="0"/>
          <w:numId w:val="32"/>
        </w:numPr>
        <w:adjustRightInd w:val="0"/>
        <w:snapToGrid w:val="0"/>
        <w:spacing w:afterLines="50" w:after="180" w:line="400" w:lineRule="exact"/>
        <w:ind w:leftChars="0"/>
        <w:jc w:val="both"/>
        <w:rPr>
          <w:rFonts w:ascii="標楷體" w:eastAsia="標楷體" w:hAnsi="標楷體" w:cs="Times New Roman"/>
          <w:color w:val="000000" w:themeColor="text1"/>
          <w:szCs w:val="24"/>
        </w:rPr>
      </w:pPr>
      <w:r w:rsidRPr="007D34C3">
        <w:rPr>
          <w:rFonts w:ascii="標楷體" w:eastAsia="標楷體" w:hAnsi="標楷體" w:cs="Times New Roman" w:hint="eastAsia"/>
          <w:color w:val="000000" w:themeColor="text1"/>
          <w:szCs w:val="24"/>
        </w:rPr>
        <w:t>銷售機構可就自身業務情況作字句的調整，如本銀行改成本公司；○○投信○○基金，改成○○公司○○基金等，並同步調整相關欄位。</w:t>
      </w:r>
    </w:p>
    <w:p w:rsidR="001E4D21" w:rsidRPr="007D34C3" w:rsidRDefault="001E4D21" w:rsidP="001E4D21">
      <w:pPr>
        <w:pStyle w:val="a9"/>
        <w:numPr>
          <w:ilvl w:val="0"/>
          <w:numId w:val="32"/>
        </w:numPr>
        <w:adjustRightInd w:val="0"/>
        <w:snapToGrid w:val="0"/>
        <w:spacing w:afterLines="50" w:after="180" w:line="400" w:lineRule="exact"/>
        <w:ind w:leftChars="0"/>
        <w:jc w:val="both"/>
        <w:rPr>
          <w:rFonts w:ascii="標楷體" w:eastAsia="標楷體" w:hAnsi="標楷體" w:cs="Times New Roman"/>
          <w:color w:val="000000" w:themeColor="text1"/>
          <w:szCs w:val="24"/>
        </w:rPr>
      </w:pPr>
      <w:r w:rsidRPr="007D34C3">
        <w:rPr>
          <w:rFonts w:ascii="標楷體" w:eastAsia="標楷體" w:hAnsi="標楷體" w:cs="Times New Roman" w:hint="eastAsia"/>
          <w:color w:val="000000" w:themeColor="text1"/>
          <w:szCs w:val="24"/>
        </w:rPr>
        <w:t>投資人須單獨確認通路報酬之揭露文件、網路頁面或播放之語音。</w:t>
      </w:r>
    </w:p>
    <w:p w:rsidR="001E4D21" w:rsidRPr="007D34C3" w:rsidRDefault="001E4D21" w:rsidP="001E4D21">
      <w:pPr>
        <w:pStyle w:val="a9"/>
        <w:widowControl/>
        <w:numPr>
          <w:ilvl w:val="0"/>
          <w:numId w:val="32"/>
        </w:numPr>
        <w:ind w:leftChars="0"/>
        <w:jc w:val="both"/>
        <w:rPr>
          <w:rFonts w:ascii="標楷體" w:eastAsia="標楷體" w:hAnsi="標楷體" w:cs="Times New Roman"/>
          <w:color w:val="000000" w:themeColor="text1"/>
          <w:szCs w:val="20"/>
        </w:rPr>
      </w:pPr>
      <w:r w:rsidRPr="007D34C3">
        <w:rPr>
          <w:rFonts w:ascii="標楷體" w:eastAsia="標楷體" w:hAnsi="標楷體" w:cs="Times New Roman" w:hint="eastAsia"/>
          <w:color w:val="000000" w:themeColor="text1"/>
          <w:szCs w:val="20"/>
        </w:rPr>
        <w:t>申購手續費分成(</w:t>
      </w:r>
      <w:r w:rsidRPr="007D34C3">
        <w:rPr>
          <w:rFonts w:ascii="標楷體" w:eastAsia="標楷體" w:hAnsi="標楷體" w:cs="Times New Roman"/>
          <w:color w:val="000000" w:themeColor="text1"/>
          <w:szCs w:val="20"/>
        </w:rPr>
        <w:t>%</w:t>
      </w:r>
      <w:r w:rsidRPr="007D34C3">
        <w:rPr>
          <w:rFonts w:ascii="標楷體" w:eastAsia="標楷體" w:hAnsi="標楷體" w:cs="Times New Roman" w:hint="eastAsia"/>
          <w:color w:val="000000" w:themeColor="text1"/>
          <w:szCs w:val="20"/>
        </w:rPr>
        <w:t>)</w:t>
      </w:r>
    </w:p>
    <w:p w:rsidR="001E4D21" w:rsidRPr="007D34C3" w:rsidRDefault="001E4D21" w:rsidP="001E4D21">
      <w:pPr>
        <w:widowControl/>
        <w:ind w:leftChars="295" w:left="1274" w:hangingChars="236" w:hanging="566"/>
        <w:jc w:val="both"/>
        <w:rPr>
          <w:rFonts w:ascii="標楷體" w:eastAsia="標楷體" w:hAnsi="標楷體" w:cs="Times New Roman"/>
          <w:color w:val="000000" w:themeColor="text1"/>
          <w:szCs w:val="20"/>
        </w:rPr>
      </w:pPr>
      <w:r w:rsidRPr="007D34C3">
        <w:rPr>
          <w:rFonts w:ascii="標楷體" w:eastAsia="標楷體" w:hAnsi="標楷體" w:cs="Times New Roman" w:hint="eastAsia"/>
          <w:color w:val="000000" w:themeColor="text1"/>
          <w:szCs w:val="20"/>
        </w:rPr>
        <w:t>(</w:t>
      </w:r>
      <w:proofErr w:type="gramStart"/>
      <w:r w:rsidRPr="007D34C3">
        <w:rPr>
          <w:rFonts w:ascii="標楷體" w:eastAsia="標楷體" w:hAnsi="標楷體" w:cs="Times New Roman" w:hint="eastAsia"/>
          <w:color w:val="000000" w:themeColor="text1"/>
          <w:szCs w:val="20"/>
        </w:rPr>
        <w:t>一</w:t>
      </w:r>
      <w:proofErr w:type="gramEnd"/>
      <w:r w:rsidRPr="007D34C3">
        <w:rPr>
          <w:rFonts w:ascii="標楷體" w:eastAsia="標楷體" w:hAnsi="標楷體" w:cs="Times New Roman" w:hint="eastAsia"/>
          <w:color w:val="000000" w:themeColor="text1"/>
          <w:szCs w:val="20"/>
        </w:rPr>
        <w:t>)</w:t>
      </w:r>
      <w:r w:rsidR="003B782D">
        <w:rPr>
          <w:rFonts w:ascii="標楷體" w:eastAsia="標楷體" w:hAnsi="標楷體" w:cs="Times New Roman" w:hint="eastAsia"/>
          <w:color w:val="000000" w:themeColor="text1"/>
          <w:szCs w:val="20"/>
        </w:rPr>
        <w:t xml:space="preserve"> </w:t>
      </w:r>
      <w:r w:rsidRPr="007D34C3">
        <w:rPr>
          <w:rFonts w:ascii="標楷體" w:eastAsia="標楷體" w:hAnsi="標楷體" w:cs="Times New Roman" w:hint="eastAsia"/>
          <w:color w:val="000000" w:themeColor="text1"/>
          <w:szCs w:val="20"/>
        </w:rPr>
        <w:t>申購手續費率可為實際費率；或填寫投信基金之公開說明書或境外基金之總代理契約/銷售契約所載之最高申購手續費率（或銷售機構自訂之表定費率）。</w:t>
      </w:r>
    </w:p>
    <w:p w:rsidR="001E4D21" w:rsidRPr="007D34C3" w:rsidRDefault="001E4D21" w:rsidP="001E4D21">
      <w:pPr>
        <w:widowControl/>
        <w:ind w:leftChars="295" w:left="1274" w:hangingChars="236" w:hanging="566"/>
        <w:jc w:val="both"/>
        <w:rPr>
          <w:rFonts w:ascii="標楷體" w:eastAsia="標楷體" w:hAnsi="標楷體" w:cs="Times New Roman"/>
          <w:color w:val="000000" w:themeColor="text1"/>
          <w:szCs w:val="20"/>
        </w:rPr>
      </w:pPr>
      <w:r w:rsidRPr="007D34C3">
        <w:rPr>
          <w:rFonts w:ascii="標楷體" w:eastAsia="標楷體" w:hAnsi="標楷體" w:cs="Times New Roman" w:hint="eastAsia"/>
          <w:color w:val="000000" w:themeColor="text1"/>
          <w:szCs w:val="20"/>
        </w:rPr>
        <w:t>(二)</w:t>
      </w:r>
      <w:r w:rsidR="003B782D">
        <w:rPr>
          <w:rFonts w:ascii="標楷體" w:eastAsia="標楷體" w:hAnsi="標楷體" w:cs="Times New Roman" w:hint="eastAsia"/>
          <w:color w:val="000000" w:themeColor="text1"/>
          <w:szCs w:val="20"/>
        </w:rPr>
        <w:t xml:space="preserve"> </w:t>
      </w:r>
      <w:r w:rsidRPr="007D34C3">
        <w:rPr>
          <w:rFonts w:ascii="標楷體" w:eastAsia="標楷體" w:hAnsi="標楷體" w:cs="Times New Roman" w:hint="eastAsia"/>
          <w:color w:val="000000" w:themeColor="text1"/>
          <w:szCs w:val="20"/>
        </w:rPr>
        <w:t>申購手續費分成可為實際費率；或無條件進位至整數位，但不得高於最高手續費率（或銷售機構自訂之表定費率）。舉例：銷售機構收取2.4%，可無條件進</w:t>
      </w:r>
      <w:r>
        <w:rPr>
          <w:rFonts w:ascii="標楷體" w:eastAsia="標楷體" w:hAnsi="標楷體" w:cs="Times New Roman" w:hint="eastAsia"/>
          <w:color w:val="000000" w:themeColor="text1"/>
          <w:szCs w:val="20"/>
        </w:rPr>
        <w:t>位</w:t>
      </w:r>
      <w:r w:rsidR="00595543">
        <w:rPr>
          <w:rFonts w:ascii="標楷體" w:eastAsia="標楷體" w:hAnsi="標楷體" w:cs="Times New Roman" w:hint="eastAsia"/>
          <w:color w:val="000000" w:themeColor="text1"/>
          <w:szCs w:val="20"/>
        </w:rPr>
        <w:t>至</w:t>
      </w:r>
      <w:r w:rsidRPr="007D34C3">
        <w:rPr>
          <w:rFonts w:ascii="標楷體" w:eastAsia="標楷體" w:hAnsi="標楷體" w:cs="Times New Roman" w:hint="eastAsia"/>
          <w:color w:val="000000" w:themeColor="text1"/>
          <w:szCs w:val="20"/>
        </w:rPr>
        <w:t>整數位，即可表示為不多於3%。</w:t>
      </w:r>
    </w:p>
    <w:p w:rsidR="001E4D21" w:rsidRDefault="001E4D21" w:rsidP="006544AC">
      <w:pPr>
        <w:widowControl/>
        <w:ind w:leftChars="296" w:left="1274" w:hangingChars="235" w:hanging="564"/>
        <w:jc w:val="both"/>
        <w:rPr>
          <w:rFonts w:ascii="標楷體" w:eastAsia="標楷體" w:hAnsi="標楷體" w:cs="Times New Roman"/>
          <w:color w:val="000000" w:themeColor="text1"/>
          <w:szCs w:val="20"/>
        </w:rPr>
      </w:pPr>
      <w:r w:rsidRPr="007D34C3">
        <w:rPr>
          <w:rFonts w:ascii="標楷體" w:eastAsia="標楷體" w:hAnsi="標楷體" w:cs="Times New Roman" w:hint="eastAsia"/>
          <w:color w:val="000000" w:themeColor="text1"/>
          <w:szCs w:val="20"/>
        </w:rPr>
        <w:t>(三)</w:t>
      </w:r>
      <w:r w:rsidR="003B782D">
        <w:rPr>
          <w:rFonts w:ascii="標楷體" w:eastAsia="標楷體" w:hAnsi="標楷體" w:cs="Times New Roman" w:hint="eastAsia"/>
          <w:color w:val="000000" w:themeColor="text1"/>
          <w:szCs w:val="20"/>
        </w:rPr>
        <w:t xml:space="preserve"> </w:t>
      </w:r>
      <w:r w:rsidRPr="007D34C3">
        <w:rPr>
          <w:rFonts w:ascii="標楷體" w:eastAsia="標楷體" w:hAnsi="標楷體" w:cs="Times New Roman" w:hint="eastAsia"/>
          <w:color w:val="000000" w:themeColor="text1"/>
          <w:szCs w:val="20"/>
        </w:rPr>
        <w:t>申購手續費分成揭露，銷售機構可擇</w:t>
      </w:r>
      <w:proofErr w:type="gramStart"/>
      <w:r w:rsidRPr="007D34C3">
        <w:rPr>
          <w:rFonts w:ascii="標楷體" w:eastAsia="標楷體" w:hAnsi="標楷體" w:cs="Times New Roman" w:hint="eastAsia"/>
          <w:color w:val="000000" w:themeColor="text1"/>
          <w:szCs w:val="20"/>
        </w:rPr>
        <w:t>一</w:t>
      </w:r>
      <w:proofErr w:type="gramEnd"/>
      <w:r w:rsidRPr="007D34C3">
        <w:rPr>
          <w:rFonts w:ascii="標楷體" w:eastAsia="標楷體" w:hAnsi="標楷體" w:cs="Times New Roman" w:hint="eastAsia"/>
          <w:color w:val="000000" w:themeColor="text1"/>
          <w:szCs w:val="20"/>
        </w:rPr>
        <w:t>揭露「收取</w:t>
      </w:r>
      <w:r w:rsidRPr="007D34C3">
        <w:rPr>
          <w:rFonts w:ascii="標楷體" w:eastAsia="標楷體" w:hAnsi="標楷體" w:cs="Times New Roman" w:hint="eastAsia"/>
          <w:bCs/>
          <w:color w:val="000000" w:themeColor="text1"/>
          <w:szCs w:val="20"/>
          <w:u w:val="single"/>
          <w:shd w:val="pct15" w:color="auto" w:fill="FFFFFF"/>
        </w:rPr>
        <w:t xml:space="preserve">  </w:t>
      </w:r>
      <w:r w:rsidRPr="007D34C3">
        <w:rPr>
          <w:rFonts w:ascii="標楷體" w:eastAsia="標楷體" w:hAnsi="標楷體" w:cs="Times New Roman" w:hint="eastAsia"/>
          <w:color w:val="000000" w:themeColor="text1"/>
          <w:szCs w:val="20"/>
        </w:rPr>
        <w:t>%」或「不多於</w:t>
      </w:r>
      <w:r w:rsidRPr="007D34C3">
        <w:rPr>
          <w:rFonts w:ascii="標楷體" w:eastAsia="標楷體" w:hAnsi="標楷體" w:cs="Times New Roman" w:hint="eastAsia"/>
          <w:bCs/>
          <w:color w:val="000000" w:themeColor="text1"/>
          <w:szCs w:val="20"/>
          <w:u w:val="single"/>
          <w:shd w:val="pct15" w:color="auto" w:fill="FFFFFF"/>
        </w:rPr>
        <w:t xml:space="preserve">  </w:t>
      </w:r>
      <w:r w:rsidRPr="007D34C3">
        <w:rPr>
          <w:rFonts w:ascii="標楷體" w:eastAsia="標楷體" w:hAnsi="標楷體" w:cs="Times New Roman" w:hint="eastAsia"/>
          <w:color w:val="000000" w:themeColor="text1"/>
          <w:szCs w:val="20"/>
        </w:rPr>
        <w:t>% 」之文字。若未有分成者，則可將「其中本銀行收取</w:t>
      </w:r>
      <w:r w:rsidRPr="007D34C3">
        <w:rPr>
          <w:rFonts w:ascii="標楷體" w:eastAsia="標楷體" w:hAnsi="標楷體" w:cs="Times New Roman" w:hint="eastAsia"/>
          <w:color w:val="000000" w:themeColor="text1"/>
          <w:szCs w:val="20"/>
          <w:u w:val="single"/>
          <w:shd w:val="pct15" w:color="auto" w:fill="FFFFFF"/>
        </w:rPr>
        <w:t xml:space="preserve">  </w:t>
      </w:r>
      <w:r w:rsidRPr="007D34C3">
        <w:rPr>
          <w:rFonts w:ascii="標楷體" w:eastAsia="標楷體" w:hAnsi="標楷體" w:cs="Times New Roman" w:hint="eastAsia"/>
          <w:color w:val="000000" w:themeColor="text1"/>
          <w:szCs w:val="20"/>
        </w:rPr>
        <w:t>%（或不多於</w:t>
      </w:r>
      <w:r w:rsidRPr="007D34C3">
        <w:rPr>
          <w:rFonts w:ascii="標楷體" w:eastAsia="標楷體" w:hAnsi="標楷體" w:cs="Times New Roman" w:hint="eastAsia"/>
          <w:bCs/>
          <w:color w:val="000000" w:themeColor="text1"/>
          <w:szCs w:val="20"/>
          <w:u w:val="single"/>
          <w:shd w:val="pct15" w:color="auto" w:fill="FFFFFF"/>
        </w:rPr>
        <w:t xml:space="preserve">  </w:t>
      </w:r>
      <w:r w:rsidRPr="007D34C3">
        <w:rPr>
          <w:rFonts w:ascii="標楷體" w:eastAsia="標楷體" w:hAnsi="標楷體" w:cs="Times New Roman" w:hint="eastAsia"/>
          <w:color w:val="000000" w:themeColor="text1"/>
          <w:szCs w:val="20"/>
        </w:rPr>
        <w:t>% ）」之揭露文字及相關計算說明刪除。</w:t>
      </w:r>
    </w:p>
    <w:p w:rsidR="001E4D21" w:rsidRPr="003152A4" w:rsidRDefault="001E4D21" w:rsidP="003B782D">
      <w:pPr>
        <w:widowControl/>
        <w:ind w:leftChars="235" w:left="1130" w:hangingChars="236" w:hanging="566"/>
        <w:jc w:val="both"/>
        <w:rPr>
          <w:rFonts w:ascii="標楷體" w:eastAsia="標楷體" w:hAnsi="標楷體" w:cs="Times New Roman"/>
          <w:color w:val="000000" w:themeColor="text1"/>
          <w:szCs w:val="20"/>
        </w:rPr>
      </w:pPr>
      <w:r>
        <w:rPr>
          <w:rFonts w:ascii="標楷體" w:eastAsia="標楷體" w:hAnsi="標楷體" w:cs="Times New Roman" w:hint="eastAsia"/>
          <w:color w:val="000000" w:themeColor="text1"/>
          <w:szCs w:val="20"/>
        </w:rPr>
        <w:t>（四）</w:t>
      </w:r>
      <w:r w:rsidRPr="007D34C3">
        <w:rPr>
          <w:rFonts w:ascii="標楷體" w:eastAsia="標楷體" w:hAnsi="標楷體" w:cs="Times New Roman" w:hint="eastAsia"/>
          <w:color w:val="000000" w:themeColor="text1"/>
          <w:szCs w:val="20"/>
        </w:rPr>
        <w:t>申購手續費分成揭露可依</w:t>
      </w:r>
      <w:r w:rsidRPr="003152A4">
        <w:rPr>
          <w:rFonts w:ascii="標楷體" w:eastAsia="標楷體" w:hAnsi="標楷體" w:cs="Times New Roman" w:hint="eastAsia"/>
          <w:color w:val="000000" w:themeColor="text1"/>
          <w:szCs w:val="20"/>
        </w:rPr>
        <w:t>投資人申購基金屬前收型或後</w:t>
      </w:r>
      <w:proofErr w:type="gramStart"/>
      <w:r w:rsidRPr="003152A4">
        <w:rPr>
          <w:rFonts w:ascii="標楷體" w:eastAsia="標楷體" w:hAnsi="標楷體" w:cs="Times New Roman" w:hint="eastAsia"/>
          <w:color w:val="000000" w:themeColor="text1"/>
          <w:szCs w:val="20"/>
        </w:rPr>
        <w:t>收型擇</w:t>
      </w:r>
      <w:proofErr w:type="gramEnd"/>
      <w:r w:rsidRPr="003152A4">
        <w:rPr>
          <w:rFonts w:ascii="標楷體" w:eastAsia="標楷體" w:hAnsi="標楷體" w:cs="Times New Roman" w:hint="eastAsia"/>
          <w:color w:val="000000" w:themeColor="text1"/>
          <w:szCs w:val="20"/>
        </w:rPr>
        <w:t>1或2揭示。</w:t>
      </w:r>
    </w:p>
    <w:p w:rsidR="001E4D21" w:rsidRPr="007D34C3" w:rsidRDefault="001E4D21" w:rsidP="001E4D21">
      <w:pPr>
        <w:widowControl/>
        <w:ind w:leftChars="295" w:left="1274" w:hangingChars="236" w:hanging="566"/>
        <w:jc w:val="both"/>
        <w:rPr>
          <w:rFonts w:ascii="標楷體" w:eastAsia="標楷體" w:hAnsi="標楷體" w:cs="Times New Roman"/>
          <w:color w:val="000000" w:themeColor="text1"/>
          <w:szCs w:val="20"/>
        </w:rPr>
      </w:pPr>
      <w:r w:rsidRPr="007D34C3">
        <w:rPr>
          <w:rFonts w:ascii="標楷體" w:eastAsia="標楷體" w:hAnsi="標楷體" w:cs="Times New Roman" w:hint="eastAsia"/>
          <w:color w:val="000000" w:themeColor="text1"/>
          <w:szCs w:val="20"/>
        </w:rPr>
        <w:t>(五)</w:t>
      </w:r>
      <w:r w:rsidR="003B782D">
        <w:rPr>
          <w:rFonts w:ascii="標楷體" w:eastAsia="標楷體" w:hAnsi="標楷體" w:cs="Times New Roman" w:hint="eastAsia"/>
          <w:color w:val="000000" w:themeColor="text1"/>
          <w:szCs w:val="20"/>
        </w:rPr>
        <w:t xml:space="preserve"> </w:t>
      </w:r>
      <w:r w:rsidRPr="007D34C3">
        <w:rPr>
          <w:rFonts w:ascii="標楷體" w:eastAsia="標楷體" w:hAnsi="標楷體" w:cs="Times New Roman" w:hint="eastAsia"/>
          <w:color w:val="000000" w:themeColor="text1"/>
          <w:szCs w:val="20"/>
        </w:rPr>
        <w:t>銷售機構應於申購申請書、證券商受託買賣之委託書或</w:t>
      </w:r>
      <w:proofErr w:type="gramStart"/>
      <w:r w:rsidRPr="007D34C3">
        <w:rPr>
          <w:rFonts w:ascii="標楷體" w:eastAsia="標楷體" w:hAnsi="標楷體" w:cs="Times New Roman" w:hint="eastAsia"/>
          <w:color w:val="000000" w:themeColor="text1"/>
          <w:szCs w:val="20"/>
        </w:rPr>
        <w:t>類似書件載</w:t>
      </w:r>
      <w:proofErr w:type="gramEnd"/>
      <w:r w:rsidRPr="007D34C3">
        <w:rPr>
          <w:rFonts w:ascii="標楷體" w:eastAsia="標楷體" w:hAnsi="標楷體" w:cs="Times New Roman" w:hint="eastAsia"/>
          <w:color w:val="000000" w:themeColor="text1"/>
          <w:szCs w:val="20"/>
        </w:rPr>
        <w:t>明個別投資人實際手續費收取情形。</w:t>
      </w:r>
    </w:p>
    <w:p w:rsidR="001E4D21" w:rsidRPr="007D34C3" w:rsidRDefault="001E4D21" w:rsidP="001E4D21">
      <w:pPr>
        <w:ind w:leftChars="296" w:left="1274" w:hangingChars="235" w:hanging="564"/>
        <w:jc w:val="both"/>
        <w:rPr>
          <w:rFonts w:ascii="標楷體" w:eastAsia="標楷體" w:hAnsi="標楷體" w:cs="Times New Roman"/>
          <w:color w:val="000000" w:themeColor="text1"/>
          <w:szCs w:val="20"/>
        </w:rPr>
      </w:pPr>
      <w:r w:rsidRPr="007D34C3">
        <w:rPr>
          <w:rFonts w:ascii="標楷體" w:eastAsia="標楷體" w:hAnsi="標楷體" w:cs="Times New Roman" w:hint="eastAsia"/>
          <w:color w:val="000000" w:themeColor="text1"/>
          <w:szCs w:val="24"/>
        </w:rPr>
        <w:t>(六)</w:t>
      </w:r>
      <w:r w:rsidR="003B782D">
        <w:rPr>
          <w:rFonts w:ascii="標楷體" w:eastAsia="標楷體" w:hAnsi="標楷體" w:cs="Times New Roman" w:hint="eastAsia"/>
          <w:color w:val="000000" w:themeColor="text1"/>
          <w:szCs w:val="24"/>
        </w:rPr>
        <w:t xml:space="preserve"> </w:t>
      </w:r>
      <w:r w:rsidRPr="007D34C3">
        <w:rPr>
          <w:rFonts w:ascii="標楷體" w:eastAsia="標楷體" w:hAnsi="標楷體" w:cs="Times New Roman" w:hint="eastAsia"/>
          <w:color w:val="000000" w:themeColor="text1"/>
          <w:szCs w:val="24"/>
        </w:rPr>
        <w:t>轉換</w:t>
      </w:r>
      <w:r w:rsidRPr="007D34C3">
        <w:rPr>
          <w:rFonts w:ascii="標楷體" w:eastAsia="標楷體" w:hAnsi="標楷體" w:cs="Times New Roman" w:hint="eastAsia"/>
          <w:color w:val="000000" w:themeColor="text1"/>
          <w:szCs w:val="20"/>
        </w:rPr>
        <w:t>/轉申購</w:t>
      </w:r>
      <w:r w:rsidRPr="007D34C3">
        <w:rPr>
          <w:rFonts w:ascii="標楷體" w:eastAsia="標楷體" w:hAnsi="標楷體" w:cs="Times New Roman" w:hint="eastAsia"/>
          <w:color w:val="000000" w:themeColor="text1"/>
          <w:szCs w:val="24"/>
        </w:rPr>
        <w:t>手續費分成應比照申購手續費分成之揭露方式辦理，須單獨</w:t>
      </w:r>
      <w:proofErr w:type="gramStart"/>
      <w:r w:rsidRPr="007D34C3">
        <w:rPr>
          <w:rFonts w:ascii="標楷體" w:eastAsia="標楷體" w:hAnsi="標楷體" w:cs="Times New Roman" w:hint="eastAsia"/>
          <w:color w:val="000000" w:themeColor="text1"/>
          <w:szCs w:val="24"/>
        </w:rPr>
        <w:t>列明且不得</w:t>
      </w:r>
      <w:proofErr w:type="gramEnd"/>
      <w:r w:rsidRPr="007D34C3">
        <w:rPr>
          <w:rFonts w:ascii="標楷體" w:eastAsia="標楷體" w:hAnsi="標楷體" w:cs="Times New Roman" w:hint="eastAsia"/>
          <w:color w:val="000000" w:themeColor="text1"/>
          <w:szCs w:val="24"/>
        </w:rPr>
        <w:t>併入申購手續費分成。</w:t>
      </w:r>
    </w:p>
    <w:p w:rsidR="001E4D21" w:rsidRPr="007D34C3" w:rsidRDefault="001E4D21" w:rsidP="001E4D21">
      <w:pPr>
        <w:ind w:leftChars="296" w:left="1274" w:hangingChars="235" w:hanging="564"/>
        <w:jc w:val="both"/>
        <w:rPr>
          <w:rFonts w:ascii="標楷體" w:eastAsia="標楷體" w:hAnsi="標楷體" w:cs="Times New Roman"/>
          <w:color w:val="000000" w:themeColor="text1"/>
          <w:szCs w:val="20"/>
        </w:rPr>
      </w:pPr>
      <w:r w:rsidRPr="007D34C3">
        <w:rPr>
          <w:rFonts w:ascii="標楷體" w:eastAsia="標楷體" w:hAnsi="標楷體" w:cs="Times New Roman" w:hint="eastAsia"/>
          <w:color w:val="000000" w:themeColor="text1"/>
          <w:szCs w:val="20"/>
        </w:rPr>
        <w:t>(七)</w:t>
      </w:r>
      <w:r w:rsidR="003B782D">
        <w:rPr>
          <w:rFonts w:ascii="標楷體" w:eastAsia="標楷體" w:hAnsi="標楷體" w:cs="Times New Roman" w:hint="eastAsia"/>
          <w:color w:val="000000" w:themeColor="text1"/>
          <w:szCs w:val="20"/>
        </w:rPr>
        <w:t xml:space="preserve"> </w:t>
      </w:r>
      <w:r w:rsidRPr="007D34C3">
        <w:rPr>
          <w:rFonts w:ascii="標楷體" w:eastAsia="標楷體" w:hAnsi="標楷體" w:cs="Times New Roman" w:hint="eastAsia"/>
          <w:color w:val="000000" w:themeColor="text1"/>
          <w:szCs w:val="20"/>
        </w:rPr>
        <w:t>轉換/轉申購手續費分成揭露，銷售機構可擇</w:t>
      </w:r>
      <w:proofErr w:type="gramStart"/>
      <w:r w:rsidRPr="007D34C3">
        <w:rPr>
          <w:rFonts w:ascii="標楷體" w:eastAsia="標楷體" w:hAnsi="標楷體" w:cs="Times New Roman" w:hint="eastAsia"/>
          <w:color w:val="000000" w:themeColor="text1"/>
          <w:szCs w:val="20"/>
        </w:rPr>
        <w:t>一</w:t>
      </w:r>
      <w:proofErr w:type="gramEnd"/>
      <w:r w:rsidRPr="007D34C3">
        <w:rPr>
          <w:rFonts w:ascii="標楷體" w:eastAsia="標楷體" w:hAnsi="標楷體" w:cs="Times New Roman" w:hint="eastAsia"/>
          <w:color w:val="000000" w:themeColor="text1"/>
          <w:szCs w:val="20"/>
        </w:rPr>
        <w:t>揭露「收取</w:t>
      </w:r>
      <w:r w:rsidRPr="007D34C3">
        <w:rPr>
          <w:rFonts w:ascii="標楷體" w:eastAsia="標楷體" w:hAnsi="標楷體" w:cs="Times New Roman" w:hint="eastAsia"/>
          <w:color w:val="000000" w:themeColor="text1"/>
          <w:szCs w:val="20"/>
          <w:u w:val="single"/>
          <w:shd w:val="pct15" w:color="auto" w:fill="FFFFFF"/>
        </w:rPr>
        <w:t xml:space="preserve">  </w:t>
      </w:r>
      <w:r w:rsidRPr="007D34C3">
        <w:rPr>
          <w:rFonts w:ascii="標楷體" w:eastAsia="標楷體" w:hAnsi="標楷體" w:cs="Times New Roman" w:hint="eastAsia"/>
          <w:color w:val="000000" w:themeColor="text1"/>
          <w:szCs w:val="20"/>
        </w:rPr>
        <w:t>%」或「不多於</w:t>
      </w:r>
      <w:r w:rsidRPr="007D34C3">
        <w:rPr>
          <w:rFonts w:ascii="標楷體" w:eastAsia="標楷體" w:hAnsi="標楷體" w:cs="Times New Roman" w:hint="eastAsia"/>
          <w:color w:val="000000" w:themeColor="text1"/>
          <w:szCs w:val="20"/>
          <w:u w:val="single"/>
          <w:shd w:val="pct15" w:color="auto" w:fill="FFFFFF"/>
        </w:rPr>
        <w:t xml:space="preserve">  </w:t>
      </w:r>
      <w:r w:rsidRPr="007D34C3">
        <w:rPr>
          <w:rFonts w:ascii="標楷體" w:eastAsia="標楷體" w:hAnsi="標楷體" w:cs="Times New Roman" w:hint="eastAsia"/>
          <w:color w:val="000000" w:themeColor="text1"/>
          <w:szCs w:val="20"/>
        </w:rPr>
        <w:t>% 」之文字。若未有分成者，則可將「其中本銀行收取</w:t>
      </w:r>
      <w:r w:rsidRPr="007D34C3">
        <w:rPr>
          <w:rFonts w:ascii="標楷體" w:eastAsia="標楷體" w:hAnsi="標楷體" w:cs="Times New Roman" w:hint="eastAsia"/>
          <w:color w:val="000000" w:themeColor="text1"/>
          <w:szCs w:val="20"/>
          <w:u w:val="single"/>
          <w:shd w:val="pct15" w:color="auto" w:fill="FFFFFF"/>
        </w:rPr>
        <w:t xml:space="preserve">  </w:t>
      </w:r>
      <w:r w:rsidRPr="007D34C3">
        <w:rPr>
          <w:rFonts w:ascii="標楷體" w:eastAsia="標楷體" w:hAnsi="標楷體" w:cs="Times New Roman" w:hint="eastAsia"/>
          <w:color w:val="000000" w:themeColor="text1"/>
          <w:szCs w:val="20"/>
        </w:rPr>
        <w:t>%（或不多於</w:t>
      </w:r>
      <w:r w:rsidRPr="007D34C3">
        <w:rPr>
          <w:rFonts w:ascii="標楷體" w:eastAsia="標楷體" w:hAnsi="標楷體" w:cs="Times New Roman" w:hint="eastAsia"/>
          <w:color w:val="000000" w:themeColor="text1"/>
          <w:szCs w:val="20"/>
          <w:u w:val="single"/>
          <w:shd w:val="pct15" w:color="auto" w:fill="FFFFFF"/>
        </w:rPr>
        <w:t xml:space="preserve">  </w:t>
      </w:r>
      <w:r w:rsidRPr="007D34C3">
        <w:rPr>
          <w:rFonts w:ascii="標楷體" w:eastAsia="標楷體" w:hAnsi="標楷體" w:cs="Times New Roman" w:hint="eastAsia"/>
          <w:color w:val="000000" w:themeColor="text1"/>
          <w:szCs w:val="20"/>
        </w:rPr>
        <w:t>% ）」之揭露文字刪除。</w:t>
      </w:r>
    </w:p>
    <w:p w:rsidR="001E4D21" w:rsidRPr="007D34C3" w:rsidRDefault="001E4D21" w:rsidP="001E4D21">
      <w:pPr>
        <w:pStyle w:val="a9"/>
        <w:widowControl/>
        <w:numPr>
          <w:ilvl w:val="0"/>
          <w:numId w:val="32"/>
        </w:numPr>
        <w:ind w:leftChars="0"/>
        <w:jc w:val="both"/>
        <w:rPr>
          <w:rFonts w:ascii="標楷體" w:eastAsia="標楷體" w:hAnsi="標楷體" w:cs="Times New Roman"/>
          <w:color w:val="000000" w:themeColor="text1"/>
          <w:szCs w:val="20"/>
        </w:rPr>
      </w:pPr>
      <w:r w:rsidRPr="007D34C3">
        <w:rPr>
          <w:rFonts w:ascii="標楷體" w:eastAsia="標楷體" w:hAnsi="標楷體" w:cs="Times New Roman" w:hint="eastAsia"/>
          <w:color w:val="000000" w:themeColor="text1"/>
          <w:szCs w:val="20"/>
        </w:rPr>
        <w:t>經理費分成(</w:t>
      </w:r>
      <w:r w:rsidRPr="007D34C3">
        <w:rPr>
          <w:rFonts w:ascii="標楷體" w:eastAsia="標楷體" w:hAnsi="標楷體" w:cs="Times New Roman"/>
          <w:color w:val="000000" w:themeColor="text1"/>
          <w:szCs w:val="20"/>
        </w:rPr>
        <w:t>%</w:t>
      </w:r>
      <w:r w:rsidRPr="007D34C3">
        <w:rPr>
          <w:rFonts w:ascii="標楷體" w:eastAsia="標楷體" w:hAnsi="標楷體" w:cs="Times New Roman" w:hint="eastAsia"/>
          <w:color w:val="000000" w:themeColor="text1"/>
          <w:szCs w:val="20"/>
        </w:rPr>
        <w:t>)</w:t>
      </w:r>
    </w:p>
    <w:p w:rsidR="001E4D21" w:rsidRPr="003152A4" w:rsidRDefault="001E4D21" w:rsidP="001E4D21">
      <w:pPr>
        <w:pStyle w:val="a9"/>
        <w:widowControl/>
        <w:numPr>
          <w:ilvl w:val="0"/>
          <w:numId w:val="31"/>
        </w:numPr>
        <w:ind w:leftChars="0" w:left="1276" w:hanging="709"/>
        <w:jc w:val="both"/>
        <w:rPr>
          <w:rFonts w:ascii="標楷體" w:eastAsia="標楷體" w:hAnsi="標楷體" w:cs="Times New Roman"/>
          <w:color w:val="000000" w:themeColor="text1"/>
          <w:szCs w:val="20"/>
        </w:rPr>
      </w:pPr>
      <w:r w:rsidRPr="003152A4">
        <w:rPr>
          <w:rFonts w:ascii="標楷體" w:eastAsia="標楷體" w:hAnsi="標楷體" w:cs="Times New Roman" w:hint="eastAsia"/>
          <w:color w:val="000000" w:themeColor="text1"/>
          <w:szCs w:val="20"/>
        </w:rPr>
        <w:t>經理費年率可填寫投信基金之公開說明書或境外基金之總代理契約/銷售契約所載之最高經理費年率。</w:t>
      </w:r>
    </w:p>
    <w:p w:rsidR="001E4D21" w:rsidRPr="007D34C3" w:rsidRDefault="001E4D21" w:rsidP="001E4D21">
      <w:pPr>
        <w:pStyle w:val="a9"/>
        <w:widowControl/>
        <w:numPr>
          <w:ilvl w:val="0"/>
          <w:numId w:val="31"/>
        </w:numPr>
        <w:ind w:leftChars="0" w:left="1276" w:hanging="709"/>
        <w:jc w:val="both"/>
        <w:rPr>
          <w:rFonts w:ascii="標楷體" w:eastAsia="標楷體" w:hAnsi="標楷體" w:cs="Times New Roman"/>
          <w:color w:val="000000" w:themeColor="text1"/>
          <w:szCs w:val="20"/>
        </w:rPr>
      </w:pPr>
      <w:r w:rsidRPr="007D34C3">
        <w:rPr>
          <w:rFonts w:ascii="標楷體" w:eastAsia="標楷體" w:hAnsi="標楷體" w:cs="Times New Roman" w:hint="eastAsia"/>
          <w:color w:val="000000" w:themeColor="text1"/>
          <w:szCs w:val="20"/>
        </w:rPr>
        <w:t>經理費分成可為實際費率；或無條件進位至整數位，但不得高於最高經理費年率。舉例：銷售機構收取2.4%，可無條件進</w:t>
      </w:r>
      <w:r>
        <w:rPr>
          <w:rFonts w:ascii="標楷體" w:eastAsia="標楷體" w:hAnsi="標楷體" w:cs="Times New Roman" w:hint="eastAsia"/>
          <w:color w:val="000000" w:themeColor="text1"/>
          <w:szCs w:val="20"/>
        </w:rPr>
        <w:t>位至</w:t>
      </w:r>
      <w:r w:rsidRPr="007D34C3">
        <w:rPr>
          <w:rFonts w:ascii="標楷體" w:eastAsia="標楷體" w:hAnsi="標楷體" w:cs="Times New Roman" w:hint="eastAsia"/>
          <w:color w:val="000000" w:themeColor="text1"/>
          <w:szCs w:val="20"/>
        </w:rPr>
        <w:t>整數位，即可表示為不多於3%。</w:t>
      </w:r>
    </w:p>
    <w:p w:rsidR="001E4D21" w:rsidRPr="007D34C3" w:rsidRDefault="001E4D21" w:rsidP="001E4D21">
      <w:pPr>
        <w:pStyle w:val="a9"/>
        <w:widowControl/>
        <w:numPr>
          <w:ilvl w:val="0"/>
          <w:numId w:val="31"/>
        </w:numPr>
        <w:ind w:leftChars="0" w:left="1276" w:hanging="709"/>
        <w:jc w:val="both"/>
        <w:rPr>
          <w:rFonts w:ascii="標楷體" w:eastAsia="標楷體" w:hAnsi="標楷體" w:cs="Times New Roman"/>
          <w:color w:val="000000" w:themeColor="text1"/>
          <w:szCs w:val="20"/>
        </w:rPr>
      </w:pPr>
      <w:r w:rsidRPr="007D34C3">
        <w:rPr>
          <w:rFonts w:ascii="標楷體" w:eastAsia="標楷體" w:hAnsi="標楷體" w:cs="Times New Roman" w:hint="eastAsia"/>
          <w:color w:val="000000" w:themeColor="text1"/>
          <w:szCs w:val="20"/>
        </w:rPr>
        <w:t>經理費分成揭露，銷售機構可擇</w:t>
      </w:r>
      <w:proofErr w:type="gramStart"/>
      <w:r w:rsidRPr="007D34C3">
        <w:rPr>
          <w:rFonts w:ascii="標楷體" w:eastAsia="標楷體" w:hAnsi="標楷體" w:cs="Times New Roman" w:hint="eastAsia"/>
          <w:color w:val="000000" w:themeColor="text1"/>
          <w:szCs w:val="20"/>
        </w:rPr>
        <w:t>一</w:t>
      </w:r>
      <w:proofErr w:type="gramEnd"/>
      <w:r w:rsidRPr="007D34C3">
        <w:rPr>
          <w:rFonts w:ascii="標楷體" w:eastAsia="標楷體" w:hAnsi="標楷體" w:cs="Times New Roman" w:hint="eastAsia"/>
          <w:color w:val="000000" w:themeColor="text1"/>
          <w:szCs w:val="20"/>
        </w:rPr>
        <w:t>揭露</w:t>
      </w:r>
      <w:r w:rsidRPr="007D34C3">
        <w:rPr>
          <w:rFonts w:ascii="新細明體" w:eastAsia="新細明體" w:hAnsi="新細明體" w:cs="Times New Roman" w:hint="eastAsia"/>
          <w:color w:val="000000" w:themeColor="text1"/>
          <w:szCs w:val="20"/>
        </w:rPr>
        <w:t>「</w:t>
      </w:r>
      <w:r w:rsidRPr="007D34C3">
        <w:rPr>
          <w:rFonts w:ascii="標楷體" w:eastAsia="標楷體" w:hAnsi="標楷體" w:cs="Times New Roman" w:hint="eastAsia"/>
          <w:color w:val="000000" w:themeColor="text1"/>
          <w:szCs w:val="20"/>
        </w:rPr>
        <w:t>收取年率</w:t>
      </w:r>
      <w:r w:rsidRPr="007D34C3">
        <w:rPr>
          <w:rFonts w:ascii="標楷體" w:eastAsia="標楷體" w:hAnsi="標楷體" w:cs="Times New Roman" w:hint="eastAsia"/>
          <w:bCs/>
          <w:color w:val="000000" w:themeColor="text1"/>
          <w:szCs w:val="20"/>
          <w:u w:val="single"/>
          <w:shd w:val="pct15" w:color="auto" w:fill="FFFFFF"/>
        </w:rPr>
        <w:t xml:space="preserve">  </w:t>
      </w:r>
      <w:r w:rsidRPr="007D34C3">
        <w:rPr>
          <w:rFonts w:ascii="標楷體" w:eastAsia="標楷體" w:hAnsi="標楷體" w:cs="Times New Roman" w:hint="eastAsia"/>
          <w:color w:val="000000" w:themeColor="text1"/>
          <w:szCs w:val="20"/>
        </w:rPr>
        <w:t>%</w:t>
      </w:r>
      <w:r w:rsidRPr="007D34C3">
        <w:rPr>
          <w:rFonts w:ascii="新細明體" w:eastAsia="新細明體" w:hAnsi="新細明體" w:cs="Times New Roman" w:hint="eastAsia"/>
          <w:color w:val="000000" w:themeColor="text1"/>
          <w:szCs w:val="20"/>
        </w:rPr>
        <w:t>」</w:t>
      </w:r>
      <w:r w:rsidRPr="007D34C3">
        <w:rPr>
          <w:rFonts w:ascii="標楷體" w:eastAsia="標楷體" w:hAnsi="標楷體" w:cs="Times New Roman" w:hint="eastAsia"/>
          <w:color w:val="000000" w:themeColor="text1"/>
          <w:szCs w:val="20"/>
        </w:rPr>
        <w:t>或</w:t>
      </w:r>
      <w:r w:rsidRPr="007D34C3">
        <w:rPr>
          <w:rFonts w:ascii="新細明體" w:eastAsia="新細明體" w:hAnsi="新細明體" w:cs="Times New Roman" w:hint="eastAsia"/>
          <w:color w:val="000000" w:themeColor="text1"/>
          <w:szCs w:val="20"/>
        </w:rPr>
        <w:t>「</w:t>
      </w:r>
      <w:r w:rsidRPr="007D34C3">
        <w:rPr>
          <w:rFonts w:ascii="標楷體" w:eastAsia="標楷體" w:hAnsi="標楷體" w:cs="Times New Roman" w:hint="eastAsia"/>
          <w:color w:val="000000" w:themeColor="text1"/>
          <w:szCs w:val="20"/>
        </w:rPr>
        <w:t>不多於年率</w:t>
      </w:r>
      <w:r w:rsidRPr="007D34C3">
        <w:rPr>
          <w:rFonts w:ascii="標楷體" w:eastAsia="標楷體" w:hAnsi="標楷體" w:cs="Times New Roman" w:hint="eastAsia"/>
          <w:bCs/>
          <w:color w:val="000000" w:themeColor="text1"/>
          <w:szCs w:val="20"/>
          <w:u w:val="single"/>
          <w:shd w:val="pct15" w:color="auto" w:fill="FFFFFF"/>
        </w:rPr>
        <w:t xml:space="preserve">  </w:t>
      </w:r>
      <w:r w:rsidRPr="007D34C3">
        <w:rPr>
          <w:rFonts w:ascii="標楷體" w:eastAsia="標楷體" w:hAnsi="標楷體" w:cs="Times New Roman" w:hint="eastAsia"/>
          <w:color w:val="000000" w:themeColor="text1"/>
          <w:szCs w:val="20"/>
        </w:rPr>
        <w:t xml:space="preserve">% </w:t>
      </w:r>
      <w:r w:rsidRPr="007D34C3">
        <w:rPr>
          <w:rFonts w:ascii="新細明體" w:eastAsia="新細明體" w:hAnsi="新細明體" w:cs="Times New Roman" w:hint="eastAsia"/>
          <w:color w:val="000000" w:themeColor="text1"/>
          <w:szCs w:val="20"/>
        </w:rPr>
        <w:t>」</w:t>
      </w:r>
      <w:r w:rsidRPr="007D34C3">
        <w:rPr>
          <w:rFonts w:ascii="標楷體" w:eastAsia="標楷體" w:hAnsi="標楷體" w:cs="Times New Roman" w:hint="eastAsia"/>
          <w:color w:val="000000" w:themeColor="text1"/>
          <w:szCs w:val="20"/>
        </w:rPr>
        <w:t>之文字。</w:t>
      </w:r>
    </w:p>
    <w:p w:rsidR="001E4D21" w:rsidRPr="00372392" w:rsidRDefault="001E4D21" w:rsidP="001E4D21">
      <w:pPr>
        <w:pStyle w:val="a9"/>
        <w:widowControl/>
        <w:numPr>
          <w:ilvl w:val="0"/>
          <w:numId w:val="31"/>
        </w:numPr>
        <w:ind w:leftChars="0" w:left="1276" w:hanging="709"/>
        <w:jc w:val="both"/>
        <w:rPr>
          <w:rFonts w:ascii="標楷體" w:eastAsia="標楷體" w:hAnsi="標楷體" w:cs="Times New Roman"/>
          <w:szCs w:val="20"/>
        </w:rPr>
      </w:pPr>
      <w:r w:rsidRPr="00372392">
        <w:rPr>
          <w:rFonts w:ascii="標楷體" w:eastAsia="標楷體" w:hAnsi="標楷體" w:cs="Times New Roman" w:hint="eastAsia"/>
          <w:szCs w:val="20"/>
        </w:rPr>
        <w:t>若基金未收取經銷費（Distribution Fee、</w:t>
      </w:r>
      <w:proofErr w:type="spellStart"/>
      <w:r w:rsidRPr="00372392">
        <w:rPr>
          <w:rFonts w:ascii="標楷體" w:eastAsia="標楷體" w:hAnsi="標楷體" w:cs="Times New Roman" w:hint="eastAsia"/>
          <w:szCs w:val="20"/>
        </w:rPr>
        <w:t>12b</w:t>
      </w:r>
      <w:proofErr w:type="spellEnd"/>
      <w:r w:rsidRPr="00372392">
        <w:rPr>
          <w:rFonts w:ascii="標楷體" w:eastAsia="標楷體" w:hAnsi="標楷體" w:cs="Times New Roman" w:hint="eastAsia"/>
          <w:szCs w:val="20"/>
        </w:rPr>
        <w:t>-1 Fee）等，可刪除「</w:t>
      </w:r>
      <w:proofErr w:type="gramStart"/>
      <w:r w:rsidRPr="00372392">
        <w:rPr>
          <w:rFonts w:ascii="標楷體" w:eastAsia="標楷體" w:hAnsi="標楷體" w:cs="Times New Roman" w:hint="eastAsia"/>
          <w:szCs w:val="20"/>
        </w:rPr>
        <w:t>（</w:t>
      </w:r>
      <w:proofErr w:type="gramEnd"/>
      <w:r w:rsidRPr="00372392">
        <w:rPr>
          <w:rFonts w:ascii="標楷體" w:eastAsia="標楷體" w:hAnsi="標楷體" w:cs="Times New Roman" w:hint="eastAsia"/>
          <w:szCs w:val="20"/>
        </w:rPr>
        <w:t>含經銷費</w:t>
      </w:r>
      <w:proofErr w:type="gramStart"/>
      <w:r w:rsidRPr="00372392">
        <w:rPr>
          <w:rFonts w:ascii="標楷體" w:eastAsia="標楷體" w:hAnsi="標楷體" w:cs="Times New Roman" w:hint="eastAsia"/>
          <w:szCs w:val="20"/>
        </w:rPr>
        <w:t>（</w:t>
      </w:r>
      <w:proofErr w:type="gramEnd"/>
      <w:r w:rsidRPr="00372392">
        <w:rPr>
          <w:rFonts w:ascii="標楷體" w:eastAsia="標楷體" w:hAnsi="標楷體" w:cs="Times New Roman" w:hint="eastAsia"/>
          <w:szCs w:val="20"/>
        </w:rPr>
        <w:t>Distribution Fee、</w:t>
      </w:r>
      <w:proofErr w:type="spellStart"/>
      <w:r w:rsidRPr="00372392">
        <w:rPr>
          <w:rFonts w:ascii="標楷體" w:eastAsia="標楷體" w:hAnsi="標楷體" w:cs="Times New Roman" w:hint="eastAsia"/>
          <w:szCs w:val="20"/>
        </w:rPr>
        <w:t>12b</w:t>
      </w:r>
      <w:proofErr w:type="spellEnd"/>
      <w:r w:rsidRPr="00372392">
        <w:rPr>
          <w:rFonts w:ascii="標楷體" w:eastAsia="標楷體" w:hAnsi="標楷體" w:cs="Times New Roman" w:hint="eastAsia"/>
          <w:szCs w:val="20"/>
        </w:rPr>
        <w:t>-1等</w:t>
      </w:r>
      <w:proofErr w:type="gramStart"/>
      <w:r w:rsidRPr="00372392">
        <w:rPr>
          <w:rFonts w:ascii="標楷體" w:eastAsia="標楷體" w:hAnsi="標楷體" w:cs="Times New Roman" w:hint="eastAsia"/>
          <w:szCs w:val="20"/>
        </w:rPr>
        <w:t>）</w:t>
      </w:r>
      <w:proofErr w:type="gramEnd"/>
      <w:r w:rsidRPr="00372392">
        <w:rPr>
          <w:rFonts w:ascii="標楷體" w:eastAsia="標楷體" w:hAnsi="標楷體" w:cs="Times New Roman" w:hint="eastAsia"/>
          <w:szCs w:val="20"/>
        </w:rPr>
        <w:t>」之文字。</w:t>
      </w:r>
    </w:p>
    <w:p w:rsidR="001E4D21" w:rsidRPr="007D34C3" w:rsidRDefault="001E4D21" w:rsidP="001E4D21">
      <w:pPr>
        <w:pStyle w:val="a9"/>
        <w:widowControl/>
        <w:numPr>
          <w:ilvl w:val="0"/>
          <w:numId w:val="32"/>
        </w:numPr>
        <w:ind w:leftChars="0"/>
        <w:jc w:val="both"/>
        <w:rPr>
          <w:rFonts w:ascii="標楷體" w:eastAsia="標楷體" w:hAnsi="標楷體" w:cs="Times New Roman"/>
          <w:color w:val="000000" w:themeColor="text1"/>
          <w:szCs w:val="20"/>
        </w:rPr>
      </w:pPr>
      <w:r w:rsidRPr="007D34C3">
        <w:rPr>
          <w:rFonts w:ascii="標楷體" w:eastAsia="標楷體" w:hAnsi="標楷體" w:cs="Times New Roman" w:hint="eastAsia"/>
          <w:color w:val="000000" w:themeColor="text1"/>
          <w:szCs w:val="20"/>
        </w:rPr>
        <w:lastRenderedPageBreak/>
        <w:t>贊助或提供對銷售機構之產品說明會及員工教育訓練</w:t>
      </w:r>
    </w:p>
    <w:p w:rsidR="001E4D21" w:rsidRPr="007D34C3" w:rsidRDefault="001E4D21" w:rsidP="001E4D21">
      <w:pPr>
        <w:widowControl/>
        <w:ind w:leftChars="235" w:left="1272" w:hangingChars="295" w:hanging="708"/>
        <w:jc w:val="both"/>
        <w:rPr>
          <w:rFonts w:ascii="標楷體" w:eastAsia="標楷體" w:hAnsi="標楷體" w:cs="Times New Roman"/>
          <w:color w:val="000000" w:themeColor="text1"/>
          <w:szCs w:val="20"/>
        </w:rPr>
      </w:pPr>
      <w:r w:rsidRPr="007D34C3">
        <w:rPr>
          <w:rFonts w:ascii="標楷體" w:eastAsia="標楷體" w:hAnsi="標楷體" w:cs="Times New Roman" w:hint="eastAsia"/>
          <w:color w:val="000000" w:themeColor="text1"/>
          <w:szCs w:val="20"/>
        </w:rPr>
        <w:t>（一）總代理人或銷售機構就同一基金公司所管理之境外基金，自境外基金機構或總代理人所獲得贊助或提供產品說明會及員工教育訓練之金額，以每一會計年度合計核算，於贊助或提供預估或累計達新臺幣二百萬元時，應為揭露。</w:t>
      </w:r>
    </w:p>
    <w:p w:rsidR="001E4D21" w:rsidRPr="007D34C3" w:rsidRDefault="001E4D21" w:rsidP="001E4D21">
      <w:pPr>
        <w:widowControl/>
        <w:ind w:leftChars="235" w:left="1272" w:hangingChars="295" w:hanging="708"/>
        <w:jc w:val="both"/>
        <w:rPr>
          <w:rFonts w:ascii="標楷體" w:eastAsia="標楷體" w:hAnsi="標楷體" w:cs="Times New Roman"/>
          <w:color w:val="000000" w:themeColor="text1"/>
          <w:szCs w:val="20"/>
        </w:rPr>
      </w:pPr>
      <w:r w:rsidRPr="007D34C3">
        <w:rPr>
          <w:rFonts w:ascii="標楷體" w:eastAsia="標楷體" w:hAnsi="標楷體" w:cs="Times New Roman" w:hint="eastAsia"/>
          <w:color w:val="000000" w:themeColor="text1"/>
          <w:szCs w:val="20"/>
        </w:rPr>
        <w:t xml:space="preserve"> (二) 銷售機構自證券投資信託事業所獲得贊助或提供產品說明會及員工教育訓練之金額，適用前述(</w:t>
      </w:r>
      <w:proofErr w:type="gramStart"/>
      <w:r w:rsidRPr="007D34C3">
        <w:rPr>
          <w:rFonts w:ascii="標楷體" w:eastAsia="標楷體" w:hAnsi="標楷體" w:cs="Times New Roman" w:hint="eastAsia"/>
          <w:color w:val="000000" w:themeColor="text1"/>
          <w:szCs w:val="20"/>
        </w:rPr>
        <w:t>一</w:t>
      </w:r>
      <w:proofErr w:type="gramEnd"/>
      <w:r w:rsidRPr="007D34C3">
        <w:rPr>
          <w:rFonts w:ascii="標楷體" w:eastAsia="標楷體" w:hAnsi="標楷體" w:cs="Times New Roman" w:hint="eastAsia"/>
          <w:color w:val="000000" w:themeColor="text1"/>
          <w:szCs w:val="20"/>
        </w:rPr>
        <w:t>)之規定。</w:t>
      </w:r>
    </w:p>
    <w:p w:rsidR="001E4D21" w:rsidRPr="007D34C3" w:rsidRDefault="001E4D21" w:rsidP="001E4D21">
      <w:pPr>
        <w:widowControl/>
        <w:ind w:leftChars="235" w:left="1272" w:hangingChars="295" w:hanging="708"/>
        <w:jc w:val="both"/>
        <w:rPr>
          <w:rFonts w:ascii="標楷體" w:eastAsia="標楷體" w:hAnsi="標楷體" w:cs="Times New Roman"/>
          <w:color w:val="000000" w:themeColor="text1"/>
          <w:szCs w:val="20"/>
        </w:rPr>
      </w:pPr>
      <w:r w:rsidRPr="007D34C3">
        <w:rPr>
          <w:rFonts w:ascii="標楷體" w:eastAsia="標楷體" w:hAnsi="標楷體" w:cs="Times New Roman" w:hint="eastAsia"/>
          <w:color w:val="000000" w:themeColor="text1"/>
          <w:szCs w:val="20"/>
        </w:rPr>
        <w:t xml:space="preserve"> (三)</w:t>
      </w:r>
      <w:r>
        <w:rPr>
          <w:rFonts w:ascii="標楷體" w:eastAsia="標楷體" w:hAnsi="標楷體" w:cs="Times New Roman" w:hint="eastAsia"/>
          <w:color w:val="000000" w:themeColor="text1"/>
          <w:szCs w:val="20"/>
        </w:rPr>
        <w:t xml:space="preserve"> </w:t>
      </w:r>
      <w:r w:rsidRPr="007D34C3">
        <w:rPr>
          <w:rFonts w:ascii="標楷體" w:eastAsia="標楷體" w:hAnsi="標楷體" w:cs="Times New Roman" w:hint="eastAsia"/>
          <w:color w:val="000000" w:themeColor="text1"/>
          <w:szCs w:val="20"/>
        </w:rPr>
        <w:t>若未收取任何金額，本欄列示為「未收取」，並可將相關計算說明刪除，但不得刪除該欄位。</w:t>
      </w:r>
    </w:p>
    <w:p w:rsidR="001E4D21" w:rsidRPr="007D34C3" w:rsidRDefault="001E4D21" w:rsidP="001E4D21">
      <w:pPr>
        <w:widowControl/>
        <w:ind w:leftChars="236" w:left="1274" w:hangingChars="295" w:hanging="708"/>
        <w:jc w:val="both"/>
        <w:rPr>
          <w:rFonts w:ascii="標楷體" w:eastAsia="標楷體" w:hAnsi="標楷體" w:cs="Times New Roman"/>
          <w:color w:val="000000" w:themeColor="text1"/>
          <w:szCs w:val="20"/>
        </w:rPr>
      </w:pPr>
      <w:r w:rsidRPr="007D34C3">
        <w:rPr>
          <w:rFonts w:ascii="標楷體" w:eastAsia="標楷體" w:hAnsi="標楷體" w:cs="Times New Roman" w:hint="eastAsia"/>
          <w:color w:val="000000" w:themeColor="text1"/>
          <w:szCs w:val="20"/>
        </w:rPr>
        <w:t>（四）若有收取但未達揭露門檻，本欄列示為「未達2百萬元揭露門檻」，並可將相關計算說明刪除，但不得刪除該欄位。</w:t>
      </w:r>
    </w:p>
    <w:p w:rsidR="001E4D21" w:rsidRPr="00372392" w:rsidRDefault="001E4D21" w:rsidP="001E4D21">
      <w:pPr>
        <w:widowControl/>
        <w:spacing w:line="400" w:lineRule="exact"/>
        <w:jc w:val="both"/>
        <w:rPr>
          <w:rFonts w:ascii="標楷體" w:eastAsia="標楷體" w:hAnsi="標楷體" w:cs="Times New Roman"/>
          <w:szCs w:val="20"/>
        </w:rPr>
      </w:pPr>
      <w:r w:rsidRPr="00372392">
        <w:rPr>
          <w:rFonts w:ascii="標楷體" w:eastAsia="標楷體" w:hAnsi="標楷體" w:cs="Times New Roman" w:hint="eastAsia"/>
          <w:szCs w:val="20"/>
        </w:rPr>
        <w:t>七、其他報酬</w:t>
      </w:r>
    </w:p>
    <w:p w:rsidR="001E4D21" w:rsidRPr="00372392" w:rsidRDefault="001E4D21" w:rsidP="001E4D21">
      <w:pPr>
        <w:widowControl/>
        <w:spacing w:line="400" w:lineRule="exact"/>
        <w:ind w:leftChars="235" w:left="1130" w:hangingChars="236" w:hanging="566"/>
        <w:jc w:val="both"/>
        <w:rPr>
          <w:rFonts w:ascii="標楷體" w:eastAsia="標楷體" w:hAnsi="標楷體" w:cs="Times New Roman"/>
          <w:szCs w:val="20"/>
        </w:rPr>
      </w:pPr>
      <w:r w:rsidRPr="00372392">
        <w:rPr>
          <w:rFonts w:ascii="標楷體" w:eastAsia="標楷體" w:hAnsi="標楷體" w:cs="Times New Roman" w:hint="eastAsia"/>
          <w:szCs w:val="20"/>
        </w:rPr>
        <w:t>(</w:t>
      </w:r>
      <w:proofErr w:type="gramStart"/>
      <w:r w:rsidRPr="00372392">
        <w:rPr>
          <w:rFonts w:ascii="標楷體" w:eastAsia="標楷體" w:hAnsi="標楷體" w:cs="Times New Roman" w:hint="eastAsia"/>
          <w:szCs w:val="20"/>
        </w:rPr>
        <w:t>一</w:t>
      </w:r>
      <w:proofErr w:type="gramEnd"/>
      <w:r w:rsidRPr="00372392">
        <w:rPr>
          <w:rFonts w:ascii="標楷體" w:eastAsia="標楷體" w:hAnsi="標楷體" w:cs="Times New Roman" w:hint="eastAsia"/>
          <w:szCs w:val="20"/>
        </w:rPr>
        <w:t>) 總代理人或銷售機構就同一基金公司所管理之境外基金，自境外基金機構或總代理人所獲得贊助或提供其他報酬之金額，以每一會計年度合計核算，於贊助或提供預估或累計達新臺幣一百萬元時，應為揭露。</w:t>
      </w:r>
    </w:p>
    <w:p w:rsidR="001E4D21" w:rsidRPr="00372392" w:rsidRDefault="001E4D21" w:rsidP="001E4D21">
      <w:pPr>
        <w:widowControl/>
        <w:spacing w:line="400" w:lineRule="exact"/>
        <w:ind w:leftChars="237" w:left="1133" w:hangingChars="235" w:hanging="564"/>
        <w:jc w:val="both"/>
        <w:rPr>
          <w:rFonts w:ascii="標楷體" w:eastAsia="標楷體" w:hAnsi="標楷體" w:cs="Times New Roman"/>
          <w:szCs w:val="20"/>
        </w:rPr>
      </w:pPr>
      <w:r w:rsidRPr="00372392">
        <w:rPr>
          <w:rFonts w:ascii="標楷體" w:eastAsia="標楷體" w:hAnsi="標楷體" w:cs="Times New Roman" w:hint="eastAsia"/>
          <w:szCs w:val="20"/>
        </w:rPr>
        <w:t>(二) 銷售機構自證券投資信託事業所獲得贊助或提供其他報酬之金額， 適用前述(</w:t>
      </w:r>
      <w:proofErr w:type="gramStart"/>
      <w:r w:rsidRPr="00372392">
        <w:rPr>
          <w:rFonts w:ascii="標楷體" w:eastAsia="標楷體" w:hAnsi="標楷體" w:cs="Times New Roman" w:hint="eastAsia"/>
          <w:szCs w:val="20"/>
        </w:rPr>
        <w:t>一</w:t>
      </w:r>
      <w:proofErr w:type="gramEnd"/>
      <w:r w:rsidRPr="00372392">
        <w:rPr>
          <w:rFonts w:ascii="標楷體" w:eastAsia="標楷體" w:hAnsi="標楷體" w:cs="Times New Roman" w:hint="eastAsia"/>
          <w:szCs w:val="20"/>
        </w:rPr>
        <w:t>)之規定。</w:t>
      </w:r>
    </w:p>
    <w:p w:rsidR="001E4D21" w:rsidRPr="007D34C3" w:rsidRDefault="001E4D21" w:rsidP="001E4D21">
      <w:pPr>
        <w:widowControl/>
        <w:ind w:leftChars="236" w:left="1274" w:hangingChars="295" w:hanging="708"/>
        <w:jc w:val="both"/>
        <w:rPr>
          <w:rFonts w:ascii="標楷體" w:eastAsia="標楷體" w:hAnsi="標楷體" w:cs="Times New Roman"/>
          <w:color w:val="000000" w:themeColor="text1"/>
          <w:szCs w:val="20"/>
        </w:rPr>
      </w:pPr>
      <w:r>
        <w:rPr>
          <w:rFonts w:ascii="標楷體" w:eastAsia="標楷體" w:hAnsi="標楷體" w:cs="Times New Roman" w:hint="eastAsia"/>
          <w:color w:val="000000" w:themeColor="text1"/>
          <w:szCs w:val="20"/>
        </w:rPr>
        <w:t xml:space="preserve">(三) </w:t>
      </w:r>
      <w:r w:rsidRPr="007D34C3">
        <w:rPr>
          <w:rFonts w:ascii="標楷體" w:eastAsia="標楷體" w:hAnsi="標楷體" w:cs="Times New Roman" w:hint="eastAsia"/>
          <w:color w:val="000000" w:themeColor="text1"/>
          <w:szCs w:val="20"/>
        </w:rPr>
        <w:t>若未收取任何金額，本欄列示為「未收取」，並可將相關計算說明刪除，但不得刪除該欄位。</w:t>
      </w:r>
    </w:p>
    <w:p w:rsidR="001E4D21" w:rsidRPr="007D34C3" w:rsidRDefault="001E4D21" w:rsidP="001E4D21">
      <w:pPr>
        <w:widowControl/>
        <w:ind w:leftChars="236" w:left="1132" w:hangingChars="236" w:hanging="566"/>
        <w:jc w:val="both"/>
        <w:rPr>
          <w:rFonts w:ascii="標楷體" w:eastAsia="標楷體" w:hAnsi="標楷體" w:cs="Times New Roman"/>
          <w:color w:val="000000" w:themeColor="text1"/>
          <w:szCs w:val="20"/>
        </w:rPr>
      </w:pPr>
      <w:r w:rsidRPr="007D34C3">
        <w:rPr>
          <w:rFonts w:ascii="標楷體" w:eastAsia="標楷體" w:hAnsi="標楷體" w:cs="Times New Roman" w:hint="eastAsia"/>
          <w:color w:val="000000" w:themeColor="text1"/>
          <w:szCs w:val="20"/>
        </w:rPr>
        <w:t>(</w:t>
      </w:r>
      <w:r>
        <w:rPr>
          <w:rFonts w:ascii="標楷體" w:eastAsia="標楷體" w:hAnsi="標楷體" w:cs="Times New Roman" w:hint="eastAsia"/>
          <w:color w:val="000000" w:themeColor="text1"/>
          <w:szCs w:val="20"/>
        </w:rPr>
        <w:t>四</w:t>
      </w:r>
      <w:r w:rsidRPr="007D34C3">
        <w:rPr>
          <w:rFonts w:ascii="標楷體" w:eastAsia="標楷體" w:hAnsi="標楷體" w:cs="Times New Roman" w:hint="eastAsia"/>
          <w:color w:val="000000" w:themeColor="text1"/>
          <w:szCs w:val="20"/>
        </w:rPr>
        <w:t>) 若有收取但未達揭露門檻，本欄列示為「未達1百萬元揭露門檻」，並可將相關計算說明刪除，但不得刪除該欄位</w:t>
      </w:r>
    </w:p>
    <w:p w:rsidR="001E4D21" w:rsidRPr="00372392" w:rsidRDefault="001E4D21" w:rsidP="001E4D21">
      <w:pPr>
        <w:widowControl/>
        <w:ind w:left="425" w:hangingChars="177" w:hanging="425"/>
        <w:jc w:val="both"/>
        <w:rPr>
          <w:rFonts w:ascii="標楷體" w:eastAsia="標楷體" w:hAnsi="標楷體" w:cs="Times New Roman"/>
          <w:szCs w:val="20"/>
        </w:rPr>
      </w:pPr>
      <w:r w:rsidRPr="00372392">
        <w:rPr>
          <w:rFonts w:ascii="標楷體" w:eastAsia="標楷體" w:hAnsi="標楷體" w:cs="Times New Roman" w:hint="eastAsia"/>
          <w:szCs w:val="20"/>
        </w:rPr>
        <w:t>八、計算說明</w:t>
      </w:r>
    </w:p>
    <w:p w:rsidR="001E4D21" w:rsidRPr="00372392" w:rsidRDefault="001E4D21" w:rsidP="001E4D21">
      <w:pPr>
        <w:widowControl/>
        <w:ind w:leftChars="177" w:left="1132" w:hanging="707"/>
        <w:jc w:val="both"/>
        <w:rPr>
          <w:rFonts w:ascii="標楷體" w:eastAsia="標楷體" w:hAnsi="標楷體" w:cs="Times New Roman"/>
          <w:szCs w:val="20"/>
        </w:rPr>
      </w:pPr>
      <w:r w:rsidRPr="00372392">
        <w:rPr>
          <w:rFonts w:ascii="標楷體" w:eastAsia="標楷體" w:hAnsi="標楷體" w:cs="Times New Roman" w:hint="eastAsia"/>
          <w:szCs w:val="20"/>
        </w:rPr>
        <w:t>（一</w:t>
      </w:r>
      <w:r w:rsidRPr="00372392">
        <w:rPr>
          <w:rFonts w:ascii="標楷體" w:eastAsia="標楷體" w:hAnsi="標楷體" w:cs="Times New Roman"/>
          <w:szCs w:val="20"/>
        </w:rPr>
        <w:t>）</w:t>
      </w:r>
      <w:r w:rsidRPr="00372392">
        <w:rPr>
          <w:rFonts w:ascii="標楷體" w:eastAsia="標楷體" w:hAnsi="標楷體" w:cs="Times New Roman" w:hint="eastAsia"/>
          <w:szCs w:val="20"/>
        </w:rPr>
        <w:t>銷售機構須就不同基金別，均以100</w:t>
      </w:r>
      <w:r w:rsidR="00D35A16">
        <w:rPr>
          <w:rFonts w:ascii="標楷體" w:eastAsia="標楷體" w:hAnsi="標楷體" w:cs="Times New Roman" w:hint="eastAsia"/>
          <w:szCs w:val="20"/>
        </w:rPr>
        <w:t>,</w:t>
      </w:r>
      <w:r w:rsidRPr="00372392">
        <w:rPr>
          <w:rFonts w:ascii="標楷體" w:eastAsia="標楷體" w:hAnsi="標楷體" w:cs="Times New Roman" w:hint="eastAsia"/>
          <w:szCs w:val="20"/>
        </w:rPr>
        <w:t>000元的投資金額依通路報酬揭露項目及揭露費率設算（同一附註列表內之基金不用舉例）。</w:t>
      </w:r>
    </w:p>
    <w:p w:rsidR="004F5488" w:rsidRDefault="001E4D21" w:rsidP="004F5488">
      <w:pPr>
        <w:widowControl/>
        <w:ind w:leftChars="177" w:left="1132" w:hanging="707"/>
        <w:jc w:val="both"/>
        <w:rPr>
          <w:rFonts w:ascii="標楷體" w:eastAsia="標楷體" w:hAnsi="標楷體" w:cs="Times New Roman"/>
          <w:szCs w:val="20"/>
        </w:rPr>
      </w:pPr>
      <w:r w:rsidRPr="00372392">
        <w:rPr>
          <w:rFonts w:ascii="標楷體" w:eastAsia="標楷體" w:hAnsi="標楷體" w:cs="Times New Roman" w:hint="eastAsia"/>
          <w:szCs w:val="20"/>
        </w:rPr>
        <w:t>（二）計算說明須以實例呈現，即代入基金之名稱、申購手續費、經理費等通路報酬資料進行試算。</w:t>
      </w:r>
    </w:p>
    <w:p w:rsidR="00994376" w:rsidRPr="004F5488" w:rsidRDefault="001E4D21" w:rsidP="00481E0F">
      <w:pPr>
        <w:widowControl/>
        <w:ind w:left="425" w:hangingChars="177" w:hanging="425"/>
        <w:jc w:val="both"/>
        <w:rPr>
          <w:rFonts w:ascii="標楷體" w:eastAsia="標楷體" w:hAnsi="標楷體" w:cs="Times New Roman"/>
          <w:szCs w:val="20"/>
        </w:rPr>
      </w:pPr>
      <w:r w:rsidRPr="00372392">
        <w:rPr>
          <w:rFonts w:ascii="標楷體" w:eastAsia="標楷體" w:hAnsi="標楷體" w:cs="Times New Roman" w:hint="eastAsia"/>
          <w:szCs w:val="20"/>
        </w:rPr>
        <w:t>九、有關本範本「本銀行辦理基金銷售業務，係自各</w:t>
      </w:r>
      <w:r w:rsidRPr="00372392">
        <w:rPr>
          <w:rFonts w:ascii="標楷體" w:eastAsia="標楷體" w:hAnsi="標楷體" w:hint="eastAsia"/>
          <w:szCs w:val="24"/>
        </w:rPr>
        <w:t>境外基金機構、總代理人及證券投資信託事業</w:t>
      </w:r>
      <w:r w:rsidRPr="00372392">
        <w:rPr>
          <w:rFonts w:ascii="標楷體" w:eastAsia="標楷體" w:hAnsi="標楷體" w:cs="Times New Roman" w:hint="eastAsia"/>
          <w:szCs w:val="24"/>
        </w:rPr>
        <w:t>收取通路報酬（各項報酬、費用及其他利益），以支應投資人服務及行銷成本。･･，請台端依個人投資目標及基金風險屬性，慎選</w:t>
      </w:r>
      <w:r w:rsidRPr="007D34C3">
        <w:rPr>
          <w:rFonts w:ascii="標楷體" w:eastAsia="標楷體" w:hAnsi="標楷體" w:cs="Times New Roman" w:hint="eastAsia"/>
          <w:color w:val="000000" w:themeColor="text1"/>
          <w:szCs w:val="24"/>
        </w:rPr>
        <w:t>投資標的。」乙節，以粗體字體呈現</w:t>
      </w:r>
      <w:r w:rsidR="00292A53">
        <w:rPr>
          <w:rFonts w:ascii="標楷體" w:eastAsia="標楷體" w:hAnsi="標楷體" w:cs="Times New Roman" w:hint="eastAsia"/>
          <w:color w:val="000000" w:themeColor="text1"/>
          <w:szCs w:val="24"/>
        </w:rPr>
        <w:t>。</w:t>
      </w:r>
    </w:p>
    <w:p w:rsidR="00994376" w:rsidRDefault="00994376" w:rsidP="007C3DED">
      <w:pPr>
        <w:widowControl/>
        <w:spacing w:afterLines="100" w:after="360" w:line="400" w:lineRule="exact"/>
        <w:ind w:leftChars="-177" w:rightChars="-236" w:right="-566" w:hangingChars="177" w:hanging="425"/>
        <w:rPr>
          <w:rFonts w:ascii="標楷體" w:eastAsia="標楷體" w:hAnsi="標楷體"/>
        </w:rPr>
      </w:pPr>
    </w:p>
    <w:p w:rsidR="00994376" w:rsidRDefault="00994376" w:rsidP="007C3DED">
      <w:pPr>
        <w:widowControl/>
        <w:spacing w:afterLines="100" w:after="360" w:line="400" w:lineRule="exact"/>
        <w:ind w:leftChars="-177" w:rightChars="-236" w:right="-566" w:hangingChars="177" w:hanging="425"/>
        <w:rPr>
          <w:rFonts w:ascii="標楷體" w:eastAsia="標楷體" w:hAnsi="標楷體"/>
        </w:rPr>
      </w:pPr>
    </w:p>
    <w:p w:rsidR="00C722A9" w:rsidRDefault="00C722A9" w:rsidP="007C3DED">
      <w:pPr>
        <w:widowControl/>
        <w:spacing w:afterLines="100" w:after="360" w:line="400" w:lineRule="exact"/>
        <w:ind w:leftChars="-177" w:rightChars="-236" w:right="-566" w:hangingChars="177" w:hanging="425"/>
        <w:rPr>
          <w:rFonts w:ascii="標楷體" w:eastAsia="標楷體" w:hAnsi="標楷體"/>
        </w:rPr>
      </w:pPr>
    </w:p>
    <w:sectPr w:rsidR="00C722A9" w:rsidSect="00BE0B2A">
      <w:headerReference w:type="default" r:id="rId9"/>
      <w:footerReference w:type="default" r:id="rId1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6960" w:rsidRDefault="002C6960" w:rsidP="00866267">
      <w:r>
        <w:separator/>
      </w:r>
    </w:p>
  </w:endnote>
  <w:endnote w:type="continuationSeparator" w:id="0">
    <w:p w:rsidR="002C6960" w:rsidRDefault="002C6960" w:rsidP="00866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1181646"/>
      <w:docPartObj>
        <w:docPartGallery w:val="Page Numbers (Bottom of Page)"/>
        <w:docPartUnique/>
      </w:docPartObj>
    </w:sdtPr>
    <w:sdtEndPr/>
    <w:sdtContent>
      <w:p w:rsidR="00BC307F" w:rsidRDefault="00BC307F">
        <w:pPr>
          <w:pStyle w:val="a5"/>
          <w:jc w:val="center"/>
        </w:pPr>
        <w:r>
          <w:fldChar w:fldCharType="begin"/>
        </w:r>
        <w:r>
          <w:instrText>PAGE   \* MERGEFORMAT</w:instrText>
        </w:r>
        <w:r>
          <w:fldChar w:fldCharType="separate"/>
        </w:r>
        <w:r w:rsidR="00C95EAE" w:rsidRPr="00C95EAE">
          <w:rPr>
            <w:noProof/>
            <w:lang w:val="zh-TW"/>
          </w:rPr>
          <w:t>1</w:t>
        </w:r>
        <w:r>
          <w:fldChar w:fldCharType="end"/>
        </w:r>
      </w:p>
    </w:sdtContent>
  </w:sdt>
  <w:p w:rsidR="002C6960" w:rsidRDefault="002C696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6960" w:rsidRDefault="002C6960" w:rsidP="00866267">
      <w:r>
        <w:separator/>
      </w:r>
    </w:p>
  </w:footnote>
  <w:footnote w:type="continuationSeparator" w:id="0">
    <w:p w:rsidR="002C6960" w:rsidRDefault="002C6960" w:rsidP="008662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F6B" w:rsidRDefault="00E82F6B" w:rsidP="00E82F6B">
    <w:pPr>
      <w:pStyle w:val="a3"/>
      <w:jc w:val="right"/>
    </w:pPr>
    <w:r w:rsidRPr="00E82F6B">
      <w:rPr>
        <w:rFonts w:hint="eastAsia"/>
      </w:rPr>
      <w:t>108</w:t>
    </w:r>
    <w:r w:rsidRPr="00E82F6B">
      <w:rPr>
        <w:rFonts w:hint="eastAsia"/>
      </w:rPr>
      <w:t>年</w:t>
    </w:r>
    <w:r w:rsidRPr="00E82F6B">
      <w:rPr>
        <w:rFonts w:hint="eastAsia"/>
      </w:rPr>
      <w:t>9</w:t>
    </w:r>
    <w:r w:rsidRPr="00E82F6B">
      <w:rPr>
        <w:rFonts w:hint="eastAsia"/>
      </w:rPr>
      <w:t>月</w:t>
    </w:r>
    <w:r w:rsidRPr="00E82F6B">
      <w:rPr>
        <w:rFonts w:hint="eastAsia"/>
      </w:rPr>
      <w:t>2</w:t>
    </w:r>
    <w:r w:rsidRPr="00E82F6B">
      <w:rPr>
        <w:rFonts w:hint="eastAsia"/>
      </w:rPr>
      <w:t>日金</w:t>
    </w:r>
    <w:proofErr w:type="gramStart"/>
    <w:r w:rsidRPr="00E82F6B">
      <w:rPr>
        <w:rFonts w:hint="eastAsia"/>
      </w:rPr>
      <w:t>管證投字</w:t>
    </w:r>
    <w:proofErr w:type="gramEnd"/>
    <w:r w:rsidRPr="00E82F6B">
      <w:rPr>
        <w:rFonts w:hint="eastAsia"/>
      </w:rPr>
      <w:t>第</w:t>
    </w:r>
    <w:r w:rsidRPr="00E82F6B">
      <w:rPr>
        <w:rFonts w:hint="eastAsia"/>
      </w:rPr>
      <w:t>1080321686</w:t>
    </w:r>
    <w:r w:rsidRPr="00E82F6B">
      <w:rPr>
        <w:rFonts w:hint="eastAsia"/>
      </w:rPr>
      <w:t>號函</w:t>
    </w:r>
    <w:r w:rsidR="009830E6">
      <w:rPr>
        <w:rFonts w:hint="eastAsia"/>
      </w:rPr>
      <w:t>同意</w:t>
    </w:r>
    <w:r w:rsidRPr="00E82F6B">
      <w:rPr>
        <w:rFonts w:hint="eastAsia"/>
      </w:rPr>
      <w:t>備查</w:t>
    </w:r>
  </w:p>
  <w:p w:rsidR="002C6960" w:rsidRDefault="002C696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03906"/>
    <w:multiLevelType w:val="hybridMultilevel"/>
    <w:tmpl w:val="9AC2850C"/>
    <w:lvl w:ilvl="0" w:tplc="CAB05E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8596220"/>
    <w:multiLevelType w:val="hybridMultilevel"/>
    <w:tmpl w:val="BF78D43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A60384F"/>
    <w:multiLevelType w:val="hybridMultilevel"/>
    <w:tmpl w:val="0CE8788E"/>
    <w:lvl w:ilvl="0" w:tplc="D818C4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CAE29BD"/>
    <w:multiLevelType w:val="hybridMultilevel"/>
    <w:tmpl w:val="E730CA72"/>
    <w:lvl w:ilvl="0" w:tplc="F14A397C">
      <w:start w:val="1"/>
      <w:numFmt w:val="decimal"/>
      <w:lvlText w:val="%1."/>
      <w:lvlJc w:val="left"/>
      <w:pPr>
        <w:ind w:left="480" w:hanging="480"/>
      </w:pPr>
      <w:rPr>
        <w:color w:val="0D0D0D" w:themeColor="text1" w:themeTint="F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05960F4"/>
    <w:multiLevelType w:val="hybridMultilevel"/>
    <w:tmpl w:val="074EBBAC"/>
    <w:lvl w:ilvl="0" w:tplc="E3AE37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0A54AEC"/>
    <w:multiLevelType w:val="hybridMultilevel"/>
    <w:tmpl w:val="D2686FDA"/>
    <w:lvl w:ilvl="0" w:tplc="655CF92C">
      <w:start w:val="1"/>
      <w:numFmt w:val="decimal"/>
      <w:lvlText w:val="%1."/>
      <w:lvlJc w:val="left"/>
      <w:pPr>
        <w:ind w:left="360" w:hanging="360"/>
      </w:pPr>
      <w:rPr>
        <w:rFonts w:hint="default"/>
        <w:color w:val="0D0D0D" w:themeColor="text1" w:themeTint="F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0D1671B"/>
    <w:multiLevelType w:val="hybridMultilevel"/>
    <w:tmpl w:val="3BA483E6"/>
    <w:lvl w:ilvl="0" w:tplc="E5D84B10">
      <w:start w:val="1"/>
      <w:numFmt w:val="decimal"/>
      <w:lvlText w:val="(%1)"/>
      <w:lvlJc w:val="left"/>
      <w:pPr>
        <w:tabs>
          <w:tab w:val="num" w:pos="502"/>
        </w:tabs>
        <w:ind w:left="502" w:hanging="360"/>
      </w:pPr>
      <w:rPr>
        <w:rFonts w:hint="default"/>
      </w:rPr>
    </w:lvl>
    <w:lvl w:ilvl="1" w:tplc="04090019" w:tentative="1">
      <w:start w:val="1"/>
      <w:numFmt w:val="ideographTraditional"/>
      <w:lvlText w:val="%2、"/>
      <w:lvlJc w:val="left"/>
      <w:pPr>
        <w:tabs>
          <w:tab w:val="num" w:pos="1102"/>
        </w:tabs>
        <w:ind w:left="1102" w:hanging="480"/>
      </w:pPr>
    </w:lvl>
    <w:lvl w:ilvl="2" w:tplc="0409001B" w:tentative="1">
      <w:start w:val="1"/>
      <w:numFmt w:val="lowerRoman"/>
      <w:lvlText w:val="%3."/>
      <w:lvlJc w:val="right"/>
      <w:pPr>
        <w:tabs>
          <w:tab w:val="num" w:pos="1582"/>
        </w:tabs>
        <w:ind w:left="1582" w:hanging="480"/>
      </w:pPr>
    </w:lvl>
    <w:lvl w:ilvl="3" w:tplc="0409000F" w:tentative="1">
      <w:start w:val="1"/>
      <w:numFmt w:val="decimal"/>
      <w:lvlText w:val="%4."/>
      <w:lvlJc w:val="left"/>
      <w:pPr>
        <w:tabs>
          <w:tab w:val="num" w:pos="2062"/>
        </w:tabs>
        <w:ind w:left="2062" w:hanging="480"/>
      </w:pPr>
    </w:lvl>
    <w:lvl w:ilvl="4" w:tplc="04090019" w:tentative="1">
      <w:start w:val="1"/>
      <w:numFmt w:val="ideographTraditional"/>
      <w:lvlText w:val="%5、"/>
      <w:lvlJc w:val="left"/>
      <w:pPr>
        <w:tabs>
          <w:tab w:val="num" w:pos="2542"/>
        </w:tabs>
        <w:ind w:left="2542" w:hanging="480"/>
      </w:pPr>
    </w:lvl>
    <w:lvl w:ilvl="5" w:tplc="0409001B" w:tentative="1">
      <w:start w:val="1"/>
      <w:numFmt w:val="lowerRoman"/>
      <w:lvlText w:val="%6."/>
      <w:lvlJc w:val="right"/>
      <w:pPr>
        <w:tabs>
          <w:tab w:val="num" w:pos="3022"/>
        </w:tabs>
        <w:ind w:left="3022" w:hanging="480"/>
      </w:pPr>
    </w:lvl>
    <w:lvl w:ilvl="6" w:tplc="0409000F" w:tentative="1">
      <w:start w:val="1"/>
      <w:numFmt w:val="decimal"/>
      <w:lvlText w:val="%7."/>
      <w:lvlJc w:val="left"/>
      <w:pPr>
        <w:tabs>
          <w:tab w:val="num" w:pos="3502"/>
        </w:tabs>
        <w:ind w:left="3502" w:hanging="480"/>
      </w:pPr>
    </w:lvl>
    <w:lvl w:ilvl="7" w:tplc="04090019" w:tentative="1">
      <w:start w:val="1"/>
      <w:numFmt w:val="ideographTraditional"/>
      <w:lvlText w:val="%8、"/>
      <w:lvlJc w:val="left"/>
      <w:pPr>
        <w:tabs>
          <w:tab w:val="num" w:pos="3982"/>
        </w:tabs>
        <w:ind w:left="3982" w:hanging="480"/>
      </w:pPr>
    </w:lvl>
    <w:lvl w:ilvl="8" w:tplc="0409001B" w:tentative="1">
      <w:start w:val="1"/>
      <w:numFmt w:val="lowerRoman"/>
      <w:lvlText w:val="%9."/>
      <w:lvlJc w:val="right"/>
      <w:pPr>
        <w:tabs>
          <w:tab w:val="num" w:pos="4462"/>
        </w:tabs>
        <w:ind w:left="4462" w:hanging="480"/>
      </w:pPr>
    </w:lvl>
  </w:abstractNum>
  <w:abstractNum w:abstractNumId="7">
    <w:nsid w:val="116A4986"/>
    <w:multiLevelType w:val="hybridMultilevel"/>
    <w:tmpl w:val="0540C762"/>
    <w:lvl w:ilvl="0" w:tplc="D90056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1B44F62"/>
    <w:multiLevelType w:val="hybridMultilevel"/>
    <w:tmpl w:val="E494C472"/>
    <w:lvl w:ilvl="0" w:tplc="3DC40610">
      <w:start w:val="1"/>
      <w:numFmt w:val="decimal"/>
      <w:lvlText w:val="%1."/>
      <w:lvlJc w:val="left"/>
      <w:pPr>
        <w:ind w:left="480" w:hanging="480"/>
      </w:pPr>
      <w:rPr>
        <w:color w:val="0D0D0D" w:themeColor="text1" w:themeTint="F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1F17994"/>
    <w:multiLevelType w:val="hybridMultilevel"/>
    <w:tmpl w:val="68AAC092"/>
    <w:lvl w:ilvl="0" w:tplc="5D92FCEE">
      <w:start w:val="1"/>
      <w:numFmt w:val="decimal"/>
      <w:lvlText w:val="%1."/>
      <w:lvlJc w:val="left"/>
      <w:pPr>
        <w:ind w:left="286" w:hanging="360"/>
      </w:pPr>
      <w:rPr>
        <w:rFonts w:hint="default"/>
        <w:color w:val="000000" w:themeColor="text1"/>
      </w:rPr>
    </w:lvl>
    <w:lvl w:ilvl="1" w:tplc="04090019" w:tentative="1">
      <w:start w:val="1"/>
      <w:numFmt w:val="ideographTraditional"/>
      <w:lvlText w:val="%2、"/>
      <w:lvlJc w:val="left"/>
      <w:pPr>
        <w:ind w:left="886" w:hanging="480"/>
      </w:pPr>
    </w:lvl>
    <w:lvl w:ilvl="2" w:tplc="0409001B" w:tentative="1">
      <w:start w:val="1"/>
      <w:numFmt w:val="lowerRoman"/>
      <w:lvlText w:val="%3."/>
      <w:lvlJc w:val="right"/>
      <w:pPr>
        <w:ind w:left="1366" w:hanging="480"/>
      </w:pPr>
    </w:lvl>
    <w:lvl w:ilvl="3" w:tplc="0409000F" w:tentative="1">
      <w:start w:val="1"/>
      <w:numFmt w:val="decimal"/>
      <w:lvlText w:val="%4."/>
      <w:lvlJc w:val="left"/>
      <w:pPr>
        <w:ind w:left="1846" w:hanging="480"/>
      </w:pPr>
    </w:lvl>
    <w:lvl w:ilvl="4" w:tplc="04090019" w:tentative="1">
      <w:start w:val="1"/>
      <w:numFmt w:val="ideographTraditional"/>
      <w:lvlText w:val="%5、"/>
      <w:lvlJc w:val="left"/>
      <w:pPr>
        <w:ind w:left="2326" w:hanging="480"/>
      </w:pPr>
    </w:lvl>
    <w:lvl w:ilvl="5" w:tplc="0409001B" w:tentative="1">
      <w:start w:val="1"/>
      <w:numFmt w:val="lowerRoman"/>
      <w:lvlText w:val="%6."/>
      <w:lvlJc w:val="right"/>
      <w:pPr>
        <w:ind w:left="2806" w:hanging="480"/>
      </w:pPr>
    </w:lvl>
    <w:lvl w:ilvl="6" w:tplc="0409000F" w:tentative="1">
      <w:start w:val="1"/>
      <w:numFmt w:val="decimal"/>
      <w:lvlText w:val="%7."/>
      <w:lvlJc w:val="left"/>
      <w:pPr>
        <w:ind w:left="3286" w:hanging="480"/>
      </w:pPr>
    </w:lvl>
    <w:lvl w:ilvl="7" w:tplc="04090019" w:tentative="1">
      <w:start w:val="1"/>
      <w:numFmt w:val="ideographTraditional"/>
      <w:lvlText w:val="%8、"/>
      <w:lvlJc w:val="left"/>
      <w:pPr>
        <w:ind w:left="3766" w:hanging="480"/>
      </w:pPr>
    </w:lvl>
    <w:lvl w:ilvl="8" w:tplc="0409001B" w:tentative="1">
      <w:start w:val="1"/>
      <w:numFmt w:val="lowerRoman"/>
      <w:lvlText w:val="%9."/>
      <w:lvlJc w:val="right"/>
      <w:pPr>
        <w:ind w:left="4246" w:hanging="480"/>
      </w:pPr>
    </w:lvl>
  </w:abstractNum>
  <w:abstractNum w:abstractNumId="10">
    <w:nsid w:val="18B50CAC"/>
    <w:multiLevelType w:val="hybridMultilevel"/>
    <w:tmpl w:val="8A9CE6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A026FEC"/>
    <w:multiLevelType w:val="hybridMultilevel"/>
    <w:tmpl w:val="87CC0DDE"/>
    <w:lvl w:ilvl="0" w:tplc="41C231B0">
      <w:start w:val="3"/>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A4454F0"/>
    <w:multiLevelType w:val="hybridMultilevel"/>
    <w:tmpl w:val="6BD8A5C2"/>
    <w:lvl w:ilvl="0" w:tplc="C79A04C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3907503"/>
    <w:multiLevelType w:val="hybridMultilevel"/>
    <w:tmpl w:val="F16EC14A"/>
    <w:lvl w:ilvl="0" w:tplc="BD8089C2">
      <w:start w:val="1"/>
      <w:numFmt w:val="decimal"/>
      <w:lvlText w:val="%1."/>
      <w:lvlJc w:val="left"/>
      <w:pPr>
        <w:ind w:left="360"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42B4E3F"/>
    <w:multiLevelType w:val="hybridMultilevel"/>
    <w:tmpl w:val="BB1CCCBC"/>
    <w:lvl w:ilvl="0" w:tplc="F14A397C">
      <w:start w:val="1"/>
      <w:numFmt w:val="decimal"/>
      <w:lvlText w:val="%1."/>
      <w:lvlJc w:val="left"/>
      <w:pPr>
        <w:ind w:left="480" w:hanging="480"/>
      </w:pPr>
      <w:rPr>
        <w:color w:val="0D0D0D" w:themeColor="text1" w:themeTint="F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2AE13A0A"/>
    <w:multiLevelType w:val="hybridMultilevel"/>
    <w:tmpl w:val="BE5C5C24"/>
    <w:lvl w:ilvl="0" w:tplc="68B2E8D4">
      <w:start w:val="1"/>
      <w:numFmt w:val="taiwaneseCountingThousand"/>
      <w:suff w:val="nothing"/>
      <w:lvlText w:val="（%1）"/>
      <w:lvlJc w:val="left"/>
      <w:pPr>
        <w:ind w:left="3599" w:hanging="480"/>
      </w:pPr>
      <w:rPr>
        <w:rFonts w:hint="eastAsia"/>
        <w:color w:val="000000" w:themeColor="text1"/>
      </w:rPr>
    </w:lvl>
    <w:lvl w:ilvl="1" w:tplc="04090019" w:tentative="1">
      <w:start w:val="1"/>
      <w:numFmt w:val="ideographTraditional"/>
      <w:lvlText w:val="%2、"/>
      <w:lvlJc w:val="left"/>
      <w:pPr>
        <w:ind w:left="-2442" w:hanging="480"/>
      </w:pPr>
    </w:lvl>
    <w:lvl w:ilvl="2" w:tplc="0409001B" w:tentative="1">
      <w:start w:val="1"/>
      <w:numFmt w:val="lowerRoman"/>
      <w:lvlText w:val="%3."/>
      <w:lvlJc w:val="right"/>
      <w:pPr>
        <w:ind w:left="-1962" w:hanging="480"/>
      </w:pPr>
    </w:lvl>
    <w:lvl w:ilvl="3" w:tplc="0409000F" w:tentative="1">
      <w:start w:val="1"/>
      <w:numFmt w:val="decimal"/>
      <w:lvlText w:val="%4."/>
      <w:lvlJc w:val="left"/>
      <w:pPr>
        <w:ind w:left="-1482" w:hanging="480"/>
      </w:pPr>
    </w:lvl>
    <w:lvl w:ilvl="4" w:tplc="04090019" w:tentative="1">
      <w:start w:val="1"/>
      <w:numFmt w:val="ideographTraditional"/>
      <w:lvlText w:val="%5、"/>
      <w:lvlJc w:val="left"/>
      <w:pPr>
        <w:ind w:left="-1002" w:hanging="480"/>
      </w:pPr>
    </w:lvl>
    <w:lvl w:ilvl="5" w:tplc="0409001B" w:tentative="1">
      <w:start w:val="1"/>
      <w:numFmt w:val="lowerRoman"/>
      <w:lvlText w:val="%6."/>
      <w:lvlJc w:val="right"/>
      <w:pPr>
        <w:ind w:left="-522" w:hanging="480"/>
      </w:pPr>
    </w:lvl>
    <w:lvl w:ilvl="6" w:tplc="0409000F" w:tentative="1">
      <w:start w:val="1"/>
      <w:numFmt w:val="decimal"/>
      <w:lvlText w:val="%7."/>
      <w:lvlJc w:val="left"/>
      <w:pPr>
        <w:ind w:left="-42" w:hanging="480"/>
      </w:pPr>
    </w:lvl>
    <w:lvl w:ilvl="7" w:tplc="04090019" w:tentative="1">
      <w:start w:val="1"/>
      <w:numFmt w:val="ideographTraditional"/>
      <w:lvlText w:val="%8、"/>
      <w:lvlJc w:val="left"/>
      <w:pPr>
        <w:ind w:left="438" w:hanging="480"/>
      </w:pPr>
    </w:lvl>
    <w:lvl w:ilvl="8" w:tplc="0409001B" w:tentative="1">
      <w:start w:val="1"/>
      <w:numFmt w:val="lowerRoman"/>
      <w:lvlText w:val="%9."/>
      <w:lvlJc w:val="right"/>
      <w:pPr>
        <w:ind w:left="918" w:hanging="480"/>
      </w:pPr>
    </w:lvl>
  </w:abstractNum>
  <w:abstractNum w:abstractNumId="16">
    <w:nsid w:val="35B04E74"/>
    <w:multiLevelType w:val="hybridMultilevel"/>
    <w:tmpl w:val="DD606EB2"/>
    <w:lvl w:ilvl="0" w:tplc="6B16AED6">
      <w:start w:val="1"/>
      <w:numFmt w:val="taiwaneseCountingThousand"/>
      <w:lvlText w:val="(%1)"/>
      <w:lvlJc w:val="left"/>
      <w:pPr>
        <w:ind w:left="516" w:hanging="516"/>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6C135F0"/>
    <w:multiLevelType w:val="hybridMultilevel"/>
    <w:tmpl w:val="EA58CC94"/>
    <w:lvl w:ilvl="0" w:tplc="CB4E1188">
      <w:start w:val="1"/>
      <w:numFmt w:val="decimal"/>
      <w:suff w:val="nothing"/>
      <w:lvlText w:val="(%1)"/>
      <w:lvlJc w:val="left"/>
      <w:pPr>
        <w:ind w:left="502" w:hanging="360"/>
      </w:pPr>
      <w:rPr>
        <w:rFonts w:hint="default"/>
      </w:rPr>
    </w:lvl>
    <w:lvl w:ilvl="1" w:tplc="04090019" w:tentative="1">
      <w:start w:val="1"/>
      <w:numFmt w:val="ideographTraditional"/>
      <w:lvlText w:val="%2、"/>
      <w:lvlJc w:val="left"/>
      <w:pPr>
        <w:tabs>
          <w:tab w:val="num" w:pos="1102"/>
        </w:tabs>
        <w:ind w:left="1102" w:hanging="480"/>
      </w:pPr>
    </w:lvl>
    <w:lvl w:ilvl="2" w:tplc="0409001B" w:tentative="1">
      <w:start w:val="1"/>
      <w:numFmt w:val="lowerRoman"/>
      <w:lvlText w:val="%3."/>
      <w:lvlJc w:val="right"/>
      <w:pPr>
        <w:tabs>
          <w:tab w:val="num" w:pos="1582"/>
        </w:tabs>
        <w:ind w:left="1582" w:hanging="480"/>
      </w:pPr>
    </w:lvl>
    <w:lvl w:ilvl="3" w:tplc="0409000F" w:tentative="1">
      <w:start w:val="1"/>
      <w:numFmt w:val="decimal"/>
      <w:lvlText w:val="%4."/>
      <w:lvlJc w:val="left"/>
      <w:pPr>
        <w:tabs>
          <w:tab w:val="num" w:pos="2062"/>
        </w:tabs>
        <w:ind w:left="2062" w:hanging="480"/>
      </w:pPr>
    </w:lvl>
    <w:lvl w:ilvl="4" w:tplc="04090019" w:tentative="1">
      <w:start w:val="1"/>
      <w:numFmt w:val="ideographTraditional"/>
      <w:lvlText w:val="%5、"/>
      <w:lvlJc w:val="left"/>
      <w:pPr>
        <w:tabs>
          <w:tab w:val="num" w:pos="2542"/>
        </w:tabs>
        <w:ind w:left="2542" w:hanging="480"/>
      </w:pPr>
    </w:lvl>
    <w:lvl w:ilvl="5" w:tplc="0409001B" w:tentative="1">
      <w:start w:val="1"/>
      <w:numFmt w:val="lowerRoman"/>
      <w:lvlText w:val="%6."/>
      <w:lvlJc w:val="right"/>
      <w:pPr>
        <w:tabs>
          <w:tab w:val="num" w:pos="3022"/>
        </w:tabs>
        <w:ind w:left="3022" w:hanging="480"/>
      </w:pPr>
    </w:lvl>
    <w:lvl w:ilvl="6" w:tplc="0409000F" w:tentative="1">
      <w:start w:val="1"/>
      <w:numFmt w:val="decimal"/>
      <w:lvlText w:val="%7."/>
      <w:lvlJc w:val="left"/>
      <w:pPr>
        <w:tabs>
          <w:tab w:val="num" w:pos="3502"/>
        </w:tabs>
        <w:ind w:left="3502" w:hanging="480"/>
      </w:pPr>
    </w:lvl>
    <w:lvl w:ilvl="7" w:tplc="04090019" w:tentative="1">
      <w:start w:val="1"/>
      <w:numFmt w:val="ideographTraditional"/>
      <w:lvlText w:val="%8、"/>
      <w:lvlJc w:val="left"/>
      <w:pPr>
        <w:tabs>
          <w:tab w:val="num" w:pos="3982"/>
        </w:tabs>
        <w:ind w:left="3982" w:hanging="480"/>
      </w:pPr>
    </w:lvl>
    <w:lvl w:ilvl="8" w:tplc="0409001B" w:tentative="1">
      <w:start w:val="1"/>
      <w:numFmt w:val="lowerRoman"/>
      <w:lvlText w:val="%9."/>
      <w:lvlJc w:val="right"/>
      <w:pPr>
        <w:tabs>
          <w:tab w:val="num" w:pos="4462"/>
        </w:tabs>
        <w:ind w:left="4462" w:hanging="480"/>
      </w:pPr>
    </w:lvl>
  </w:abstractNum>
  <w:abstractNum w:abstractNumId="18">
    <w:nsid w:val="3ACE3101"/>
    <w:multiLevelType w:val="hybridMultilevel"/>
    <w:tmpl w:val="29D076A0"/>
    <w:lvl w:ilvl="0" w:tplc="1996F2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BE631BD"/>
    <w:multiLevelType w:val="hybridMultilevel"/>
    <w:tmpl w:val="B834508C"/>
    <w:lvl w:ilvl="0" w:tplc="3DC40610">
      <w:start w:val="1"/>
      <w:numFmt w:val="decimal"/>
      <w:lvlText w:val="%1."/>
      <w:lvlJc w:val="left"/>
      <w:pPr>
        <w:ind w:left="480" w:hanging="480"/>
      </w:pPr>
      <w:rPr>
        <w:color w:val="0D0D0D" w:themeColor="text1" w:themeTint="F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0FC4F7C"/>
    <w:multiLevelType w:val="hybridMultilevel"/>
    <w:tmpl w:val="E9C48692"/>
    <w:lvl w:ilvl="0" w:tplc="80A816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348564E"/>
    <w:multiLevelType w:val="hybridMultilevel"/>
    <w:tmpl w:val="5AF021A0"/>
    <w:lvl w:ilvl="0" w:tplc="F14A397C">
      <w:start w:val="1"/>
      <w:numFmt w:val="decimal"/>
      <w:lvlText w:val="%1."/>
      <w:lvlJc w:val="left"/>
      <w:pPr>
        <w:ind w:left="480" w:hanging="480"/>
      </w:pPr>
      <w:rPr>
        <w:color w:val="0D0D0D" w:themeColor="text1" w:themeTint="F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A086C69"/>
    <w:multiLevelType w:val="hybridMultilevel"/>
    <w:tmpl w:val="E7D80F5E"/>
    <w:lvl w:ilvl="0" w:tplc="EDF44E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0A50FF3"/>
    <w:multiLevelType w:val="hybridMultilevel"/>
    <w:tmpl w:val="C602EA20"/>
    <w:lvl w:ilvl="0" w:tplc="CAF251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3AF28F7"/>
    <w:multiLevelType w:val="hybridMultilevel"/>
    <w:tmpl w:val="39049DDC"/>
    <w:lvl w:ilvl="0" w:tplc="D8CCA2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7262532"/>
    <w:multiLevelType w:val="hybridMultilevel"/>
    <w:tmpl w:val="CCF8F08A"/>
    <w:lvl w:ilvl="0" w:tplc="5DDEA82E">
      <w:start w:val="1"/>
      <w:numFmt w:val="decimal"/>
      <w:lvlText w:val="%1."/>
      <w:lvlJc w:val="left"/>
      <w:pPr>
        <w:ind w:left="360" w:hanging="360"/>
      </w:pPr>
      <w:rPr>
        <w:rFonts w:hint="default"/>
        <w:color w:val="FF0000"/>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8F02A54"/>
    <w:multiLevelType w:val="hybridMultilevel"/>
    <w:tmpl w:val="56FECD7A"/>
    <w:lvl w:ilvl="0" w:tplc="440844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65827BA0"/>
    <w:multiLevelType w:val="hybridMultilevel"/>
    <w:tmpl w:val="786C2A62"/>
    <w:lvl w:ilvl="0" w:tplc="AFA603A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65971DA7"/>
    <w:multiLevelType w:val="hybridMultilevel"/>
    <w:tmpl w:val="90048370"/>
    <w:lvl w:ilvl="0" w:tplc="FA1EED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6ADF4D8C"/>
    <w:multiLevelType w:val="hybridMultilevel"/>
    <w:tmpl w:val="D57CA340"/>
    <w:lvl w:ilvl="0" w:tplc="3766B6D4">
      <w:start w:val="3"/>
      <w:numFmt w:val="decimal"/>
      <w:lvlText w:val="%1."/>
      <w:lvlJc w:val="left"/>
      <w:pPr>
        <w:ind w:left="480" w:hanging="480"/>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6B892835"/>
    <w:multiLevelType w:val="hybridMultilevel"/>
    <w:tmpl w:val="CE24D2BE"/>
    <w:lvl w:ilvl="0" w:tplc="CCAEB1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E0B7C1B"/>
    <w:multiLevelType w:val="hybridMultilevel"/>
    <w:tmpl w:val="ECF41356"/>
    <w:lvl w:ilvl="0" w:tplc="B6F8F1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75A47680"/>
    <w:multiLevelType w:val="hybridMultilevel"/>
    <w:tmpl w:val="6ACEFF34"/>
    <w:lvl w:ilvl="0" w:tplc="2736BDF2">
      <w:start w:val="1"/>
      <w:numFmt w:val="decimal"/>
      <w:lvlText w:val="%1."/>
      <w:lvlJc w:val="left"/>
      <w:pPr>
        <w:ind w:left="480" w:hanging="480"/>
      </w:pPr>
      <w:rPr>
        <w:color w:val="0D0D0D" w:themeColor="text1" w:themeTint="F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0"/>
  </w:num>
  <w:num w:numId="2">
    <w:abstractNumId w:val="4"/>
  </w:num>
  <w:num w:numId="3">
    <w:abstractNumId w:val="17"/>
  </w:num>
  <w:num w:numId="4">
    <w:abstractNumId w:val="0"/>
  </w:num>
  <w:num w:numId="5">
    <w:abstractNumId w:val="6"/>
  </w:num>
  <w:num w:numId="6">
    <w:abstractNumId w:val="12"/>
  </w:num>
  <w:num w:numId="7">
    <w:abstractNumId w:val="18"/>
  </w:num>
  <w:num w:numId="8">
    <w:abstractNumId w:val="5"/>
  </w:num>
  <w:num w:numId="9">
    <w:abstractNumId w:val="26"/>
  </w:num>
  <w:num w:numId="10">
    <w:abstractNumId w:val="22"/>
  </w:num>
  <w:num w:numId="11">
    <w:abstractNumId w:val="32"/>
  </w:num>
  <w:num w:numId="12">
    <w:abstractNumId w:val="10"/>
  </w:num>
  <w:num w:numId="13">
    <w:abstractNumId w:val="23"/>
  </w:num>
  <w:num w:numId="14">
    <w:abstractNumId w:val="14"/>
  </w:num>
  <w:num w:numId="15">
    <w:abstractNumId w:val="21"/>
  </w:num>
  <w:num w:numId="16">
    <w:abstractNumId w:val="3"/>
  </w:num>
  <w:num w:numId="17">
    <w:abstractNumId w:val="19"/>
  </w:num>
  <w:num w:numId="18">
    <w:abstractNumId w:val="8"/>
  </w:num>
  <w:num w:numId="19">
    <w:abstractNumId w:val="31"/>
  </w:num>
  <w:num w:numId="20">
    <w:abstractNumId w:val="11"/>
  </w:num>
  <w:num w:numId="21">
    <w:abstractNumId w:val="29"/>
  </w:num>
  <w:num w:numId="22">
    <w:abstractNumId w:val="27"/>
  </w:num>
  <w:num w:numId="23">
    <w:abstractNumId w:val="9"/>
  </w:num>
  <w:num w:numId="24">
    <w:abstractNumId w:val="25"/>
  </w:num>
  <w:num w:numId="25">
    <w:abstractNumId w:val="20"/>
  </w:num>
  <w:num w:numId="26">
    <w:abstractNumId w:val="28"/>
  </w:num>
  <w:num w:numId="27">
    <w:abstractNumId w:val="7"/>
  </w:num>
  <w:num w:numId="28">
    <w:abstractNumId w:val="24"/>
  </w:num>
  <w:num w:numId="29">
    <w:abstractNumId w:val="13"/>
  </w:num>
  <w:num w:numId="30">
    <w:abstractNumId w:val="16"/>
  </w:num>
  <w:num w:numId="31">
    <w:abstractNumId w:val="15"/>
  </w:num>
  <w:num w:numId="32">
    <w:abstractNumId w:val="1"/>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34406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9B7"/>
    <w:rsid w:val="00000AEC"/>
    <w:rsid w:val="00000BAF"/>
    <w:rsid w:val="00002B37"/>
    <w:rsid w:val="00006DBA"/>
    <w:rsid w:val="0001046F"/>
    <w:rsid w:val="00010750"/>
    <w:rsid w:val="000147B6"/>
    <w:rsid w:val="00016721"/>
    <w:rsid w:val="00017339"/>
    <w:rsid w:val="0002381C"/>
    <w:rsid w:val="00024DF9"/>
    <w:rsid w:val="000271CA"/>
    <w:rsid w:val="0003108E"/>
    <w:rsid w:val="000313F2"/>
    <w:rsid w:val="00032ACF"/>
    <w:rsid w:val="00034B68"/>
    <w:rsid w:val="00036592"/>
    <w:rsid w:val="00041FE2"/>
    <w:rsid w:val="00045494"/>
    <w:rsid w:val="000479F3"/>
    <w:rsid w:val="000524B8"/>
    <w:rsid w:val="00053C27"/>
    <w:rsid w:val="00054AAD"/>
    <w:rsid w:val="00056AB1"/>
    <w:rsid w:val="00061893"/>
    <w:rsid w:val="000721E0"/>
    <w:rsid w:val="00076312"/>
    <w:rsid w:val="0008357E"/>
    <w:rsid w:val="0008379F"/>
    <w:rsid w:val="0008572C"/>
    <w:rsid w:val="00085976"/>
    <w:rsid w:val="000879B3"/>
    <w:rsid w:val="000905B9"/>
    <w:rsid w:val="00091B77"/>
    <w:rsid w:val="00092961"/>
    <w:rsid w:val="0009506B"/>
    <w:rsid w:val="000973FA"/>
    <w:rsid w:val="000A028D"/>
    <w:rsid w:val="000A2F1B"/>
    <w:rsid w:val="000A70C4"/>
    <w:rsid w:val="000B169A"/>
    <w:rsid w:val="000B4A1A"/>
    <w:rsid w:val="000B6286"/>
    <w:rsid w:val="000B6A59"/>
    <w:rsid w:val="000B6AF7"/>
    <w:rsid w:val="000C1596"/>
    <w:rsid w:val="000C395A"/>
    <w:rsid w:val="000C7231"/>
    <w:rsid w:val="000D14FE"/>
    <w:rsid w:val="000D17BA"/>
    <w:rsid w:val="000D2529"/>
    <w:rsid w:val="000D7B99"/>
    <w:rsid w:val="000E01E0"/>
    <w:rsid w:val="000E68DC"/>
    <w:rsid w:val="000F1C3D"/>
    <w:rsid w:val="000F541D"/>
    <w:rsid w:val="000F62F9"/>
    <w:rsid w:val="001004BB"/>
    <w:rsid w:val="001010FB"/>
    <w:rsid w:val="00101FC7"/>
    <w:rsid w:val="00101FCB"/>
    <w:rsid w:val="00101FD8"/>
    <w:rsid w:val="00102706"/>
    <w:rsid w:val="001055AD"/>
    <w:rsid w:val="001103CA"/>
    <w:rsid w:val="001104F9"/>
    <w:rsid w:val="00111CB5"/>
    <w:rsid w:val="00114548"/>
    <w:rsid w:val="0011724C"/>
    <w:rsid w:val="00120945"/>
    <w:rsid w:val="001224D6"/>
    <w:rsid w:val="00122549"/>
    <w:rsid w:val="00123EA9"/>
    <w:rsid w:val="00124AB1"/>
    <w:rsid w:val="00126217"/>
    <w:rsid w:val="001275DC"/>
    <w:rsid w:val="0013618D"/>
    <w:rsid w:val="00137464"/>
    <w:rsid w:val="00137A40"/>
    <w:rsid w:val="00140216"/>
    <w:rsid w:val="00141571"/>
    <w:rsid w:val="001423C1"/>
    <w:rsid w:val="001434F3"/>
    <w:rsid w:val="00144D17"/>
    <w:rsid w:val="001471EA"/>
    <w:rsid w:val="00154400"/>
    <w:rsid w:val="00155727"/>
    <w:rsid w:val="00155C83"/>
    <w:rsid w:val="00163FF4"/>
    <w:rsid w:val="00172382"/>
    <w:rsid w:val="00173352"/>
    <w:rsid w:val="00174CB1"/>
    <w:rsid w:val="00175A99"/>
    <w:rsid w:val="00177FED"/>
    <w:rsid w:val="001813D2"/>
    <w:rsid w:val="001837EF"/>
    <w:rsid w:val="001845AD"/>
    <w:rsid w:val="00185180"/>
    <w:rsid w:val="001867D7"/>
    <w:rsid w:val="00187D10"/>
    <w:rsid w:val="00191CEA"/>
    <w:rsid w:val="00191F19"/>
    <w:rsid w:val="00192324"/>
    <w:rsid w:val="0019289B"/>
    <w:rsid w:val="0019294F"/>
    <w:rsid w:val="00197C20"/>
    <w:rsid w:val="001A099F"/>
    <w:rsid w:val="001A0C40"/>
    <w:rsid w:val="001A5B12"/>
    <w:rsid w:val="001A611A"/>
    <w:rsid w:val="001B3286"/>
    <w:rsid w:val="001B45C9"/>
    <w:rsid w:val="001B47DF"/>
    <w:rsid w:val="001B48C3"/>
    <w:rsid w:val="001B4A8D"/>
    <w:rsid w:val="001B67D2"/>
    <w:rsid w:val="001C217B"/>
    <w:rsid w:val="001C22BC"/>
    <w:rsid w:val="001D150C"/>
    <w:rsid w:val="001D54BF"/>
    <w:rsid w:val="001D589D"/>
    <w:rsid w:val="001D7108"/>
    <w:rsid w:val="001E1DB7"/>
    <w:rsid w:val="001E4D21"/>
    <w:rsid w:val="001E6BA2"/>
    <w:rsid w:val="001E7935"/>
    <w:rsid w:val="001F2256"/>
    <w:rsid w:val="001F55E6"/>
    <w:rsid w:val="00205069"/>
    <w:rsid w:val="00206151"/>
    <w:rsid w:val="00206CCC"/>
    <w:rsid w:val="00207017"/>
    <w:rsid w:val="00214BCA"/>
    <w:rsid w:val="0021546A"/>
    <w:rsid w:val="002157E6"/>
    <w:rsid w:val="0022238E"/>
    <w:rsid w:val="0022274D"/>
    <w:rsid w:val="002234EB"/>
    <w:rsid w:val="0022612B"/>
    <w:rsid w:val="00227C3C"/>
    <w:rsid w:val="00227DAD"/>
    <w:rsid w:val="00231474"/>
    <w:rsid w:val="00233127"/>
    <w:rsid w:val="002341EC"/>
    <w:rsid w:val="00236EA0"/>
    <w:rsid w:val="00237BB2"/>
    <w:rsid w:val="00242704"/>
    <w:rsid w:val="00244DC9"/>
    <w:rsid w:val="00246210"/>
    <w:rsid w:val="002471BA"/>
    <w:rsid w:val="0025162B"/>
    <w:rsid w:val="00252D2B"/>
    <w:rsid w:val="00253276"/>
    <w:rsid w:val="00254DC3"/>
    <w:rsid w:val="002610C6"/>
    <w:rsid w:val="0026658E"/>
    <w:rsid w:val="00267A75"/>
    <w:rsid w:val="00267E70"/>
    <w:rsid w:val="00277B3B"/>
    <w:rsid w:val="00277B75"/>
    <w:rsid w:val="002821DB"/>
    <w:rsid w:val="00284759"/>
    <w:rsid w:val="002868CD"/>
    <w:rsid w:val="002918C0"/>
    <w:rsid w:val="00292A53"/>
    <w:rsid w:val="002953BD"/>
    <w:rsid w:val="00296926"/>
    <w:rsid w:val="002A0DF4"/>
    <w:rsid w:val="002A3AA0"/>
    <w:rsid w:val="002A4986"/>
    <w:rsid w:val="002A4988"/>
    <w:rsid w:val="002A68DE"/>
    <w:rsid w:val="002B1C76"/>
    <w:rsid w:val="002B457A"/>
    <w:rsid w:val="002C3B17"/>
    <w:rsid w:val="002C40D1"/>
    <w:rsid w:val="002C6960"/>
    <w:rsid w:val="002C6F32"/>
    <w:rsid w:val="002D01F1"/>
    <w:rsid w:val="002D10AE"/>
    <w:rsid w:val="002D2B81"/>
    <w:rsid w:val="002D6035"/>
    <w:rsid w:val="002D6FDF"/>
    <w:rsid w:val="002D7545"/>
    <w:rsid w:val="002E50F4"/>
    <w:rsid w:val="002E5A09"/>
    <w:rsid w:val="002E69CC"/>
    <w:rsid w:val="002E6C2A"/>
    <w:rsid w:val="002E7014"/>
    <w:rsid w:val="002E71AE"/>
    <w:rsid w:val="002F12E7"/>
    <w:rsid w:val="002F2C0F"/>
    <w:rsid w:val="002F7DD8"/>
    <w:rsid w:val="00311471"/>
    <w:rsid w:val="003142A9"/>
    <w:rsid w:val="00316BC1"/>
    <w:rsid w:val="00316DD7"/>
    <w:rsid w:val="003207B0"/>
    <w:rsid w:val="00322A24"/>
    <w:rsid w:val="00322CC7"/>
    <w:rsid w:val="003230A8"/>
    <w:rsid w:val="0032509E"/>
    <w:rsid w:val="00325E69"/>
    <w:rsid w:val="00326B98"/>
    <w:rsid w:val="003272AB"/>
    <w:rsid w:val="0033310A"/>
    <w:rsid w:val="00333172"/>
    <w:rsid w:val="0033349C"/>
    <w:rsid w:val="00333FB9"/>
    <w:rsid w:val="0033471C"/>
    <w:rsid w:val="00337C86"/>
    <w:rsid w:val="003409A4"/>
    <w:rsid w:val="00342EE6"/>
    <w:rsid w:val="00343B61"/>
    <w:rsid w:val="003459E1"/>
    <w:rsid w:val="0034626C"/>
    <w:rsid w:val="00347BA7"/>
    <w:rsid w:val="003519FC"/>
    <w:rsid w:val="00353AFC"/>
    <w:rsid w:val="00354085"/>
    <w:rsid w:val="00354A11"/>
    <w:rsid w:val="003572F7"/>
    <w:rsid w:val="00360CB1"/>
    <w:rsid w:val="00362DB7"/>
    <w:rsid w:val="00363BD0"/>
    <w:rsid w:val="0036780A"/>
    <w:rsid w:val="00371E9C"/>
    <w:rsid w:val="003738FE"/>
    <w:rsid w:val="00374328"/>
    <w:rsid w:val="0037437B"/>
    <w:rsid w:val="003835AA"/>
    <w:rsid w:val="003852E5"/>
    <w:rsid w:val="003871BC"/>
    <w:rsid w:val="0038761A"/>
    <w:rsid w:val="00387700"/>
    <w:rsid w:val="003941D9"/>
    <w:rsid w:val="0039638B"/>
    <w:rsid w:val="003976BB"/>
    <w:rsid w:val="003A1D0C"/>
    <w:rsid w:val="003B0F3C"/>
    <w:rsid w:val="003B6FC6"/>
    <w:rsid w:val="003B7170"/>
    <w:rsid w:val="003B782D"/>
    <w:rsid w:val="003B78A5"/>
    <w:rsid w:val="003C1AE5"/>
    <w:rsid w:val="003C4370"/>
    <w:rsid w:val="003D0494"/>
    <w:rsid w:val="003D42CA"/>
    <w:rsid w:val="003E0504"/>
    <w:rsid w:val="003E0E31"/>
    <w:rsid w:val="003E318C"/>
    <w:rsid w:val="003E44E7"/>
    <w:rsid w:val="003F3E4D"/>
    <w:rsid w:val="003F6B71"/>
    <w:rsid w:val="003F7DD1"/>
    <w:rsid w:val="0040011B"/>
    <w:rsid w:val="00402F55"/>
    <w:rsid w:val="00403805"/>
    <w:rsid w:val="00406708"/>
    <w:rsid w:val="00407C38"/>
    <w:rsid w:val="00410F81"/>
    <w:rsid w:val="00411018"/>
    <w:rsid w:val="0041108D"/>
    <w:rsid w:val="00411D06"/>
    <w:rsid w:val="0041237D"/>
    <w:rsid w:val="00413D2F"/>
    <w:rsid w:val="004164F1"/>
    <w:rsid w:val="004229D7"/>
    <w:rsid w:val="00424880"/>
    <w:rsid w:val="0042685B"/>
    <w:rsid w:val="004275D9"/>
    <w:rsid w:val="00430E54"/>
    <w:rsid w:val="00431206"/>
    <w:rsid w:val="00432A3A"/>
    <w:rsid w:val="004355EB"/>
    <w:rsid w:val="00435705"/>
    <w:rsid w:val="00435AD4"/>
    <w:rsid w:val="004377A7"/>
    <w:rsid w:val="004424C3"/>
    <w:rsid w:val="00442738"/>
    <w:rsid w:val="0044388C"/>
    <w:rsid w:val="00443940"/>
    <w:rsid w:val="00444922"/>
    <w:rsid w:val="00447F53"/>
    <w:rsid w:val="0045135A"/>
    <w:rsid w:val="00453152"/>
    <w:rsid w:val="00453E84"/>
    <w:rsid w:val="00455409"/>
    <w:rsid w:val="00455749"/>
    <w:rsid w:val="004609B2"/>
    <w:rsid w:val="00460EEE"/>
    <w:rsid w:val="004627F7"/>
    <w:rsid w:val="00464143"/>
    <w:rsid w:val="00467C04"/>
    <w:rsid w:val="00472979"/>
    <w:rsid w:val="00475320"/>
    <w:rsid w:val="004759C4"/>
    <w:rsid w:val="0047695C"/>
    <w:rsid w:val="00481E0F"/>
    <w:rsid w:val="00481EB1"/>
    <w:rsid w:val="00483C0F"/>
    <w:rsid w:val="004857B2"/>
    <w:rsid w:val="00486B3C"/>
    <w:rsid w:val="00487A36"/>
    <w:rsid w:val="0049138D"/>
    <w:rsid w:val="0049554F"/>
    <w:rsid w:val="0049651B"/>
    <w:rsid w:val="00496A96"/>
    <w:rsid w:val="00497C2D"/>
    <w:rsid w:val="004A7152"/>
    <w:rsid w:val="004B16A2"/>
    <w:rsid w:val="004B3420"/>
    <w:rsid w:val="004B6B11"/>
    <w:rsid w:val="004C366C"/>
    <w:rsid w:val="004C5013"/>
    <w:rsid w:val="004C75AD"/>
    <w:rsid w:val="004C7900"/>
    <w:rsid w:val="004D15A4"/>
    <w:rsid w:val="004D1F24"/>
    <w:rsid w:val="004D3ABD"/>
    <w:rsid w:val="004D41F2"/>
    <w:rsid w:val="004D490D"/>
    <w:rsid w:val="004D4EFA"/>
    <w:rsid w:val="004D561D"/>
    <w:rsid w:val="004D5956"/>
    <w:rsid w:val="004D59C2"/>
    <w:rsid w:val="004D62BE"/>
    <w:rsid w:val="004E3110"/>
    <w:rsid w:val="004E7263"/>
    <w:rsid w:val="004F1012"/>
    <w:rsid w:val="004F211A"/>
    <w:rsid w:val="004F5488"/>
    <w:rsid w:val="004F72D7"/>
    <w:rsid w:val="00506060"/>
    <w:rsid w:val="00506E11"/>
    <w:rsid w:val="00507110"/>
    <w:rsid w:val="005105DA"/>
    <w:rsid w:val="00513295"/>
    <w:rsid w:val="0051332B"/>
    <w:rsid w:val="00514340"/>
    <w:rsid w:val="00514F87"/>
    <w:rsid w:val="00515678"/>
    <w:rsid w:val="0052041F"/>
    <w:rsid w:val="00523714"/>
    <w:rsid w:val="00524D78"/>
    <w:rsid w:val="00531B0C"/>
    <w:rsid w:val="00532AB1"/>
    <w:rsid w:val="0053619E"/>
    <w:rsid w:val="00541513"/>
    <w:rsid w:val="00541FBE"/>
    <w:rsid w:val="005448B0"/>
    <w:rsid w:val="0055047D"/>
    <w:rsid w:val="005523CD"/>
    <w:rsid w:val="005577BF"/>
    <w:rsid w:val="00560D3C"/>
    <w:rsid w:val="00561795"/>
    <w:rsid w:val="00562039"/>
    <w:rsid w:val="00566045"/>
    <w:rsid w:val="0056745B"/>
    <w:rsid w:val="00572E7B"/>
    <w:rsid w:val="0057434E"/>
    <w:rsid w:val="00574641"/>
    <w:rsid w:val="00576D33"/>
    <w:rsid w:val="005772CD"/>
    <w:rsid w:val="005775CA"/>
    <w:rsid w:val="00580CDA"/>
    <w:rsid w:val="005817B2"/>
    <w:rsid w:val="005818F7"/>
    <w:rsid w:val="00581C62"/>
    <w:rsid w:val="0058434F"/>
    <w:rsid w:val="00587465"/>
    <w:rsid w:val="00587C5E"/>
    <w:rsid w:val="00595543"/>
    <w:rsid w:val="005975C1"/>
    <w:rsid w:val="005A2177"/>
    <w:rsid w:val="005A22B0"/>
    <w:rsid w:val="005A3423"/>
    <w:rsid w:val="005A7102"/>
    <w:rsid w:val="005B08D1"/>
    <w:rsid w:val="005B2272"/>
    <w:rsid w:val="005B2A9C"/>
    <w:rsid w:val="005B7341"/>
    <w:rsid w:val="005C07AE"/>
    <w:rsid w:val="005C163F"/>
    <w:rsid w:val="005C1809"/>
    <w:rsid w:val="005C26C9"/>
    <w:rsid w:val="005C2F25"/>
    <w:rsid w:val="005C4760"/>
    <w:rsid w:val="005C7524"/>
    <w:rsid w:val="005D0AAF"/>
    <w:rsid w:val="005D3051"/>
    <w:rsid w:val="005D577C"/>
    <w:rsid w:val="005E0340"/>
    <w:rsid w:val="005E36CC"/>
    <w:rsid w:val="005E37D4"/>
    <w:rsid w:val="005E4CEF"/>
    <w:rsid w:val="005F1D41"/>
    <w:rsid w:val="005F2FEC"/>
    <w:rsid w:val="005F4C03"/>
    <w:rsid w:val="005F5ADA"/>
    <w:rsid w:val="005F63EB"/>
    <w:rsid w:val="005F7553"/>
    <w:rsid w:val="00600232"/>
    <w:rsid w:val="00601AAE"/>
    <w:rsid w:val="00601D6F"/>
    <w:rsid w:val="00610083"/>
    <w:rsid w:val="00612ACD"/>
    <w:rsid w:val="00614CC3"/>
    <w:rsid w:val="00617AD7"/>
    <w:rsid w:val="00617E8F"/>
    <w:rsid w:val="00621211"/>
    <w:rsid w:val="006232B4"/>
    <w:rsid w:val="00623538"/>
    <w:rsid w:val="00623DF8"/>
    <w:rsid w:val="00626545"/>
    <w:rsid w:val="00626E95"/>
    <w:rsid w:val="00631B59"/>
    <w:rsid w:val="006362E1"/>
    <w:rsid w:val="00636D72"/>
    <w:rsid w:val="00636F62"/>
    <w:rsid w:val="006377AC"/>
    <w:rsid w:val="00637FD2"/>
    <w:rsid w:val="00641DA2"/>
    <w:rsid w:val="00641DD1"/>
    <w:rsid w:val="00642088"/>
    <w:rsid w:val="0064336B"/>
    <w:rsid w:val="00643AE0"/>
    <w:rsid w:val="00645D29"/>
    <w:rsid w:val="0064603A"/>
    <w:rsid w:val="00646BD3"/>
    <w:rsid w:val="00650D0B"/>
    <w:rsid w:val="0065150D"/>
    <w:rsid w:val="006539BC"/>
    <w:rsid w:val="006544AC"/>
    <w:rsid w:val="00654723"/>
    <w:rsid w:val="00656647"/>
    <w:rsid w:val="006573A0"/>
    <w:rsid w:val="00657439"/>
    <w:rsid w:val="00657A9D"/>
    <w:rsid w:val="006625C6"/>
    <w:rsid w:val="006651D2"/>
    <w:rsid w:val="0066533E"/>
    <w:rsid w:val="00666CC2"/>
    <w:rsid w:val="00667A1D"/>
    <w:rsid w:val="00667AA0"/>
    <w:rsid w:val="006703AA"/>
    <w:rsid w:val="00671159"/>
    <w:rsid w:val="00672812"/>
    <w:rsid w:val="00673EA7"/>
    <w:rsid w:val="00675D3C"/>
    <w:rsid w:val="00680DB0"/>
    <w:rsid w:val="00684040"/>
    <w:rsid w:val="0068685C"/>
    <w:rsid w:val="00687BB1"/>
    <w:rsid w:val="00691105"/>
    <w:rsid w:val="00691DEA"/>
    <w:rsid w:val="00693C68"/>
    <w:rsid w:val="006947A2"/>
    <w:rsid w:val="00694ED1"/>
    <w:rsid w:val="006B0032"/>
    <w:rsid w:val="006B4B8B"/>
    <w:rsid w:val="006C0BCC"/>
    <w:rsid w:val="006C1D30"/>
    <w:rsid w:val="006C2617"/>
    <w:rsid w:val="006C4529"/>
    <w:rsid w:val="006C493E"/>
    <w:rsid w:val="006C4DA2"/>
    <w:rsid w:val="006C7330"/>
    <w:rsid w:val="006C7915"/>
    <w:rsid w:val="006D0CB5"/>
    <w:rsid w:val="006D223C"/>
    <w:rsid w:val="006D543F"/>
    <w:rsid w:val="006E1E6B"/>
    <w:rsid w:val="006E212D"/>
    <w:rsid w:val="006E2233"/>
    <w:rsid w:val="006E5917"/>
    <w:rsid w:val="006E7184"/>
    <w:rsid w:val="006F119C"/>
    <w:rsid w:val="006F1303"/>
    <w:rsid w:val="006F4130"/>
    <w:rsid w:val="007021C7"/>
    <w:rsid w:val="00705C4A"/>
    <w:rsid w:val="0070783F"/>
    <w:rsid w:val="00717652"/>
    <w:rsid w:val="007177AE"/>
    <w:rsid w:val="00720289"/>
    <w:rsid w:val="00722472"/>
    <w:rsid w:val="00724F21"/>
    <w:rsid w:val="007271E3"/>
    <w:rsid w:val="00730982"/>
    <w:rsid w:val="00731482"/>
    <w:rsid w:val="00734EA2"/>
    <w:rsid w:val="0073578E"/>
    <w:rsid w:val="00735CEB"/>
    <w:rsid w:val="0074422D"/>
    <w:rsid w:val="00745EAF"/>
    <w:rsid w:val="007468A5"/>
    <w:rsid w:val="00747067"/>
    <w:rsid w:val="0074786D"/>
    <w:rsid w:val="00747AB2"/>
    <w:rsid w:val="00751207"/>
    <w:rsid w:val="0075198A"/>
    <w:rsid w:val="00754EA0"/>
    <w:rsid w:val="00755101"/>
    <w:rsid w:val="007559A1"/>
    <w:rsid w:val="007563FD"/>
    <w:rsid w:val="00763213"/>
    <w:rsid w:val="007640BB"/>
    <w:rsid w:val="00767B93"/>
    <w:rsid w:val="00771590"/>
    <w:rsid w:val="00774BF2"/>
    <w:rsid w:val="00781DD2"/>
    <w:rsid w:val="00783049"/>
    <w:rsid w:val="00786F62"/>
    <w:rsid w:val="00787BA2"/>
    <w:rsid w:val="00790058"/>
    <w:rsid w:val="007930D0"/>
    <w:rsid w:val="00795321"/>
    <w:rsid w:val="007955AD"/>
    <w:rsid w:val="007A0F94"/>
    <w:rsid w:val="007B035A"/>
    <w:rsid w:val="007B2D2C"/>
    <w:rsid w:val="007B318A"/>
    <w:rsid w:val="007B4C71"/>
    <w:rsid w:val="007B5BDB"/>
    <w:rsid w:val="007B772D"/>
    <w:rsid w:val="007C03D3"/>
    <w:rsid w:val="007C0EB9"/>
    <w:rsid w:val="007C0F70"/>
    <w:rsid w:val="007C38E1"/>
    <w:rsid w:val="007C3DED"/>
    <w:rsid w:val="007C48A2"/>
    <w:rsid w:val="007C55A0"/>
    <w:rsid w:val="007C7754"/>
    <w:rsid w:val="007D2F97"/>
    <w:rsid w:val="007D3174"/>
    <w:rsid w:val="007D34C2"/>
    <w:rsid w:val="007D585D"/>
    <w:rsid w:val="007D7111"/>
    <w:rsid w:val="007E37D5"/>
    <w:rsid w:val="007E4708"/>
    <w:rsid w:val="007E520D"/>
    <w:rsid w:val="007E6850"/>
    <w:rsid w:val="007F0EC1"/>
    <w:rsid w:val="007F52F1"/>
    <w:rsid w:val="007F5F80"/>
    <w:rsid w:val="008023E0"/>
    <w:rsid w:val="00805DFB"/>
    <w:rsid w:val="00806F31"/>
    <w:rsid w:val="00807046"/>
    <w:rsid w:val="00815BAF"/>
    <w:rsid w:val="00817813"/>
    <w:rsid w:val="00822457"/>
    <w:rsid w:val="00824329"/>
    <w:rsid w:val="00826A80"/>
    <w:rsid w:val="0082789D"/>
    <w:rsid w:val="00830804"/>
    <w:rsid w:val="00831719"/>
    <w:rsid w:val="00833758"/>
    <w:rsid w:val="00833AA8"/>
    <w:rsid w:val="00836CCB"/>
    <w:rsid w:val="00837197"/>
    <w:rsid w:val="00841C6C"/>
    <w:rsid w:val="00845C46"/>
    <w:rsid w:val="00847311"/>
    <w:rsid w:val="00851AAF"/>
    <w:rsid w:val="008537C3"/>
    <w:rsid w:val="00854FD5"/>
    <w:rsid w:val="00855D68"/>
    <w:rsid w:val="008600B3"/>
    <w:rsid w:val="00863810"/>
    <w:rsid w:val="00863B3C"/>
    <w:rsid w:val="00863E24"/>
    <w:rsid w:val="00864317"/>
    <w:rsid w:val="00864C62"/>
    <w:rsid w:val="008650E8"/>
    <w:rsid w:val="00865A56"/>
    <w:rsid w:val="00866267"/>
    <w:rsid w:val="00871095"/>
    <w:rsid w:val="00872063"/>
    <w:rsid w:val="008748B9"/>
    <w:rsid w:val="00874DA6"/>
    <w:rsid w:val="00874F2A"/>
    <w:rsid w:val="008754C9"/>
    <w:rsid w:val="0087556C"/>
    <w:rsid w:val="008779E9"/>
    <w:rsid w:val="0088065B"/>
    <w:rsid w:val="008808DC"/>
    <w:rsid w:val="00884A50"/>
    <w:rsid w:val="00886DB4"/>
    <w:rsid w:val="008902AC"/>
    <w:rsid w:val="00890549"/>
    <w:rsid w:val="008913B7"/>
    <w:rsid w:val="00891FBC"/>
    <w:rsid w:val="008931C2"/>
    <w:rsid w:val="008959B7"/>
    <w:rsid w:val="00897809"/>
    <w:rsid w:val="00897E54"/>
    <w:rsid w:val="008A01B2"/>
    <w:rsid w:val="008A59B7"/>
    <w:rsid w:val="008A6EA5"/>
    <w:rsid w:val="008A73DF"/>
    <w:rsid w:val="008A790F"/>
    <w:rsid w:val="008A7962"/>
    <w:rsid w:val="008B2DA9"/>
    <w:rsid w:val="008B553A"/>
    <w:rsid w:val="008B6AE8"/>
    <w:rsid w:val="008B7985"/>
    <w:rsid w:val="008C2D51"/>
    <w:rsid w:val="008C38BF"/>
    <w:rsid w:val="008C3FCF"/>
    <w:rsid w:val="008C4607"/>
    <w:rsid w:val="008C4D28"/>
    <w:rsid w:val="008C67B4"/>
    <w:rsid w:val="008D2931"/>
    <w:rsid w:val="008D3D74"/>
    <w:rsid w:val="008D4495"/>
    <w:rsid w:val="008D4EB4"/>
    <w:rsid w:val="008D7C84"/>
    <w:rsid w:val="008E0107"/>
    <w:rsid w:val="008E1DBF"/>
    <w:rsid w:val="008E2312"/>
    <w:rsid w:val="008E386C"/>
    <w:rsid w:val="008E3F37"/>
    <w:rsid w:val="008E477E"/>
    <w:rsid w:val="008F1C51"/>
    <w:rsid w:val="008F3B02"/>
    <w:rsid w:val="008F77CC"/>
    <w:rsid w:val="00901269"/>
    <w:rsid w:val="00901A47"/>
    <w:rsid w:val="009031B9"/>
    <w:rsid w:val="00905542"/>
    <w:rsid w:val="009116FF"/>
    <w:rsid w:val="0091518B"/>
    <w:rsid w:val="00915F95"/>
    <w:rsid w:val="009170A5"/>
    <w:rsid w:val="0091738A"/>
    <w:rsid w:val="00917824"/>
    <w:rsid w:val="0092073D"/>
    <w:rsid w:val="00920BE9"/>
    <w:rsid w:val="00921899"/>
    <w:rsid w:val="009225A1"/>
    <w:rsid w:val="00925463"/>
    <w:rsid w:val="0092579A"/>
    <w:rsid w:val="00926FEE"/>
    <w:rsid w:val="009302A0"/>
    <w:rsid w:val="00932966"/>
    <w:rsid w:val="00935BCF"/>
    <w:rsid w:val="009428F8"/>
    <w:rsid w:val="00943CD7"/>
    <w:rsid w:val="00945EA0"/>
    <w:rsid w:val="00946156"/>
    <w:rsid w:val="009475A5"/>
    <w:rsid w:val="0094782C"/>
    <w:rsid w:val="009521EC"/>
    <w:rsid w:val="00953109"/>
    <w:rsid w:val="00954D9B"/>
    <w:rsid w:val="009577D5"/>
    <w:rsid w:val="00960941"/>
    <w:rsid w:val="00960CAD"/>
    <w:rsid w:val="00972AB8"/>
    <w:rsid w:val="00973BC2"/>
    <w:rsid w:val="00977209"/>
    <w:rsid w:val="00977A54"/>
    <w:rsid w:val="009830E6"/>
    <w:rsid w:val="00987523"/>
    <w:rsid w:val="009904D4"/>
    <w:rsid w:val="00990AA4"/>
    <w:rsid w:val="00992EE7"/>
    <w:rsid w:val="00994376"/>
    <w:rsid w:val="0099597B"/>
    <w:rsid w:val="00996716"/>
    <w:rsid w:val="009A016F"/>
    <w:rsid w:val="009A06C6"/>
    <w:rsid w:val="009B0AD1"/>
    <w:rsid w:val="009B20AE"/>
    <w:rsid w:val="009B39F4"/>
    <w:rsid w:val="009B6E6A"/>
    <w:rsid w:val="009B718C"/>
    <w:rsid w:val="009B7311"/>
    <w:rsid w:val="009B7524"/>
    <w:rsid w:val="009B7AB9"/>
    <w:rsid w:val="009B7FD6"/>
    <w:rsid w:val="009C058E"/>
    <w:rsid w:val="009C15E7"/>
    <w:rsid w:val="009C2B86"/>
    <w:rsid w:val="009C5698"/>
    <w:rsid w:val="009C635C"/>
    <w:rsid w:val="009C7346"/>
    <w:rsid w:val="009D0B4B"/>
    <w:rsid w:val="009D0BE8"/>
    <w:rsid w:val="009D262E"/>
    <w:rsid w:val="009D3ABD"/>
    <w:rsid w:val="009D519D"/>
    <w:rsid w:val="009E5154"/>
    <w:rsid w:val="009E53F8"/>
    <w:rsid w:val="009F31BC"/>
    <w:rsid w:val="009F636D"/>
    <w:rsid w:val="00A00C88"/>
    <w:rsid w:val="00A0359F"/>
    <w:rsid w:val="00A11AE0"/>
    <w:rsid w:val="00A11E2A"/>
    <w:rsid w:val="00A125B3"/>
    <w:rsid w:val="00A17AA8"/>
    <w:rsid w:val="00A20F7A"/>
    <w:rsid w:val="00A210E1"/>
    <w:rsid w:val="00A21893"/>
    <w:rsid w:val="00A24581"/>
    <w:rsid w:val="00A32F1E"/>
    <w:rsid w:val="00A3572F"/>
    <w:rsid w:val="00A36B00"/>
    <w:rsid w:val="00A40C3C"/>
    <w:rsid w:val="00A4677E"/>
    <w:rsid w:val="00A53189"/>
    <w:rsid w:val="00A53C48"/>
    <w:rsid w:val="00A56056"/>
    <w:rsid w:val="00A57AB5"/>
    <w:rsid w:val="00A57FD9"/>
    <w:rsid w:val="00A602C2"/>
    <w:rsid w:val="00A60F23"/>
    <w:rsid w:val="00A661C9"/>
    <w:rsid w:val="00A724C2"/>
    <w:rsid w:val="00A73325"/>
    <w:rsid w:val="00A80830"/>
    <w:rsid w:val="00A80C11"/>
    <w:rsid w:val="00A82AE6"/>
    <w:rsid w:val="00A82DAE"/>
    <w:rsid w:val="00A83A7F"/>
    <w:rsid w:val="00A83F6E"/>
    <w:rsid w:val="00A92683"/>
    <w:rsid w:val="00A937D5"/>
    <w:rsid w:val="00A96C34"/>
    <w:rsid w:val="00A96CBC"/>
    <w:rsid w:val="00AA0E79"/>
    <w:rsid w:val="00AA28F5"/>
    <w:rsid w:val="00AA531A"/>
    <w:rsid w:val="00AA739D"/>
    <w:rsid w:val="00AB7FC4"/>
    <w:rsid w:val="00AC35A0"/>
    <w:rsid w:val="00AD0092"/>
    <w:rsid w:val="00AD0AF8"/>
    <w:rsid w:val="00AD1BA3"/>
    <w:rsid w:val="00AD2A25"/>
    <w:rsid w:val="00AD5898"/>
    <w:rsid w:val="00AE4809"/>
    <w:rsid w:val="00AE48D5"/>
    <w:rsid w:val="00AE5ADE"/>
    <w:rsid w:val="00AE7BEE"/>
    <w:rsid w:val="00AF06AE"/>
    <w:rsid w:val="00AF1FEA"/>
    <w:rsid w:val="00AF6527"/>
    <w:rsid w:val="00B0761F"/>
    <w:rsid w:val="00B10644"/>
    <w:rsid w:val="00B119D4"/>
    <w:rsid w:val="00B11D50"/>
    <w:rsid w:val="00B12A2D"/>
    <w:rsid w:val="00B14EE8"/>
    <w:rsid w:val="00B15DDD"/>
    <w:rsid w:val="00B21341"/>
    <w:rsid w:val="00B27654"/>
    <w:rsid w:val="00B3037B"/>
    <w:rsid w:val="00B30446"/>
    <w:rsid w:val="00B3167E"/>
    <w:rsid w:val="00B32F90"/>
    <w:rsid w:val="00B36D11"/>
    <w:rsid w:val="00B409ED"/>
    <w:rsid w:val="00B416AC"/>
    <w:rsid w:val="00B420BB"/>
    <w:rsid w:val="00B4290E"/>
    <w:rsid w:val="00B445B6"/>
    <w:rsid w:val="00B45615"/>
    <w:rsid w:val="00B5022A"/>
    <w:rsid w:val="00B54EDC"/>
    <w:rsid w:val="00B552E4"/>
    <w:rsid w:val="00B559FE"/>
    <w:rsid w:val="00B60646"/>
    <w:rsid w:val="00B6461A"/>
    <w:rsid w:val="00B64F7A"/>
    <w:rsid w:val="00B65191"/>
    <w:rsid w:val="00B70785"/>
    <w:rsid w:val="00B7474A"/>
    <w:rsid w:val="00B74B82"/>
    <w:rsid w:val="00B77DAE"/>
    <w:rsid w:val="00B80631"/>
    <w:rsid w:val="00B809C1"/>
    <w:rsid w:val="00B816C0"/>
    <w:rsid w:val="00B81AE7"/>
    <w:rsid w:val="00B8422C"/>
    <w:rsid w:val="00B90937"/>
    <w:rsid w:val="00B927B5"/>
    <w:rsid w:val="00B92FF9"/>
    <w:rsid w:val="00B93142"/>
    <w:rsid w:val="00B96C01"/>
    <w:rsid w:val="00BA0FEB"/>
    <w:rsid w:val="00BA1E00"/>
    <w:rsid w:val="00BA25F7"/>
    <w:rsid w:val="00BA2D0B"/>
    <w:rsid w:val="00BA3CF1"/>
    <w:rsid w:val="00BB12E9"/>
    <w:rsid w:val="00BB4342"/>
    <w:rsid w:val="00BB77FE"/>
    <w:rsid w:val="00BC2ED7"/>
    <w:rsid w:val="00BC307F"/>
    <w:rsid w:val="00BC3322"/>
    <w:rsid w:val="00BC41DF"/>
    <w:rsid w:val="00BC437E"/>
    <w:rsid w:val="00BC77B9"/>
    <w:rsid w:val="00BD1293"/>
    <w:rsid w:val="00BD178F"/>
    <w:rsid w:val="00BD3CE0"/>
    <w:rsid w:val="00BD5047"/>
    <w:rsid w:val="00BE0B2A"/>
    <w:rsid w:val="00BE0D05"/>
    <w:rsid w:val="00BE0FB9"/>
    <w:rsid w:val="00BE2D5F"/>
    <w:rsid w:val="00BE4AD1"/>
    <w:rsid w:val="00BE5973"/>
    <w:rsid w:val="00BE5E72"/>
    <w:rsid w:val="00BE658D"/>
    <w:rsid w:val="00BE727B"/>
    <w:rsid w:val="00BE7BA5"/>
    <w:rsid w:val="00BF0498"/>
    <w:rsid w:val="00BF18A4"/>
    <w:rsid w:val="00BF5D4A"/>
    <w:rsid w:val="00BF6217"/>
    <w:rsid w:val="00BF74DD"/>
    <w:rsid w:val="00C01866"/>
    <w:rsid w:val="00C0283A"/>
    <w:rsid w:val="00C03027"/>
    <w:rsid w:val="00C07F70"/>
    <w:rsid w:val="00C10D0F"/>
    <w:rsid w:val="00C116EB"/>
    <w:rsid w:val="00C11EF6"/>
    <w:rsid w:val="00C130C9"/>
    <w:rsid w:val="00C152D5"/>
    <w:rsid w:val="00C26364"/>
    <w:rsid w:val="00C265BC"/>
    <w:rsid w:val="00C300D9"/>
    <w:rsid w:val="00C32294"/>
    <w:rsid w:val="00C35E15"/>
    <w:rsid w:val="00C35EF6"/>
    <w:rsid w:val="00C37064"/>
    <w:rsid w:val="00C414CF"/>
    <w:rsid w:val="00C41D3A"/>
    <w:rsid w:val="00C4293D"/>
    <w:rsid w:val="00C46987"/>
    <w:rsid w:val="00C50080"/>
    <w:rsid w:val="00C5090B"/>
    <w:rsid w:val="00C52FF8"/>
    <w:rsid w:val="00C55836"/>
    <w:rsid w:val="00C616FD"/>
    <w:rsid w:val="00C6220F"/>
    <w:rsid w:val="00C62BD9"/>
    <w:rsid w:val="00C64BEA"/>
    <w:rsid w:val="00C64E83"/>
    <w:rsid w:val="00C70A7E"/>
    <w:rsid w:val="00C722A9"/>
    <w:rsid w:val="00C74950"/>
    <w:rsid w:val="00C7546A"/>
    <w:rsid w:val="00C755F6"/>
    <w:rsid w:val="00C7626F"/>
    <w:rsid w:val="00C76F38"/>
    <w:rsid w:val="00C803D8"/>
    <w:rsid w:val="00C80E01"/>
    <w:rsid w:val="00C83BEA"/>
    <w:rsid w:val="00C8436B"/>
    <w:rsid w:val="00C844B0"/>
    <w:rsid w:val="00C859AD"/>
    <w:rsid w:val="00C85EA9"/>
    <w:rsid w:val="00C86F8C"/>
    <w:rsid w:val="00C9036B"/>
    <w:rsid w:val="00C90483"/>
    <w:rsid w:val="00C93A7C"/>
    <w:rsid w:val="00C95EAE"/>
    <w:rsid w:val="00C9686A"/>
    <w:rsid w:val="00CA04E3"/>
    <w:rsid w:val="00CA3CFC"/>
    <w:rsid w:val="00CA3E49"/>
    <w:rsid w:val="00CA5365"/>
    <w:rsid w:val="00CB0F5D"/>
    <w:rsid w:val="00CB1DC7"/>
    <w:rsid w:val="00CB229A"/>
    <w:rsid w:val="00CB23D6"/>
    <w:rsid w:val="00CB3211"/>
    <w:rsid w:val="00CB67C2"/>
    <w:rsid w:val="00CB7141"/>
    <w:rsid w:val="00CB758C"/>
    <w:rsid w:val="00CB7A30"/>
    <w:rsid w:val="00CC3227"/>
    <w:rsid w:val="00CC3A44"/>
    <w:rsid w:val="00CC3CF1"/>
    <w:rsid w:val="00CC4394"/>
    <w:rsid w:val="00CC43B6"/>
    <w:rsid w:val="00CC6427"/>
    <w:rsid w:val="00CC65A9"/>
    <w:rsid w:val="00CD0F99"/>
    <w:rsid w:val="00CE0658"/>
    <w:rsid w:val="00CE08EB"/>
    <w:rsid w:val="00CE09A7"/>
    <w:rsid w:val="00CE0C7E"/>
    <w:rsid w:val="00CE0DC5"/>
    <w:rsid w:val="00CE1FC7"/>
    <w:rsid w:val="00CE5D35"/>
    <w:rsid w:val="00CF6059"/>
    <w:rsid w:val="00CF6ED9"/>
    <w:rsid w:val="00CF715D"/>
    <w:rsid w:val="00D009C7"/>
    <w:rsid w:val="00D0259B"/>
    <w:rsid w:val="00D0448E"/>
    <w:rsid w:val="00D10C23"/>
    <w:rsid w:val="00D145AF"/>
    <w:rsid w:val="00D201FC"/>
    <w:rsid w:val="00D20F09"/>
    <w:rsid w:val="00D21D11"/>
    <w:rsid w:val="00D22D0C"/>
    <w:rsid w:val="00D23401"/>
    <w:rsid w:val="00D2387B"/>
    <w:rsid w:val="00D27013"/>
    <w:rsid w:val="00D30195"/>
    <w:rsid w:val="00D312E7"/>
    <w:rsid w:val="00D3145E"/>
    <w:rsid w:val="00D32CE0"/>
    <w:rsid w:val="00D33793"/>
    <w:rsid w:val="00D340E6"/>
    <w:rsid w:val="00D3485A"/>
    <w:rsid w:val="00D35775"/>
    <w:rsid w:val="00D35A16"/>
    <w:rsid w:val="00D376D0"/>
    <w:rsid w:val="00D41FAA"/>
    <w:rsid w:val="00D44FF1"/>
    <w:rsid w:val="00D47CAF"/>
    <w:rsid w:val="00D53197"/>
    <w:rsid w:val="00D551C5"/>
    <w:rsid w:val="00D56861"/>
    <w:rsid w:val="00D57538"/>
    <w:rsid w:val="00D62785"/>
    <w:rsid w:val="00D664F0"/>
    <w:rsid w:val="00D71698"/>
    <w:rsid w:val="00D716A5"/>
    <w:rsid w:val="00D719CE"/>
    <w:rsid w:val="00D73084"/>
    <w:rsid w:val="00D73CDD"/>
    <w:rsid w:val="00D73CE6"/>
    <w:rsid w:val="00D80E82"/>
    <w:rsid w:val="00D833C2"/>
    <w:rsid w:val="00D8497F"/>
    <w:rsid w:val="00D85CC2"/>
    <w:rsid w:val="00D87FBC"/>
    <w:rsid w:val="00D9064B"/>
    <w:rsid w:val="00D91415"/>
    <w:rsid w:val="00D93710"/>
    <w:rsid w:val="00D95F62"/>
    <w:rsid w:val="00D976A8"/>
    <w:rsid w:val="00DA2DE7"/>
    <w:rsid w:val="00DA4336"/>
    <w:rsid w:val="00DA75C2"/>
    <w:rsid w:val="00DA7B0C"/>
    <w:rsid w:val="00DB292F"/>
    <w:rsid w:val="00DB4D4E"/>
    <w:rsid w:val="00DB50B9"/>
    <w:rsid w:val="00DB52A0"/>
    <w:rsid w:val="00DB5DF5"/>
    <w:rsid w:val="00DB6627"/>
    <w:rsid w:val="00DC327C"/>
    <w:rsid w:val="00DD04B7"/>
    <w:rsid w:val="00DD52A4"/>
    <w:rsid w:val="00DD589C"/>
    <w:rsid w:val="00DD5A41"/>
    <w:rsid w:val="00DE224F"/>
    <w:rsid w:val="00DE30D8"/>
    <w:rsid w:val="00DE6051"/>
    <w:rsid w:val="00DF0444"/>
    <w:rsid w:val="00DF1503"/>
    <w:rsid w:val="00DF2072"/>
    <w:rsid w:val="00DF239D"/>
    <w:rsid w:val="00DF4116"/>
    <w:rsid w:val="00DF6EAB"/>
    <w:rsid w:val="00E02269"/>
    <w:rsid w:val="00E0481D"/>
    <w:rsid w:val="00E04CA1"/>
    <w:rsid w:val="00E0799A"/>
    <w:rsid w:val="00E10CA8"/>
    <w:rsid w:val="00E123FF"/>
    <w:rsid w:val="00E13E59"/>
    <w:rsid w:val="00E16127"/>
    <w:rsid w:val="00E2670C"/>
    <w:rsid w:val="00E33DB2"/>
    <w:rsid w:val="00E35F68"/>
    <w:rsid w:val="00E36260"/>
    <w:rsid w:val="00E44531"/>
    <w:rsid w:val="00E47826"/>
    <w:rsid w:val="00E47C3E"/>
    <w:rsid w:val="00E51096"/>
    <w:rsid w:val="00E51FE7"/>
    <w:rsid w:val="00E52DD6"/>
    <w:rsid w:val="00E531E6"/>
    <w:rsid w:val="00E53794"/>
    <w:rsid w:val="00E56442"/>
    <w:rsid w:val="00E567FC"/>
    <w:rsid w:val="00E606A0"/>
    <w:rsid w:val="00E60C91"/>
    <w:rsid w:val="00E6171F"/>
    <w:rsid w:val="00E62099"/>
    <w:rsid w:val="00E6247F"/>
    <w:rsid w:val="00E63298"/>
    <w:rsid w:val="00E636CD"/>
    <w:rsid w:val="00E642BD"/>
    <w:rsid w:val="00E7210E"/>
    <w:rsid w:val="00E74D7F"/>
    <w:rsid w:val="00E74E8E"/>
    <w:rsid w:val="00E774AF"/>
    <w:rsid w:val="00E77784"/>
    <w:rsid w:val="00E779C9"/>
    <w:rsid w:val="00E82531"/>
    <w:rsid w:val="00E82F6B"/>
    <w:rsid w:val="00E85581"/>
    <w:rsid w:val="00E85F9B"/>
    <w:rsid w:val="00E86912"/>
    <w:rsid w:val="00E873AC"/>
    <w:rsid w:val="00E90B0B"/>
    <w:rsid w:val="00E92330"/>
    <w:rsid w:val="00E95AE8"/>
    <w:rsid w:val="00E95AF4"/>
    <w:rsid w:val="00E9713A"/>
    <w:rsid w:val="00E97989"/>
    <w:rsid w:val="00EA3F3F"/>
    <w:rsid w:val="00EA5FCE"/>
    <w:rsid w:val="00EB701A"/>
    <w:rsid w:val="00EC52D1"/>
    <w:rsid w:val="00EC74A9"/>
    <w:rsid w:val="00EC773A"/>
    <w:rsid w:val="00ED1CC1"/>
    <w:rsid w:val="00ED2B80"/>
    <w:rsid w:val="00ED5D83"/>
    <w:rsid w:val="00EE0F18"/>
    <w:rsid w:val="00EE2A40"/>
    <w:rsid w:val="00EE379F"/>
    <w:rsid w:val="00EE4221"/>
    <w:rsid w:val="00EE5E80"/>
    <w:rsid w:val="00EF4398"/>
    <w:rsid w:val="00F00D83"/>
    <w:rsid w:val="00F019CE"/>
    <w:rsid w:val="00F01BF6"/>
    <w:rsid w:val="00F02616"/>
    <w:rsid w:val="00F055B8"/>
    <w:rsid w:val="00F153CE"/>
    <w:rsid w:val="00F1571E"/>
    <w:rsid w:val="00F2005F"/>
    <w:rsid w:val="00F206F8"/>
    <w:rsid w:val="00F22017"/>
    <w:rsid w:val="00F22307"/>
    <w:rsid w:val="00F24D16"/>
    <w:rsid w:val="00F25209"/>
    <w:rsid w:val="00F27AFA"/>
    <w:rsid w:val="00F30174"/>
    <w:rsid w:val="00F32E68"/>
    <w:rsid w:val="00F35821"/>
    <w:rsid w:val="00F36A6B"/>
    <w:rsid w:val="00F36D93"/>
    <w:rsid w:val="00F40254"/>
    <w:rsid w:val="00F40AF4"/>
    <w:rsid w:val="00F41505"/>
    <w:rsid w:val="00F41E5E"/>
    <w:rsid w:val="00F4226C"/>
    <w:rsid w:val="00F44E07"/>
    <w:rsid w:val="00F4515A"/>
    <w:rsid w:val="00F4684F"/>
    <w:rsid w:val="00F47A60"/>
    <w:rsid w:val="00F50ACE"/>
    <w:rsid w:val="00F51829"/>
    <w:rsid w:val="00F53727"/>
    <w:rsid w:val="00F54288"/>
    <w:rsid w:val="00F54978"/>
    <w:rsid w:val="00F63B6C"/>
    <w:rsid w:val="00F64B5F"/>
    <w:rsid w:val="00F6601F"/>
    <w:rsid w:val="00F70855"/>
    <w:rsid w:val="00F71F77"/>
    <w:rsid w:val="00F72820"/>
    <w:rsid w:val="00F76B29"/>
    <w:rsid w:val="00F8314D"/>
    <w:rsid w:val="00F904EB"/>
    <w:rsid w:val="00F92C40"/>
    <w:rsid w:val="00F94426"/>
    <w:rsid w:val="00F958ED"/>
    <w:rsid w:val="00F95CD7"/>
    <w:rsid w:val="00FA3994"/>
    <w:rsid w:val="00FA4346"/>
    <w:rsid w:val="00FA5781"/>
    <w:rsid w:val="00FA6C48"/>
    <w:rsid w:val="00FB0A23"/>
    <w:rsid w:val="00FB16F8"/>
    <w:rsid w:val="00FB1F4A"/>
    <w:rsid w:val="00FB28E0"/>
    <w:rsid w:val="00FB6A70"/>
    <w:rsid w:val="00FC6444"/>
    <w:rsid w:val="00FC7E07"/>
    <w:rsid w:val="00FD5BD5"/>
    <w:rsid w:val="00FE3D7A"/>
    <w:rsid w:val="00FE4E40"/>
    <w:rsid w:val="00FE5B02"/>
    <w:rsid w:val="00FF37A9"/>
    <w:rsid w:val="00FF51A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44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BA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6267"/>
    <w:pPr>
      <w:tabs>
        <w:tab w:val="center" w:pos="4153"/>
        <w:tab w:val="right" w:pos="8306"/>
      </w:tabs>
      <w:snapToGrid w:val="0"/>
    </w:pPr>
    <w:rPr>
      <w:sz w:val="20"/>
      <w:szCs w:val="20"/>
    </w:rPr>
  </w:style>
  <w:style w:type="character" w:customStyle="1" w:styleId="a4">
    <w:name w:val="頁首 字元"/>
    <w:basedOn w:val="a0"/>
    <w:link w:val="a3"/>
    <w:uiPriority w:val="99"/>
    <w:rsid w:val="00866267"/>
    <w:rPr>
      <w:sz w:val="20"/>
      <w:szCs w:val="20"/>
    </w:rPr>
  </w:style>
  <w:style w:type="paragraph" w:styleId="a5">
    <w:name w:val="footer"/>
    <w:basedOn w:val="a"/>
    <w:link w:val="a6"/>
    <w:uiPriority w:val="99"/>
    <w:unhideWhenUsed/>
    <w:rsid w:val="00866267"/>
    <w:pPr>
      <w:tabs>
        <w:tab w:val="center" w:pos="4153"/>
        <w:tab w:val="right" w:pos="8306"/>
      </w:tabs>
      <w:snapToGrid w:val="0"/>
    </w:pPr>
    <w:rPr>
      <w:sz w:val="20"/>
      <w:szCs w:val="20"/>
    </w:rPr>
  </w:style>
  <w:style w:type="character" w:customStyle="1" w:styleId="a6">
    <w:name w:val="頁尾 字元"/>
    <w:basedOn w:val="a0"/>
    <w:link w:val="a5"/>
    <w:uiPriority w:val="99"/>
    <w:rsid w:val="00866267"/>
    <w:rPr>
      <w:sz w:val="20"/>
      <w:szCs w:val="20"/>
    </w:rPr>
  </w:style>
  <w:style w:type="paragraph" w:styleId="a7">
    <w:name w:val="Balloon Text"/>
    <w:basedOn w:val="a"/>
    <w:link w:val="a8"/>
    <w:uiPriority w:val="99"/>
    <w:semiHidden/>
    <w:unhideWhenUsed/>
    <w:rsid w:val="008537C3"/>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8537C3"/>
    <w:rPr>
      <w:rFonts w:asciiTheme="majorHAnsi" w:eastAsiaTheme="majorEastAsia" w:hAnsiTheme="majorHAnsi" w:cstheme="majorBidi"/>
      <w:sz w:val="18"/>
      <w:szCs w:val="18"/>
    </w:rPr>
  </w:style>
  <w:style w:type="paragraph" w:styleId="a9">
    <w:name w:val="List Paragraph"/>
    <w:basedOn w:val="a"/>
    <w:uiPriority w:val="34"/>
    <w:qFormat/>
    <w:rsid w:val="00C414CF"/>
    <w:pPr>
      <w:ind w:leftChars="200" w:left="480"/>
    </w:pPr>
  </w:style>
  <w:style w:type="paragraph" w:styleId="aa">
    <w:name w:val="Salutation"/>
    <w:basedOn w:val="a"/>
    <w:next w:val="a"/>
    <w:link w:val="ab"/>
    <w:uiPriority w:val="99"/>
    <w:unhideWhenUsed/>
    <w:rsid w:val="00A17AA8"/>
    <w:rPr>
      <w:rFonts w:ascii="標楷體" w:eastAsia="標楷體" w:hAnsi="標楷體" w:cs="Times New Roman"/>
      <w:color w:val="000000" w:themeColor="text1"/>
      <w:szCs w:val="24"/>
    </w:rPr>
  </w:style>
  <w:style w:type="character" w:customStyle="1" w:styleId="ab">
    <w:name w:val="問候 字元"/>
    <w:basedOn w:val="a0"/>
    <w:link w:val="aa"/>
    <w:uiPriority w:val="99"/>
    <w:rsid w:val="00A17AA8"/>
    <w:rPr>
      <w:rFonts w:ascii="標楷體" w:eastAsia="標楷體" w:hAnsi="標楷體" w:cs="Times New Roman"/>
      <w:color w:val="000000" w:themeColor="text1"/>
      <w:szCs w:val="24"/>
    </w:rPr>
  </w:style>
  <w:style w:type="paragraph" w:styleId="ac">
    <w:name w:val="Closing"/>
    <w:basedOn w:val="a"/>
    <w:link w:val="ad"/>
    <w:uiPriority w:val="99"/>
    <w:unhideWhenUsed/>
    <w:rsid w:val="00A17AA8"/>
    <w:pPr>
      <w:ind w:leftChars="1800" w:left="100"/>
    </w:pPr>
    <w:rPr>
      <w:rFonts w:ascii="標楷體" w:eastAsia="標楷體" w:hAnsi="標楷體" w:cs="Times New Roman"/>
      <w:color w:val="000000" w:themeColor="text1"/>
      <w:szCs w:val="24"/>
    </w:rPr>
  </w:style>
  <w:style w:type="character" w:customStyle="1" w:styleId="ad">
    <w:name w:val="結語 字元"/>
    <w:basedOn w:val="a0"/>
    <w:link w:val="ac"/>
    <w:uiPriority w:val="99"/>
    <w:rsid w:val="00A17AA8"/>
    <w:rPr>
      <w:rFonts w:ascii="標楷體" w:eastAsia="標楷體" w:hAnsi="標楷體" w:cs="Times New Roman"/>
      <w:color w:val="000000" w:themeColor="text1"/>
      <w:szCs w:val="24"/>
    </w:rPr>
  </w:style>
  <w:style w:type="table" w:styleId="ae">
    <w:name w:val="Table Grid"/>
    <w:basedOn w:val="a1"/>
    <w:uiPriority w:val="59"/>
    <w:rsid w:val="000A7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407C38"/>
    <w:pPr>
      <w:ind w:left="480"/>
    </w:pPr>
    <w:rPr>
      <w:rFonts w:ascii="標楷體" w:eastAsia="標楷體" w:hAnsi="標楷體" w:cs="Times New Roman"/>
      <w:sz w:val="28"/>
      <w:szCs w:val="24"/>
    </w:rPr>
  </w:style>
  <w:style w:type="character" w:customStyle="1" w:styleId="20">
    <w:name w:val="本文縮排 2 字元"/>
    <w:basedOn w:val="a0"/>
    <w:link w:val="2"/>
    <w:rsid w:val="00407C38"/>
    <w:rPr>
      <w:rFonts w:ascii="標楷體" w:eastAsia="標楷體" w:hAnsi="標楷體"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BA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6267"/>
    <w:pPr>
      <w:tabs>
        <w:tab w:val="center" w:pos="4153"/>
        <w:tab w:val="right" w:pos="8306"/>
      </w:tabs>
      <w:snapToGrid w:val="0"/>
    </w:pPr>
    <w:rPr>
      <w:sz w:val="20"/>
      <w:szCs w:val="20"/>
    </w:rPr>
  </w:style>
  <w:style w:type="character" w:customStyle="1" w:styleId="a4">
    <w:name w:val="頁首 字元"/>
    <w:basedOn w:val="a0"/>
    <w:link w:val="a3"/>
    <w:uiPriority w:val="99"/>
    <w:rsid w:val="00866267"/>
    <w:rPr>
      <w:sz w:val="20"/>
      <w:szCs w:val="20"/>
    </w:rPr>
  </w:style>
  <w:style w:type="paragraph" w:styleId="a5">
    <w:name w:val="footer"/>
    <w:basedOn w:val="a"/>
    <w:link w:val="a6"/>
    <w:uiPriority w:val="99"/>
    <w:unhideWhenUsed/>
    <w:rsid w:val="00866267"/>
    <w:pPr>
      <w:tabs>
        <w:tab w:val="center" w:pos="4153"/>
        <w:tab w:val="right" w:pos="8306"/>
      </w:tabs>
      <w:snapToGrid w:val="0"/>
    </w:pPr>
    <w:rPr>
      <w:sz w:val="20"/>
      <w:szCs w:val="20"/>
    </w:rPr>
  </w:style>
  <w:style w:type="character" w:customStyle="1" w:styleId="a6">
    <w:name w:val="頁尾 字元"/>
    <w:basedOn w:val="a0"/>
    <w:link w:val="a5"/>
    <w:uiPriority w:val="99"/>
    <w:rsid w:val="00866267"/>
    <w:rPr>
      <w:sz w:val="20"/>
      <w:szCs w:val="20"/>
    </w:rPr>
  </w:style>
  <w:style w:type="paragraph" w:styleId="a7">
    <w:name w:val="Balloon Text"/>
    <w:basedOn w:val="a"/>
    <w:link w:val="a8"/>
    <w:uiPriority w:val="99"/>
    <w:semiHidden/>
    <w:unhideWhenUsed/>
    <w:rsid w:val="008537C3"/>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8537C3"/>
    <w:rPr>
      <w:rFonts w:asciiTheme="majorHAnsi" w:eastAsiaTheme="majorEastAsia" w:hAnsiTheme="majorHAnsi" w:cstheme="majorBidi"/>
      <w:sz w:val="18"/>
      <w:szCs w:val="18"/>
    </w:rPr>
  </w:style>
  <w:style w:type="paragraph" w:styleId="a9">
    <w:name w:val="List Paragraph"/>
    <w:basedOn w:val="a"/>
    <w:uiPriority w:val="34"/>
    <w:qFormat/>
    <w:rsid w:val="00C414CF"/>
    <w:pPr>
      <w:ind w:leftChars="200" w:left="480"/>
    </w:pPr>
  </w:style>
  <w:style w:type="paragraph" w:styleId="aa">
    <w:name w:val="Salutation"/>
    <w:basedOn w:val="a"/>
    <w:next w:val="a"/>
    <w:link w:val="ab"/>
    <w:uiPriority w:val="99"/>
    <w:unhideWhenUsed/>
    <w:rsid w:val="00A17AA8"/>
    <w:rPr>
      <w:rFonts w:ascii="標楷體" w:eastAsia="標楷體" w:hAnsi="標楷體" w:cs="Times New Roman"/>
      <w:color w:val="000000" w:themeColor="text1"/>
      <w:szCs w:val="24"/>
    </w:rPr>
  </w:style>
  <w:style w:type="character" w:customStyle="1" w:styleId="ab">
    <w:name w:val="問候 字元"/>
    <w:basedOn w:val="a0"/>
    <w:link w:val="aa"/>
    <w:uiPriority w:val="99"/>
    <w:rsid w:val="00A17AA8"/>
    <w:rPr>
      <w:rFonts w:ascii="標楷體" w:eastAsia="標楷體" w:hAnsi="標楷體" w:cs="Times New Roman"/>
      <w:color w:val="000000" w:themeColor="text1"/>
      <w:szCs w:val="24"/>
    </w:rPr>
  </w:style>
  <w:style w:type="paragraph" w:styleId="ac">
    <w:name w:val="Closing"/>
    <w:basedOn w:val="a"/>
    <w:link w:val="ad"/>
    <w:uiPriority w:val="99"/>
    <w:unhideWhenUsed/>
    <w:rsid w:val="00A17AA8"/>
    <w:pPr>
      <w:ind w:leftChars="1800" w:left="100"/>
    </w:pPr>
    <w:rPr>
      <w:rFonts w:ascii="標楷體" w:eastAsia="標楷體" w:hAnsi="標楷體" w:cs="Times New Roman"/>
      <w:color w:val="000000" w:themeColor="text1"/>
      <w:szCs w:val="24"/>
    </w:rPr>
  </w:style>
  <w:style w:type="character" w:customStyle="1" w:styleId="ad">
    <w:name w:val="結語 字元"/>
    <w:basedOn w:val="a0"/>
    <w:link w:val="ac"/>
    <w:uiPriority w:val="99"/>
    <w:rsid w:val="00A17AA8"/>
    <w:rPr>
      <w:rFonts w:ascii="標楷體" w:eastAsia="標楷體" w:hAnsi="標楷體" w:cs="Times New Roman"/>
      <w:color w:val="000000" w:themeColor="text1"/>
      <w:szCs w:val="24"/>
    </w:rPr>
  </w:style>
  <w:style w:type="table" w:styleId="ae">
    <w:name w:val="Table Grid"/>
    <w:basedOn w:val="a1"/>
    <w:uiPriority w:val="59"/>
    <w:rsid w:val="000A7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407C38"/>
    <w:pPr>
      <w:ind w:left="480"/>
    </w:pPr>
    <w:rPr>
      <w:rFonts w:ascii="標楷體" w:eastAsia="標楷體" w:hAnsi="標楷體" w:cs="Times New Roman"/>
      <w:sz w:val="28"/>
      <w:szCs w:val="24"/>
    </w:rPr>
  </w:style>
  <w:style w:type="character" w:customStyle="1" w:styleId="20">
    <w:name w:val="本文縮排 2 字元"/>
    <w:basedOn w:val="a0"/>
    <w:link w:val="2"/>
    <w:rsid w:val="00407C38"/>
    <w:rPr>
      <w:rFonts w:ascii="標楷體" w:eastAsia="標楷體" w:hAnsi="標楷體"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96631">
      <w:bodyDiv w:val="1"/>
      <w:marLeft w:val="0"/>
      <w:marRight w:val="0"/>
      <w:marTop w:val="0"/>
      <w:marBottom w:val="0"/>
      <w:divBdr>
        <w:top w:val="none" w:sz="0" w:space="0" w:color="auto"/>
        <w:left w:val="none" w:sz="0" w:space="0" w:color="auto"/>
        <w:bottom w:val="none" w:sz="0" w:space="0" w:color="auto"/>
        <w:right w:val="none" w:sz="0" w:space="0" w:color="auto"/>
      </w:divBdr>
    </w:div>
    <w:div w:id="25266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50BD0-D171-4F16-843E-44377CFCD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2032</Words>
  <Characters>11583</Characters>
  <Application>Microsoft Office Word</Application>
  <DocSecurity>0</DocSecurity>
  <Lines>96</Lines>
  <Paragraphs>27</Paragraphs>
  <ScaleCrop>false</ScaleCrop>
  <Company/>
  <LinksUpToDate>false</LinksUpToDate>
  <CharactersWithSpaces>13588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投信投顧公會 郭榕琁</cp:lastModifiedBy>
  <cp:revision>2</cp:revision>
  <cp:lastPrinted>2019-09-03T06:58:00Z</cp:lastPrinted>
  <dcterms:created xsi:type="dcterms:W3CDTF">2019-09-17T11:17:00Z</dcterms:created>
  <dcterms:modified xsi:type="dcterms:W3CDTF">2019-09-17T11:17:00Z</dcterms:modified>
</cp:coreProperties>
</file>